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328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2892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Stone Carolyn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3"/>
        <w:spacing w:after="0"/>
        <w:rPr>
          <w:sz w:val="20"/>
          <w:szCs w:val="20"/>
          <w:color w:val="auto"/>
        </w:rPr>
      </w:pPr>
      <w:r>
        <w:rPr>
          <w:rFonts w:ascii="Arial" w:cs="Arial" w:eastAsia="Arial" w:hAnsi="Arial"/>
          <w:sz w:val="17"/>
          <w:szCs w:val="17"/>
          <w:color w:val="0000FF"/>
        </w:rPr>
        <w:t>See Remarks</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w:t>
            </w:r>
          </w:p>
        </w:tc>
        <w:tc>
          <w:tcPr>
            <w:tcW w:w="1080" w:type="dxa"/>
            <w:vAlign w:val="bottom"/>
          </w:tcPr>
          <w:p>
            <w:pPr>
              <w:spacing w:after="0"/>
              <w:rPr>
                <w:sz w:val="23"/>
                <w:szCs w:val="23"/>
                <w:color w:val="auto"/>
              </w:rPr>
            </w:pPr>
          </w:p>
        </w:tc>
        <w:tc>
          <w:tcPr>
            <w:tcW w:w="1940" w:type="dxa"/>
            <w:vAlign w:val="bottom"/>
            <w:gridSpan w:val="2"/>
          </w:tcPr>
          <w:p>
            <w:pPr>
              <w:ind w:left="920"/>
              <w:spacing w:after="0"/>
              <w:rPr>
                <w:sz w:val="20"/>
                <w:szCs w:val="20"/>
                <w:color w:val="auto"/>
              </w:rPr>
            </w:pPr>
            <w:r>
              <w:rPr>
                <w:rFonts w:ascii="Arial" w:cs="Arial" w:eastAsia="Arial" w:hAnsi="Arial"/>
                <w:sz w:val="17"/>
                <w:szCs w:val="17"/>
                <w:color w:val="0000FF"/>
              </w:rPr>
              <w:t>02/23/2017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720" w:type="dxa"/>
            <w:vAlign w:val="bottom"/>
            <w:gridSpan w:val="2"/>
          </w:tcPr>
          <w:p>
            <w:pPr>
              <w:ind w:left="120"/>
              <w:spacing w:after="0"/>
              <w:rPr>
                <w:sz w:val="20"/>
                <w:szCs w:val="20"/>
                <w:color w:val="auto"/>
              </w:rPr>
            </w:pPr>
            <w:r>
              <w:rPr>
                <w:rFonts w:ascii="Arial" w:cs="Arial" w:eastAsia="Arial" w:hAnsi="Arial"/>
                <w:sz w:val="17"/>
                <w:szCs w:val="17"/>
                <w:color w:val="0000FF"/>
                <w:w w:val="94"/>
              </w:rPr>
              <w:t>104,166</w:t>
            </w:r>
          </w:p>
        </w:tc>
        <w:tc>
          <w:tcPr>
            <w:tcW w:w="560" w:type="dxa"/>
            <w:vAlign w:val="bottom"/>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Pr>
          <w:p>
            <w:pPr>
              <w:jc w:val="right"/>
              <w:spacing w:after="0"/>
              <w:rPr>
                <w:sz w:val="20"/>
                <w:szCs w:val="20"/>
                <w:color w:val="auto"/>
              </w:rPr>
            </w:pPr>
            <w:r>
              <w:rPr>
                <w:rFonts w:ascii="Arial" w:cs="Arial" w:eastAsia="Arial" w:hAnsi="Arial"/>
                <w:sz w:val="11"/>
                <w:szCs w:val="11"/>
                <w:color w:val="008000"/>
              </w:rPr>
              <w:t>(1)(2)</w:t>
            </w:r>
          </w:p>
        </w:tc>
        <w:tc>
          <w:tcPr>
            <w:tcW w:w="40" w:type="dxa"/>
            <w:vAlign w:val="bottom"/>
          </w:tcPr>
          <w:p>
            <w:pPr>
              <w:spacing w:after="0"/>
              <w:rPr>
                <w:sz w:val="23"/>
                <w:szCs w:val="23"/>
                <w:color w:val="auto"/>
              </w:rPr>
            </w:pPr>
          </w:p>
        </w:tc>
        <w:tc>
          <w:tcPr>
            <w:tcW w:w="1340" w:type="dxa"/>
            <w:vAlign w:val="bottom"/>
            <w:gridSpan w:val="3"/>
          </w:tcPr>
          <w:p>
            <w:pPr>
              <w:jc w:val="right"/>
              <w:ind w:right="278"/>
              <w:spacing w:after="0"/>
              <w:rPr>
                <w:sz w:val="20"/>
                <w:szCs w:val="20"/>
                <w:color w:val="auto"/>
              </w:rPr>
            </w:pPr>
            <w:r>
              <w:rPr>
                <w:rFonts w:ascii="Arial" w:cs="Arial" w:eastAsia="Arial" w:hAnsi="Arial"/>
                <w:sz w:val="17"/>
                <w:szCs w:val="17"/>
                <w:color w:val="0000FF"/>
              </w:rPr>
              <w:t>200,903</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w:t>
            </w:r>
          </w:p>
        </w:tc>
        <w:tc>
          <w:tcPr>
            <w:tcW w:w="1080" w:type="dxa"/>
            <w:vAlign w:val="bottom"/>
          </w:tcPr>
          <w:p>
            <w:pPr>
              <w:spacing w:after="0"/>
              <w:rPr>
                <w:sz w:val="23"/>
                <w:szCs w:val="23"/>
                <w:color w:val="auto"/>
              </w:rPr>
            </w:pPr>
          </w:p>
        </w:tc>
        <w:tc>
          <w:tcPr>
            <w:tcW w:w="1940" w:type="dxa"/>
            <w:vAlign w:val="bottom"/>
            <w:gridSpan w:val="2"/>
          </w:tcPr>
          <w:p>
            <w:pPr>
              <w:ind w:left="920"/>
              <w:spacing w:after="0"/>
              <w:rPr>
                <w:sz w:val="20"/>
                <w:szCs w:val="20"/>
                <w:color w:val="auto"/>
              </w:rPr>
            </w:pPr>
            <w:r>
              <w:rPr>
                <w:rFonts w:ascii="Arial" w:cs="Arial" w:eastAsia="Arial" w:hAnsi="Arial"/>
                <w:sz w:val="17"/>
                <w:szCs w:val="17"/>
                <w:color w:val="0000FF"/>
              </w:rPr>
              <w:t>02/23/2017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Pr>
          <w:p>
            <w:pPr>
              <w:spacing w:after="0"/>
              <w:rPr>
                <w:sz w:val="23"/>
                <w:szCs w:val="23"/>
                <w:color w:val="auto"/>
              </w:rPr>
            </w:pPr>
          </w:p>
        </w:tc>
        <w:tc>
          <w:tcPr>
            <w:tcW w:w="720" w:type="dxa"/>
            <w:vAlign w:val="bottom"/>
            <w:gridSpan w:val="2"/>
          </w:tcPr>
          <w:p>
            <w:pPr>
              <w:ind w:left="120"/>
              <w:spacing w:after="0"/>
              <w:rPr>
                <w:sz w:val="20"/>
                <w:szCs w:val="20"/>
                <w:color w:val="auto"/>
              </w:rPr>
            </w:pPr>
            <w:r>
              <w:rPr>
                <w:rFonts w:ascii="Arial" w:cs="Arial" w:eastAsia="Arial" w:hAnsi="Arial"/>
                <w:sz w:val="17"/>
                <w:szCs w:val="17"/>
                <w:color w:val="0000FF"/>
                <w:w w:val="94"/>
              </w:rPr>
              <w:t>104,166</w:t>
            </w: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3.26</w:t>
            </w:r>
          </w:p>
        </w:tc>
        <w:tc>
          <w:tcPr>
            <w:tcW w:w="1340" w:type="dxa"/>
            <w:vAlign w:val="bottom"/>
            <w:gridSpan w:val="3"/>
          </w:tcPr>
          <w:p>
            <w:pPr>
              <w:jc w:val="right"/>
              <w:ind w:right="318"/>
              <w:spacing w:after="0"/>
              <w:rPr>
                <w:sz w:val="20"/>
                <w:szCs w:val="20"/>
                <w:color w:val="auto"/>
              </w:rPr>
            </w:pPr>
            <w:r>
              <w:rPr>
                <w:rFonts w:ascii="Arial" w:cs="Arial" w:eastAsia="Arial" w:hAnsi="Arial"/>
                <w:sz w:val="17"/>
                <w:szCs w:val="17"/>
                <w:color w:val="0000FF"/>
              </w:rPr>
              <w:t>96,737</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02/23/2017</w:t>
            </w:r>
          </w:p>
        </w:tc>
        <w:tc>
          <w:tcPr>
            <w:tcW w:w="11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80"/>
              <w:spacing w:after="0"/>
              <w:rPr>
                <w:sz w:val="20"/>
                <w:szCs w:val="20"/>
                <w:color w:val="auto"/>
              </w:rPr>
            </w:pPr>
            <w:r>
              <w:rPr>
                <w:rFonts w:ascii="Arial" w:cs="Arial" w:eastAsia="Arial" w:hAnsi="Arial"/>
                <w:sz w:val="13"/>
                <w:szCs w:val="13"/>
                <w:color w:val="0000FF"/>
              </w:rPr>
              <w:t>52,083</w:t>
            </w: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21"/>
                <w:szCs w:val="21"/>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52,083</w:t>
            </w:r>
          </w:p>
        </w:tc>
        <w:tc>
          <w:tcPr>
            <w:tcW w:w="4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(1)</w:t>
            </w:r>
          </w:p>
        </w:tc>
        <w:tc>
          <w:tcPr>
            <w:tcW w:w="920" w:type="dxa"/>
            <w:vAlign w:val="bottom"/>
            <w:gridSpan w:val="2"/>
          </w:tcPr>
          <w:p>
            <w:pPr>
              <w:ind w:left="220"/>
              <w:spacing w:after="0"/>
              <w:rPr>
                <w:sz w:val="20"/>
                <w:szCs w:val="20"/>
                <w:color w:val="auto"/>
              </w:rPr>
            </w:pPr>
            <w:r>
              <w:rPr>
                <w:rFonts w:ascii="Arial" w:cs="Arial" w:eastAsia="Arial" w:hAnsi="Arial"/>
                <w:sz w:val="13"/>
                <w:szCs w:val="13"/>
                <w:color w:val="0000FF"/>
              </w:rPr>
              <w:t>104,167</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Share</w:t>
            </w: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Share</w:t>
            </w: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02/23/2017</w:t>
            </w:r>
          </w:p>
        </w:tc>
        <w:tc>
          <w:tcPr>
            <w:tcW w:w="11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80"/>
              <w:spacing w:after="0"/>
              <w:rPr>
                <w:sz w:val="20"/>
                <w:szCs w:val="20"/>
                <w:color w:val="auto"/>
              </w:rPr>
            </w:pPr>
            <w:r>
              <w:rPr>
                <w:rFonts w:ascii="Arial" w:cs="Arial" w:eastAsia="Arial" w:hAnsi="Arial"/>
                <w:sz w:val="13"/>
                <w:szCs w:val="13"/>
                <w:color w:val="0000FF"/>
              </w:rPr>
              <w:t>52,083</w:t>
            </w: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21"/>
                <w:szCs w:val="21"/>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52,083</w:t>
            </w:r>
          </w:p>
        </w:tc>
        <w:tc>
          <w:tcPr>
            <w:tcW w:w="4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(2)</w:t>
            </w:r>
          </w:p>
        </w:tc>
        <w:tc>
          <w:tcPr>
            <w:tcW w:w="920" w:type="dxa"/>
            <w:vAlign w:val="bottom"/>
            <w:gridSpan w:val="2"/>
          </w:tcPr>
          <w:p>
            <w:pPr>
              <w:ind w:left="220"/>
              <w:spacing w:after="0"/>
              <w:rPr>
                <w:sz w:val="20"/>
                <w:szCs w:val="20"/>
                <w:color w:val="auto"/>
              </w:rPr>
            </w:pPr>
            <w:r>
              <w:rPr>
                <w:rFonts w:ascii="Arial" w:cs="Arial" w:eastAsia="Arial" w:hAnsi="Arial"/>
                <w:sz w:val="13"/>
                <w:szCs w:val="13"/>
                <w:color w:val="0000FF"/>
              </w:rPr>
              <w:t>104,167</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Share Unit</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phantom share is the economic equivalent of Civeo common share and is payable in cash. The phantom shares vest at various times based on the grant date. 52,083 shares vested on February 23, 2017.</w:t>
      </w:r>
    </w:p>
    <w:p>
      <w:pPr>
        <w:spacing w:after="0" w:line="63" w:lineRule="exact"/>
        <w:rPr>
          <w:rFonts w:ascii="Arial" w:cs="Arial" w:eastAsia="Arial" w:hAnsi="Arial"/>
          <w:sz w:val="12"/>
          <w:szCs w:val="12"/>
          <w:color w:val="008000"/>
        </w:rPr>
      </w:pPr>
    </w:p>
    <w:p>
      <w:pPr>
        <w:ind w:left="40" w:right="6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is the economic equivalent of one Civeo common share and is payable in cash. The restricted stock units vest at various times based on the grant date. 52,083 units vested on February 23, 2017.</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Vice President, Controller and Corporate Secretary</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Carolyn Stone, by Bradley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02/27/2017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Dodson, as 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300" w:type="dxa"/>
            <w:vAlign w:val="bottom"/>
            <w:gridSpan w:val="2"/>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674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2019-12-24T07:12:09Z</dcterms:created>
  <dcterms:modified xsi:type="dcterms:W3CDTF">2019-12-24T07:12:09Z</dcterms:modified>
</cp:coreProperties>
</file>