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0"/>
        <w:spacing w:after="0"/>
        <w:rPr>
          <w:sz w:val="20"/>
          <w:szCs w:val="20"/>
          <w:color w:val="auto"/>
        </w:rPr>
      </w:pPr>
      <w:r>
        <w:rPr>
          <w:rFonts w:ascii="Arial" w:cs="Arial" w:eastAsia="Arial" w:hAnsi="Arial"/>
          <w:sz w:val="19"/>
          <w:szCs w:val="19"/>
          <w:color w:val="auto"/>
        </w:rPr>
        <w:t>OIS Accommodations SpinCo Inc.</w:t>
      </w:r>
    </w:p>
    <w:p>
      <w:pPr>
        <w:spacing w:after="0" w:line="56"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Three Allen Center</w:t>
      </w:r>
    </w:p>
    <w:p>
      <w:pPr>
        <w:spacing w:after="0" w:line="4" w:lineRule="exact"/>
        <w:rPr>
          <w:sz w:val="24"/>
          <w:szCs w:val="24"/>
          <w:color w:val="auto"/>
        </w:rPr>
      </w:pPr>
    </w:p>
    <w:p>
      <w:pPr>
        <w:ind w:left="4520"/>
        <w:spacing w:after="0"/>
        <w:rPr>
          <w:sz w:val="20"/>
          <w:szCs w:val="20"/>
          <w:color w:val="auto"/>
        </w:rPr>
      </w:pPr>
      <w:r>
        <w:rPr>
          <w:rFonts w:ascii="Arial" w:cs="Arial" w:eastAsia="Arial" w:hAnsi="Arial"/>
          <w:sz w:val="22"/>
          <w:szCs w:val="22"/>
          <w:color w:val="auto"/>
        </w:rPr>
        <w:t>333 Clay Street, Suite 4980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Houston, Texas 77002</w:t>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March 18,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Kristina Aberg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Attorney-Advisor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ectPr>
          <w:pgSz w:w="11900" w:h="16838" w:orient="portrait"/>
          <w:cols w:equalWidth="0" w:num="1">
            <w:col w:w="11420"/>
          </w:cols>
          <w:pgMar w:left="240" w:top="240" w:right="2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ind w:left="40"/>
        <w:spacing w:after="0"/>
        <w:rPr>
          <w:sz w:val="20"/>
          <w:szCs w:val="20"/>
          <w:color w:val="auto"/>
        </w:rPr>
      </w:pPr>
      <w:r>
        <w:rPr>
          <w:rFonts w:ascii="Arial" w:cs="Arial" w:eastAsia="Arial" w:hAnsi="Arial"/>
          <w:sz w:val="16"/>
          <w:szCs w:val="16"/>
          <w:color w:val="auto"/>
        </w:rPr>
        <w:t>OIS Accommodations SpinCo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Amendment No. 1 to Form 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11,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001-36246</w:t>
      </w:r>
    </w:p>
    <w:p>
      <w:pPr>
        <w:spacing w:after="0" w:line="200" w:lineRule="exact"/>
        <w:rPr>
          <w:sz w:val="24"/>
          <w:szCs w:val="24"/>
          <w:color w:val="auto"/>
        </w:rPr>
      </w:pPr>
    </w:p>
    <w:p>
      <w:pPr>
        <w:sectPr>
          <w:pgSz w:w="11900" w:h="16838" w:orient="portrait"/>
          <w:cols w:equalWidth="0" w:num="2">
            <w:col w:w="260" w:space="400"/>
            <w:col w:w="10760"/>
          </w:cols>
          <w:pgMar w:left="240" w:top="240"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312" w:lineRule="auto"/>
        <w:rPr>
          <w:sz w:val="20"/>
          <w:szCs w:val="20"/>
          <w:color w:val="auto"/>
        </w:rPr>
      </w:pPr>
      <w:r>
        <w:rPr>
          <w:rFonts w:ascii="Arial" w:cs="Arial" w:eastAsia="Arial" w:hAnsi="Arial"/>
          <w:sz w:val="16"/>
          <w:szCs w:val="16"/>
          <w:color w:val="auto"/>
        </w:rPr>
        <w:t>Set forth below are the responses of OIS Accommodations SpinCo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t>
      </w:r>
      <w:r>
        <w:rPr>
          <w:rFonts w:ascii="Arial" w:cs="Arial" w:eastAsia="Arial" w:hAnsi="Arial"/>
          <w:sz w:val="16"/>
          <w:szCs w:val="16"/>
          <w:b w:val="1"/>
          <w:bCs w:val="1"/>
          <w:i w:val="1"/>
          <w:iCs w:val="1"/>
          <w:color w:val="auto"/>
        </w:rPr>
        <w:t>we</w:t>
      </w:r>
      <w:r>
        <w:rPr>
          <w:rFonts w:ascii="Arial" w:cs="Arial" w:eastAsia="Arial" w:hAnsi="Arial"/>
          <w:sz w:val="16"/>
          <w:szCs w:val="16"/>
          <w:color w:val="auto"/>
        </w:rPr>
        <w:t>,” “</w:t>
      </w:r>
      <w:r>
        <w:rPr>
          <w:rFonts w:ascii="Arial" w:cs="Arial" w:eastAsia="Arial" w:hAnsi="Arial"/>
          <w:sz w:val="16"/>
          <w:szCs w:val="16"/>
          <w:b w:val="1"/>
          <w:bCs w:val="1"/>
          <w:i w:val="1"/>
          <w:iCs w:val="1"/>
          <w:color w:val="auto"/>
        </w:rPr>
        <w:t>us</w:t>
      </w:r>
      <w:r>
        <w:rPr>
          <w:rFonts w:ascii="Arial" w:cs="Arial" w:eastAsia="Arial" w:hAnsi="Arial"/>
          <w:sz w:val="16"/>
          <w:szCs w:val="16"/>
          <w:color w:val="auto"/>
        </w:rPr>
        <w:t>” or “</w:t>
      </w:r>
      <w:r>
        <w:rPr>
          <w:rFonts w:ascii="Arial" w:cs="Arial" w:eastAsia="Arial" w:hAnsi="Arial"/>
          <w:sz w:val="16"/>
          <w:szCs w:val="16"/>
          <w:b w:val="1"/>
          <w:bCs w:val="1"/>
          <w:i w:val="1"/>
          <w:iCs w:val="1"/>
          <w:color w:val="auto"/>
        </w:rPr>
        <w:t>our</w:t>
      </w:r>
      <w:r>
        <w:rPr>
          <w:rFonts w:ascii="Arial" w:cs="Arial" w:eastAsia="Arial" w:hAnsi="Arial"/>
          <w:sz w:val="16"/>
          <w:szCs w:val="16"/>
          <w:color w:val="auto"/>
        </w:rPr>
        <w:t>”), to comments received from the staff of the Division of Corporation Finance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by letter dated February 27, 2014, with respect to Amendment No. 1 to Form 10, File No. 001-36246, filed with the Commission on February 11, 2014 (the “</w:t>
      </w:r>
      <w:r>
        <w:rPr>
          <w:rFonts w:ascii="Arial" w:cs="Arial" w:eastAsia="Arial" w:hAnsi="Arial"/>
          <w:sz w:val="16"/>
          <w:szCs w:val="16"/>
          <w:b w:val="1"/>
          <w:bCs w:val="1"/>
          <w:i w:val="1"/>
          <w:iCs w:val="1"/>
          <w:color w:val="auto"/>
        </w:rPr>
        <w:t>Information Statement</w:t>
      </w:r>
      <w:r>
        <w:rPr>
          <w:rFonts w:ascii="Arial" w:cs="Arial" w:eastAsia="Arial" w:hAnsi="Arial"/>
          <w:sz w:val="16"/>
          <w:szCs w:val="16"/>
          <w:color w:val="auto"/>
        </w:rPr>
        <w:t>”).</w:t>
      </w:r>
    </w:p>
    <w:p>
      <w:pPr>
        <w:spacing w:after="0" w:line="147" w:lineRule="exact"/>
        <w:rPr>
          <w:sz w:val="24"/>
          <w:szCs w:val="24"/>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your convenience, each response is prefaced by the exact text of the Staff’s corresponding comment in bold, italicized text. All references to page numbers and captions correspond to the Amendment No. 2 to the Information Statement (“</w:t>
      </w:r>
      <w:r>
        <w:rPr>
          <w:rFonts w:ascii="Arial" w:cs="Arial" w:eastAsia="Arial" w:hAnsi="Arial"/>
          <w:sz w:val="17"/>
          <w:szCs w:val="17"/>
          <w:b w:val="1"/>
          <w:bCs w:val="1"/>
          <w:i w:val="1"/>
          <w:iCs w:val="1"/>
          <w:color w:val="auto"/>
        </w:rPr>
        <w:t>Amendment No. 2</w:t>
      </w:r>
      <w:r>
        <w:rPr>
          <w:rFonts w:ascii="Arial" w:cs="Arial" w:eastAsia="Arial" w:hAnsi="Arial"/>
          <w:sz w:val="17"/>
          <w:szCs w:val="17"/>
          <w:color w:val="auto"/>
        </w:rPr>
        <w:t>”) unless otherwise specified.</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9" w:lineRule="exact"/>
        <w:rPr>
          <w:sz w:val="24"/>
          <w:szCs w:val="24"/>
          <w:color w:val="auto"/>
        </w:rPr>
      </w:pPr>
    </w:p>
    <w:p>
      <w:pPr>
        <w:ind w:left="660" w:hanging="652"/>
        <w:spacing w:after="0" w:line="277" w:lineRule="auto"/>
        <w:tabs>
          <w:tab w:leader="none" w:pos="6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responses to comments 1, 7, 10, 14, and 20 of our letter dated January 9, 2014. We will continue to monitor for your responses to these comments.</w:t>
      </w:r>
    </w:p>
    <w:p>
      <w:pPr>
        <w:spacing w:after="0" w:line="170"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acknowledge the Staff’s comment and undertake to provide responsive information to comments 1, 7, 10 and 14 in a future amendment to the Information Statement. Regarding comment 20, we have revised the Information Statement to provide capital expenditure guidance for 2014. Please see page 67.</w:t>
      </w:r>
    </w:p>
    <w:p>
      <w:pPr>
        <w:spacing w:after="0" w:line="181" w:lineRule="exact"/>
        <w:rPr>
          <w:sz w:val="24"/>
          <w:szCs w:val="24"/>
          <w:color w:val="auto"/>
        </w:rPr>
      </w:pPr>
    </w:p>
    <w:p>
      <w:pPr>
        <w:ind w:left="660" w:hanging="652"/>
        <w:spacing w:after="0" w:line="277" w:lineRule="auto"/>
        <w:tabs>
          <w:tab w:leader="none" w:pos="6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Prior to requesting effectiveness please update the audited financial statements for the year ended December 31, 2013, for the Accommodations Business of Oil States International, Inc.</w:t>
      </w:r>
    </w:p>
    <w:p>
      <w:pPr>
        <w:spacing w:after="0" w:line="170"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4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acknowledge the Staff’s comment and have included the audited financial statements for the year ended December 31, 2013 for the Accommodations Business of Oil States International, Inc. in Amendment No. 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Financial Statements and Exhibits</w:t>
      </w:r>
    </w:p>
    <w:p>
      <w:pPr>
        <w:spacing w:after="0" w:line="229" w:lineRule="exact"/>
        <w:rPr>
          <w:sz w:val="20"/>
          <w:szCs w:val="20"/>
          <w:color w:val="auto"/>
        </w:rPr>
      </w:pPr>
    </w:p>
    <w:p>
      <w:pPr>
        <w:ind w:left="660" w:hanging="652"/>
        <w:spacing w:after="0" w:line="277" w:lineRule="auto"/>
        <w:tabs>
          <w:tab w:leader="none" w:pos="6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response to comment 3 of our letter dated January 9, 2014. Please note that your articles of incorporation and bylaws, as currently in effect, must be filed prior to effectiveness. Please refer to Item 601(b)(3) of Regulation S-K.</w:t>
      </w:r>
    </w:p>
    <w:p>
      <w:pPr>
        <w:spacing w:after="0" w:line="170"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acknowledge the Staff’s comment and undertake to file our articles of incorporation and bylaws as currently in effect in advance of requesting effectiveness of the Information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page 72</w:t>
      </w:r>
    </w:p>
    <w:p>
      <w:pPr>
        <w:spacing w:after="0" w:line="229" w:lineRule="exact"/>
        <w:rPr>
          <w:sz w:val="20"/>
          <w:szCs w:val="20"/>
          <w:color w:val="auto"/>
        </w:rPr>
      </w:pPr>
    </w:p>
    <w:p>
      <w:pPr>
        <w:jc w:val="both"/>
        <w:ind w:left="660" w:hanging="652"/>
        <w:spacing w:after="0" w:line="255"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have reviewed your responses to comments 18 and 22 of our letter dated January 9, 2014. We continue to believe that average occupancy data is a material metric to investors. Please disclose the percentage or number of your rooms per region or site that are subject to long-term contracts or otherwise occupied or reserved. Please also include revenue derived from occupied versus reserved rooms. Finally, please include a lease expiration table for each of the ten years starting with the current year of the number of rooms subject to long-term contracts that will expire in each year, the annual rental revenues represented by such contracts, and the percentage of gross annual rental revenue represented by such contracts.</w:t>
      </w:r>
    </w:p>
    <w:p>
      <w:pPr>
        <w:spacing w:after="0" w:line="193"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acknowledge the Staff’s comment. We have included historical occupancy information by region and the percentage of contracted rooms for the next two years. Please see pages 74 and 87, respectively.</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acknowledge the Staff’s comment in regards to room contract expirations and have revised our disclosure. Please see page 87. In response to the related comment concerning annual revenue related to these contracts, we believe that this information would be misleading to investors and would not present relevant information regarding potential future revenue of the Company. Our contracts typically require customers to commit to a specified number of rooms and guarantee a minimum level of occupancy for those rooms. Historically, and specifically over the time period presented in the financial statements included in this filing, our customers were generally occupying rooms at levels above the contracted minimums. As such, the requested disclosure of projected revenue under these contracts would be at the minimum contracted levels. We believe, based on historical results, this would likely understate forward contracted revenues materially, misleading investors. We believe that our relevant risk factors and historical financial results provide investors with sufficient information regarding our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480695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also acknowledge the Staff’s comment in regards to revenues generated from occupied versus reserved rooms. First, our management does not currently use this metric to manage its business, nor do we disclose it to our investors. Further, we were unable to find comparable disclosure for apartment, hospitality or hotel businesses. We believe the additional disclosures described above coupled with our existing risk factor disclosure regarding customer contracts provides investors with adequate information in regards to our historical revenue and future potential occupancy rates.</w:t>
      </w:r>
    </w:p>
    <w:p>
      <w:pPr>
        <w:spacing w:after="0" w:line="171" w:lineRule="exact"/>
        <w:rPr>
          <w:sz w:val="20"/>
          <w:szCs w:val="20"/>
          <w:color w:val="auto"/>
        </w:rPr>
      </w:pPr>
    </w:p>
    <w:p>
      <w:pPr>
        <w:ind w:left="660" w:hanging="652"/>
        <w:spacing w:after="0" w:line="277"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refer to the chart on page 74 and specifically footnote 1 thereto. Please break out revenue derived from room rentals versus other fee revenue.</w:t>
      </w:r>
    </w:p>
    <w:p>
      <w:pPr>
        <w:spacing w:after="0" w:line="170"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acknowledge the Staff’s comment. We have expanded our disclosure in our discussion of our contracts on page 87 and our footnote on page 74. We have an integrated business model where we offer our customer a turnkey service to house, feed and accommodate their employees and contractors. Our contracts provide for two rates, an occupied rate and an unoccupied rate. The occupied rate covers a room and three meals a day. If the customer occupies the room, the occupied rate is charged regardless of number of meals taken or other services utilized by the guest. Accordingly, we do not generally charge separately for services. We have revised the disclosure to clarify this point.</w:t>
      </w:r>
    </w:p>
    <w:p>
      <w:pPr>
        <w:spacing w:after="0" w:line="173" w:lineRule="exact"/>
        <w:rPr>
          <w:sz w:val="20"/>
          <w:szCs w:val="20"/>
          <w:color w:val="auto"/>
        </w:rPr>
      </w:pPr>
    </w:p>
    <w:p>
      <w:pPr>
        <w:jc w:val="center"/>
        <w:spacing w:after="0"/>
        <w:tabs>
          <w:tab w:leader="none" w:pos="220" w:val="left"/>
          <w:tab w:leader="none" w:pos="20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tab/>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Please direct any questions that you have with respect to the foregoing or if any additional supplemental information is required by the Staff, please contact Matthew R. Pacey of Vinson &amp; Elkins L.L.P. at (713) 758-4786.</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OIS ACCOMMODATIONS SPINCO INC.</w:t>
      </w:r>
    </w:p>
    <w:p>
      <w:pPr>
        <w:spacing w:after="0" w:line="225"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Bradley J. Dodson</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-130175</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Title:</w:t>
        <w:tab/>
        <w:t>President and Chief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Matthew R. Pacey (Vinson &amp; Elkins)</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2019-12-08T08:44:54Z</dcterms:created>
  <dcterms:modified xsi:type="dcterms:W3CDTF">2019-12-08T08:44:54Z</dcterms:modified>
</cp:coreProperties>
</file>