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-4909820</wp:posOffset>
            </wp:positionH>
            <wp:positionV relativeFrom="paragraph">
              <wp:posOffset>211455</wp:posOffset>
            </wp:positionV>
            <wp:extent cx="6964045" cy="38500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385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10,867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18.87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1,905,035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371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18.87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490,487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11,110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1,893,925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380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490,107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11,138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18.22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1,882,787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381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18.22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489,726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-3392805</wp:posOffset>
            </wp:positionV>
            <wp:extent cx="7031355" cy="38328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7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Torgerson Tammy</w:t>
        </w:r>
      </w:hyperlink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2783840" cy="12268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22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$18.48 to $19.25.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$18.16 to $18.75.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firstLine="7"/>
        <w:spacing w:after="0" w:line="292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$18.01 to $18.57.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03/10/2021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03/10/2021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96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60"/>
      </w:cols>
      <w:pgMar w:left="500" w:top="312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8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35901" TargetMode="External"/><Relationship Id="rId14" Type="http://schemas.openxmlformats.org/officeDocument/2006/relationships/hyperlink" Target="http://www.sec.gov/cgi-bin/browse-edgar?action=getcompany&amp;CIK=0001590584" TargetMode="External"/><Relationship Id="rId17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2021-03-10T16:43:20Z</dcterms:created>
  <dcterms:modified xsi:type="dcterms:W3CDTF">2021-03-10T16:43:20Z</dcterms:modified>
</cp:coreProperties>
</file>