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Schoening Allan</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02/11/2018</w:t>
      </w:r>
    </w:p>
    <w:p>
      <w:pPr>
        <w:spacing w:after="0" w:line="20" w:lineRule="exact"/>
        <w:rPr>
          <w:sz w:val="24"/>
          <w:szCs w:val="24"/>
          <w:color w:val="auto"/>
        </w:rPr>
      </w:pPr>
      <w:r>
        <w:rPr>
          <w:sz w:val="24"/>
          <w:szCs w:val="24"/>
          <w:color w:val="auto"/>
        </w:rPr>
        <w:br w:type="column"/>
      </w:r>
    </w:p>
    <w:p>
      <w:pPr>
        <w:ind w:left="3" w:right="660" w:hanging="3"/>
        <w:spacing w:after="0" w:line="269"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57" w:space="720"/>
            <w:col w:w="3483"/>
          </w:cols>
          <w:pgMar w:left="240" w:top="219" w:right="139" w:bottom="144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3" w:lineRule="exact"/>
        <w:rPr>
          <w:sz w:val="24"/>
          <w:szCs w:val="24"/>
          <w:color w:val="auto"/>
        </w:rPr>
      </w:pPr>
    </w:p>
    <w:p>
      <w:pPr>
        <w:sectPr>
          <w:pgSz w:w="11900" w:h="16838" w:orient="portrait"/>
          <w:cols w:equalWidth="0" w:num="2">
            <w:col w:w="3900" w:space="160"/>
            <w:col w:w="7460"/>
          </w:cols>
          <w:pgMar w:left="240" w:top="219"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2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02/11/2018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34,627</w:t>
            </w:r>
          </w:p>
        </w:tc>
        <w:tc>
          <w:tcPr>
            <w:tcW w:w="60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3"/>
                <w:szCs w:val="23"/>
                <w:color w:val="auto"/>
              </w:rPr>
            </w:pPr>
          </w:p>
        </w:tc>
        <w:tc>
          <w:tcPr>
            <w:tcW w:w="1340" w:type="dxa"/>
            <w:vAlign w:val="bottom"/>
            <w:gridSpan w:val="3"/>
          </w:tcPr>
          <w:p>
            <w:pPr>
              <w:jc w:val="right"/>
              <w:ind w:right="317"/>
              <w:spacing w:after="0"/>
              <w:rPr>
                <w:sz w:val="20"/>
                <w:szCs w:val="20"/>
                <w:color w:val="auto"/>
              </w:rPr>
            </w:pPr>
            <w:r>
              <w:rPr>
                <w:rFonts w:ascii="Times New Roman" w:cs="Times New Roman" w:eastAsia="Times New Roman" w:hAnsi="Times New Roman"/>
                <w:sz w:val="17"/>
                <w:szCs w:val="17"/>
                <w:color w:val="0000FF"/>
              </w:rPr>
              <w:t>34,627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0000FF"/>
              </w:rPr>
              <w:t>02/11/2018</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34,627</w:t>
            </w:r>
          </w:p>
        </w:tc>
        <w:tc>
          <w:tcPr>
            <w:tcW w:w="600" w:type="dxa"/>
            <w:vAlign w:val="bottom"/>
          </w:tcPr>
          <w:p>
            <w:pPr>
              <w:jc w:val="right"/>
              <w:ind w:right="47"/>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02/11/2018</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34,627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34,627</w:t>
            </w:r>
          </w:p>
        </w:tc>
        <w:tc>
          <w:tcPr>
            <w:tcW w:w="4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27"/>
              <w:spacing w:after="0"/>
              <w:rPr>
                <w:sz w:val="20"/>
                <w:szCs w:val="20"/>
                <w:color w:val="auto"/>
              </w:rPr>
            </w:pPr>
            <w:r>
              <w:rPr>
                <w:rFonts w:ascii="Times New Roman" w:cs="Times New Roman" w:eastAsia="Times New Roman" w:hAnsi="Times New Roman"/>
                <w:sz w:val="13"/>
                <w:szCs w:val="13"/>
                <w:color w:val="0000FF"/>
              </w:rPr>
              <w:t>Shares</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57"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share is the economic equivalent of one Civeo common share and is payable in cash. The phantom shares vest at various times based on the grant date. 34,627 shares vested on February 11, 2018.</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Corporate Affairs</w:t>
      </w:r>
    </w:p>
    <w:p>
      <w:pPr>
        <w:spacing w:after="0" w:line="7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-3810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2"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7"/>
          <w:szCs w:val="17"/>
          <w:color w:val="0000FF"/>
        </w:rPr>
        <w:t>Bradley J. Dodson, Attorney-</w:t>
        <w:tab/>
        <w:t>02/13/2018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288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3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2019-12-08T08:25:30Z</dcterms:created>
  <dcterms:modified xsi:type="dcterms:W3CDTF">2019-12-08T08:25:30Z</dcterms:modified>
</cp:coreProperties>
</file>