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ind w:left="3380"/>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8"/>
          <w:szCs w:val="18"/>
          <w:color w:val="auto"/>
        </w:rPr>
        <w:t>Civeo Corporation</w:t>
      </w:r>
    </w:p>
    <w:p>
      <w:pPr>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common share</w:t>
      </w:r>
    </w:p>
    <w:p>
      <w:pPr>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17878Y108</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ind w:left="4220"/>
        <w:spacing w:after="0" w:line="237" w:lineRule="auto"/>
        <w:rPr>
          <w:sz w:val="20"/>
          <w:szCs w:val="20"/>
          <w:color w:val="auto"/>
        </w:rPr>
      </w:pPr>
      <w:r>
        <w:rPr>
          <w:rFonts w:ascii="Courier New" w:cs="Courier New" w:eastAsia="Courier New" w:hAnsi="Courier New"/>
          <w:sz w:val="18"/>
          <w:szCs w:val="18"/>
          <w:color w:val="auto"/>
        </w:rPr>
        <w:t>December 29, 2017</w:t>
      </w:r>
    </w:p>
    <w:p>
      <w:pPr>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540" w:right="7899" w:hanging="5"/>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ind w:left="120" w:right="1999" w:hanging="104"/>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40" w:val="left"/>
        </w:tabs>
        <w:rPr>
          <w:sz w:val="20"/>
          <w:szCs w:val="20"/>
          <w:color w:val="auto"/>
        </w:rPr>
      </w:pPr>
      <w:r>
        <w:rPr>
          <w:rFonts w:ascii="Courier New" w:cs="Courier New" w:eastAsia="Courier New" w:hAnsi="Courier New"/>
          <w:sz w:val="18"/>
          <w:szCs w:val="18"/>
          <w:color w:val="auto"/>
        </w:rPr>
        <w:t>CUSIP NO.</w:t>
        <w:tab/>
        <w:t>17878Y108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237" w:lineRule="auto"/>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7,648,500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4"/>
          <w:szCs w:val="24"/>
          <w:color w:val="auto"/>
        </w:rPr>
      </w:pPr>
    </w:p>
    <w:p>
      <w:pPr>
        <w:sectPr>
          <w:pgSz w:w="11900" w:h="16838" w:orient="portrait"/>
          <w:cols w:equalWidth="0" w:num="2">
            <w:col w:w="4340" w:space="720"/>
            <w:col w:w="5159"/>
          </w:cols>
          <w:pgMar w:left="240" w:top="244"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219"/>
          </w:cols>
          <w:pgMar w:left="240" w:top="244" w:right="1440" w:bottom="0" w:gutter="0" w:footer="0" w:header="0"/>
          <w:type w:val="continuous"/>
        </w:sectPr>
      </w:pP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4"/>
          <w:szCs w:val="24"/>
          <w:color w:val="auto"/>
        </w:rPr>
      </w:pPr>
    </w:p>
    <w:p>
      <w:pPr>
        <w:sectPr>
          <w:pgSz w:w="11900" w:h="16838" w:orient="portrait"/>
          <w:cols w:equalWidth="0" w:num="2">
            <w:col w:w="4340" w:space="720"/>
            <w:col w:w="5159"/>
          </w:cols>
          <w:pgMar w:left="240" w:top="244" w:right="1440" w:bottom="0" w:gutter="0" w:footer="0" w:header="0"/>
          <w:type w:val="continuous"/>
        </w:sectPr>
      </w:pPr>
    </w:p>
    <w:p>
      <w:pPr>
        <w:spacing w:after="0" w:line="18"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4"/>
          <w:szCs w:val="24"/>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7,648,500</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5060"/>
        <w:spacing w:after="0"/>
        <w:tabs>
          <w:tab w:leader="none" w:pos="558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0</w:t>
      </w:r>
    </w:p>
    <w:p>
      <w:pPr>
        <w:ind w:left="506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7,648,500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40" w:right="251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8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5.78 %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320" w:right="5159" w:hanging="2312"/>
        <w:spacing w:after="0" w:line="235"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237" w:lineRule="auto"/>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40" w:val="left"/>
        </w:tabs>
        <w:rPr>
          <w:sz w:val="20"/>
          <w:szCs w:val="20"/>
          <w:color w:val="auto"/>
        </w:rPr>
      </w:pPr>
      <w:r>
        <w:rPr>
          <w:rFonts w:ascii="Courier New" w:cs="Courier New" w:eastAsia="Courier New" w:hAnsi="Courier New"/>
          <w:sz w:val="18"/>
          <w:szCs w:val="18"/>
          <w:color w:val="auto"/>
        </w:rPr>
        <w:t>CUSIP NO.</w:t>
        <w:tab/>
        <w:t>17878Y108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(1) NAMES OF REPORTING PERSONS.</w:t>
      </w:r>
    </w:p>
    <w:p>
      <w:pPr>
        <w:ind w:left="6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7,648,500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sectPr>
          <w:pgSz w:w="11900" w:h="16838" w:orient="portrait"/>
          <w:cols w:equalWidth="0" w:num="2">
            <w:col w:w="4340" w:space="720"/>
            <w:col w:w="5159"/>
          </w:cols>
          <w:pgMar w:left="240" w:top="339"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219"/>
          </w:cols>
          <w:pgMar w:left="240" w:top="339" w:right="1440" w:bottom="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0"/>
          <w:szCs w:val="20"/>
          <w:color w:val="auto"/>
        </w:rPr>
      </w:pPr>
    </w:p>
    <w:p>
      <w:pPr>
        <w:sectPr>
          <w:pgSz w:w="11900" w:h="16838" w:orient="portrait"/>
          <w:cols w:equalWidth="0" w:num="2">
            <w:col w:w="4340" w:space="720"/>
            <w:col w:w="5159"/>
          </w:cols>
          <w:pgMar w:left="240" w:top="339" w:right="1440" w:bottom="0" w:gutter="0" w:footer="0" w:header="0"/>
          <w:type w:val="continuous"/>
        </w:sectPr>
      </w:pPr>
    </w:p>
    <w:p>
      <w:pPr>
        <w:spacing w:after="0" w:line="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0"/>
          <w:szCs w:val="20"/>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w:t>
      </w:r>
    </w:p>
    <w:p>
      <w:pPr>
        <w:spacing w:after="0" w:line="20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7,648,500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ind w:left="5060"/>
        <w:spacing w:after="0"/>
        <w:tabs>
          <w:tab w:leader="none" w:pos="5580" w:val="left"/>
        </w:tabs>
        <w:rPr>
          <w:sz w:val="20"/>
          <w:szCs w:val="20"/>
          <w:color w:val="auto"/>
        </w:rPr>
      </w:pPr>
      <w:r>
        <w:rPr>
          <w:rFonts w:ascii="Courier New" w:cs="Courier New" w:eastAsia="Courier New" w:hAnsi="Courier New"/>
          <w:sz w:val="16"/>
          <w:szCs w:val="16"/>
          <w:color w:val="auto"/>
        </w:rPr>
        <w:t>(8)</w:t>
        <w:tab/>
        <w:t>SHARED DISPOSITIVE POWER</w:t>
      </w:r>
    </w:p>
    <w:p>
      <w:pPr>
        <w:spacing w:after="0" w:line="2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219"/>
          </w:cols>
          <w:pgMar w:left="240" w:top="339"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7,648,500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2519" w:hanging="632"/>
        <w:spacing w:after="0" w:line="235"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5.78 %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160" w:right="5159" w:hanging="3152"/>
        <w:spacing w:after="0" w:line="235" w:lineRule="auto"/>
        <w:tabs>
          <w:tab w:leader="none" w:pos="52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17878Y108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1.</w:t>
      </w:r>
    </w:p>
    <w:p>
      <w:pPr>
        <w:spacing w:after="0" w:line="207" w:lineRule="exact"/>
        <w:rPr>
          <w:sz w:val="20"/>
          <w:szCs w:val="20"/>
          <w:color w:val="auto"/>
        </w:rPr>
      </w:pPr>
    </w:p>
    <w:p>
      <w:pPr>
        <w:ind w:left="860" w:right="7579" w:hanging="431"/>
        <w:spacing w:after="0" w:line="536" w:lineRule="auto"/>
        <w:tabs>
          <w:tab w:leader="none" w:pos="8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Civeo Corporation</w:t>
      </w: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Three Allen Center, 333 Clay Street, Suite 4980, Houston, Texas 77002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7" w:lineRule="exact"/>
        <w:rPr>
          <w:sz w:val="20"/>
          <w:szCs w:val="20"/>
          <w:color w:val="auto"/>
        </w:rPr>
      </w:pPr>
    </w:p>
    <w:p>
      <w:pPr>
        <w:ind w:left="960" w:right="2199"/>
        <w:spacing w:after="0" w:line="290"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spacing w:after="0" w:line="170" w:lineRule="exact"/>
        <w:rPr>
          <w:sz w:val="20"/>
          <w:szCs w:val="20"/>
          <w:color w:val="auto"/>
        </w:rPr>
      </w:pPr>
    </w:p>
    <w:p>
      <w:pPr>
        <w:ind w:left="960" w:right="2939" w:hanging="425"/>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line="234" w:lineRule="auto"/>
        <w:rPr>
          <w:sz w:val="20"/>
          <w:szCs w:val="20"/>
          <w:color w:val="auto"/>
        </w:rPr>
      </w:pPr>
      <w:r>
        <w:rPr>
          <w:rFonts w:ascii="Courier New" w:cs="Courier New" w:eastAsia="Courier New" w:hAnsi="Courier New"/>
          <w:sz w:val="18"/>
          <w:szCs w:val="18"/>
          <w:color w:val="auto"/>
        </w:rPr>
        <w:t>800 Third Avenue</w:t>
      </w:r>
    </w:p>
    <w:p>
      <w:pPr>
        <w:ind w:left="1800"/>
        <w:spacing w:after="0" w:line="238" w:lineRule="auto"/>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ind w:left="860"/>
        <w:spacing w:after="0" w:line="238" w:lineRule="auto"/>
        <w:rPr>
          <w:sz w:val="20"/>
          <w:szCs w:val="20"/>
          <w:color w:val="auto"/>
        </w:rPr>
      </w:pPr>
      <w:r>
        <w:rPr>
          <w:rFonts w:ascii="Courier New" w:cs="Courier New" w:eastAsia="Courier New" w:hAnsi="Courier New"/>
          <w:sz w:val="18"/>
          <w:szCs w:val="18"/>
          <w:color w:val="auto"/>
        </w:rPr>
        <w:t>RTHC is a Delaware corporation.</w:t>
      </w:r>
    </w:p>
    <w:p>
      <w:pPr>
        <w:spacing w:after="0" w:line="207" w:lineRule="exact"/>
        <w:rPr>
          <w:sz w:val="20"/>
          <w:szCs w:val="20"/>
          <w:color w:val="auto"/>
        </w:rPr>
      </w:pPr>
    </w:p>
    <w:p>
      <w:pPr>
        <w:ind w:left="960" w:right="6199" w:hanging="425"/>
        <w:spacing w:after="0" w:line="470"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share</w:t>
      </w:r>
    </w:p>
    <w:p>
      <w:pPr>
        <w:spacing w:after="0" w:line="11" w:lineRule="exact"/>
        <w:rPr>
          <w:rFonts w:ascii="Courier New" w:cs="Courier New" w:eastAsia="Courier New" w:hAnsi="Courier New"/>
          <w:sz w:val="18"/>
          <w:szCs w:val="18"/>
          <w:color w:val="auto"/>
        </w:rPr>
      </w:pPr>
    </w:p>
    <w:p>
      <w:pPr>
        <w:ind w:left="960" w:right="7899" w:hanging="425"/>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17878Y108</w:t>
      </w:r>
    </w:p>
    <w:p>
      <w:pPr>
        <w:ind w:left="4220"/>
        <w:spacing w:after="0" w:line="234" w:lineRule="auto"/>
        <w:rPr>
          <w:sz w:val="20"/>
          <w:szCs w:val="20"/>
          <w:color w:val="auto"/>
        </w:rPr>
      </w:pPr>
      <w:r>
        <w:rPr>
          <w:rFonts w:ascii="Courier New" w:cs="Courier New" w:eastAsia="Courier New" w:hAnsi="Courier New"/>
          <w:sz w:val="18"/>
          <w:szCs w:val="18"/>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line="237" w:lineRule="auto"/>
        <w:rPr>
          <w:sz w:val="20"/>
          <w:szCs w:val="20"/>
          <w:color w:val="auto"/>
        </w:rPr>
      </w:pPr>
      <w:r>
        <w:rPr>
          <w:rFonts w:ascii="Courier New" w:cs="Courier New" w:eastAsia="Courier New" w:hAnsi="Courier New"/>
          <w:sz w:val="18"/>
          <w:szCs w:val="18"/>
          <w:color w:val="auto"/>
        </w:rPr>
        <w:t>or (c),check whether the person filing is a:</w:t>
      </w:r>
    </w:p>
    <w:p>
      <w:pPr>
        <w:spacing w:after="0" w:line="202"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spacing w:after="0" w:line="4" w:lineRule="exact"/>
        <w:rPr>
          <w:rFonts w:ascii="Courier New" w:cs="Courier New" w:eastAsia="Courier New" w:hAnsi="Courier New"/>
          <w:sz w:val="18"/>
          <w:szCs w:val="18"/>
          <w:color w:val="auto"/>
        </w:rPr>
      </w:pPr>
    </w:p>
    <w:p>
      <w:pPr>
        <w:ind w:left="960" w:right="2619" w:hanging="952"/>
        <w:spacing w:after="0" w:line="235"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207"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Parent holding company, in accordance with Sec.240.13d-1(b)(1)(ii)(G).</w:t>
      </w:r>
    </w:p>
    <w:p>
      <w:pPr>
        <w:spacing w:after="0" w:line="21" w:lineRule="exact"/>
        <w:rPr>
          <w:rFonts w:ascii="Courier New" w:cs="Courier New" w:eastAsia="Courier New" w:hAnsi="Courier New"/>
          <w:sz w:val="16"/>
          <w:szCs w:val="16"/>
          <w:color w:val="auto"/>
        </w:rPr>
      </w:pPr>
    </w:p>
    <w:p>
      <w:pPr>
        <w:ind w:left="960" w:right="2519" w:hanging="952"/>
        <w:spacing w:after="0" w:line="235"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spacing w:after="0" w:line="5" w:lineRule="exact"/>
        <w:rPr>
          <w:rFonts w:ascii="Courier New" w:cs="Courier New" w:eastAsia="Courier New" w:hAnsi="Courier New"/>
          <w:sz w:val="18"/>
          <w:szCs w:val="18"/>
          <w:color w:val="auto"/>
        </w:rPr>
      </w:pPr>
    </w:p>
    <w:p>
      <w:pPr>
        <w:ind w:left="960" w:right="199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7,648,500</w:t>
            </w:r>
          </w:p>
        </w:tc>
        <w:tc>
          <w:tcPr>
            <w:tcW w:w="2260" w:type="dxa"/>
            <w:vAlign w:val="bottom"/>
          </w:tcPr>
          <w:p>
            <w:pPr>
              <w:jc w:val="right"/>
              <w:ind w:right="1212"/>
              <w:spacing w:after="0"/>
              <w:rPr>
                <w:sz w:val="20"/>
                <w:szCs w:val="20"/>
                <w:color w:val="auto"/>
              </w:rPr>
            </w:pPr>
            <w:r>
              <w:rPr>
                <w:rFonts w:ascii="Courier New" w:cs="Courier New" w:eastAsia="Courier New" w:hAnsi="Courier New"/>
                <w:sz w:val="18"/>
                <w:szCs w:val="18"/>
                <w:color w:val="auto"/>
              </w:rPr>
              <w:t>shares</w:t>
            </w:r>
          </w:p>
        </w:tc>
        <w:tc>
          <w:tcPr>
            <w:tcW w:w="3120" w:type="dxa"/>
            <w:vAlign w:val="bottom"/>
          </w:tcPr>
          <w:p>
            <w:pPr>
              <w:spacing w:after="0"/>
              <w:rPr>
                <w:sz w:val="17"/>
                <w:szCs w:val="17"/>
                <w:color w:val="auto"/>
              </w:rPr>
            </w:pPr>
          </w:p>
        </w:tc>
      </w:tr>
      <w:tr>
        <w:trPr>
          <w:trHeight w:val="203"/>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7,648,500</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comprising</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the shares beneficially owned</w:t>
            </w:r>
          </w:p>
        </w:tc>
      </w:tr>
      <w:tr>
        <w:trPr>
          <w:trHeight w:val="203"/>
        </w:trPr>
        <w:tc>
          <w:tcPr>
            <w:tcW w:w="720" w:type="dxa"/>
            <w:vAlign w:val="bottom"/>
          </w:tcPr>
          <w:p>
            <w:pPr>
              <w:spacing w:after="0"/>
              <w:rPr>
                <w:sz w:val="17"/>
                <w:szCs w:val="17"/>
                <w:color w:val="auto"/>
              </w:rPr>
            </w:pPr>
          </w:p>
        </w:tc>
        <w:tc>
          <w:tcPr>
            <w:tcW w:w="3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by RTHC, because of RTHC's</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majority ownership of RTC.</w:t>
            </w:r>
          </w:p>
        </w:tc>
      </w:tr>
    </w:tbl>
    <w:p>
      <w:pPr>
        <w:spacing w:after="0" w:line="201"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5.78 %</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5.78 %</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7,648,500</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7,648,500</w:t>
      </w:r>
    </w:p>
    <w:p>
      <w:pPr>
        <w:sectPr>
          <w:pgSz w:w="11900" w:h="16838" w:orient="portrait"/>
          <w:cols w:equalWidth="0" w:num="1">
            <w:col w:w="10219"/>
          </w:cols>
          <w:pgMar w:left="240" w:top="136" w:right="1440" w:bottom="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04"/>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7,648,500</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7,648,500</w:t>
      </w:r>
    </w:p>
    <w:p>
      <w:pPr>
        <w:spacing w:after="0" w:line="202"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0</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0</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860" w:right="241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319"/>
        <w:spacing w:after="0" w:line="236"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18"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Mark Silber</w:t>
      </w:r>
    </w:p>
    <w:p>
      <w:pPr>
        <w:ind w:left="358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Holdings Corporation</w:t>
      </w:r>
    </w:p>
    <w:p>
      <w:pPr>
        <w:sectPr>
          <w:pgSz w:w="11900" w:h="16838" w:orient="portrait"/>
          <w:cols w:equalWidth="0" w:num="1">
            <w:col w:w="10219"/>
          </w:cols>
          <w:pgMar w:left="240" w:top="136" w:right="1440" w:bottom="132" w:gutter="0" w:footer="0" w:header="0"/>
        </w:sectPr>
      </w:pPr>
    </w:p>
    <w:bookmarkStart w:id="4" w:name="page5"/>
    <w:bookmarkEnd w:id="4"/>
    <w:p>
      <w:pPr>
        <w:ind w:left="3160"/>
        <w:spacing w:after="0"/>
        <w:rPr>
          <w:sz w:val="20"/>
          <w:szCs w:val="20"/>
          <w:color w:val="auto"/>
        </w:rPr>
      </w:pPr>
      <w:r>
        <w:rPr>
          <w:rFonts w:ascii="Courier New" w:cs="Courier New" w:eastAsia="Courier New" w:hAnsi="Courier New"/>
          <w:sz w:val="18"/>
          <w:szCs w:val="18"/>
          <w:color w:val="auto"/>
        </w:rPr>
        <w:t>By: /s/ Mark Silber</w:t>
      </w:r>
    </w:p>
    <w:p>
      <w:pPr>
        <w:ind w:left="360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10"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accordance with Rule 13d-1(k) 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as amended, each of the undersigned agrees to the filing on behalf of each</w:t>
      </w:r>
    </w:p>
    <w:p>
      <w:pPr>
        <w:spacing w:after="0"/>
        <w:rPr>
          <w:sz w:val="20"/>
          <w:szCs w:val="20"/>
          <w:color w:val="auto"/>
        </w:rPr>
      </w:pPr>
      <w:r>
        <w:rPr>
          <w:rFonts w:ascii="Courier New" w:cs="Courier New" w:eastAsia="Courier New" w:hAnsi="Courier New"/>
          <w:sz w:val="18"/>
          <w:szCs w:val="18"/>
          <w:color w:val="auto"/>
        </w:rPr>
        <w:t>of a Statement on Schedule 13G, and all amendments thereto, with respect to</w:t>
      </w:r>
    </w:p>
    <w:p>
      <w:pPr>
        <w:spacing w:after="0" w:line="237" w:lineRule="auto"/>
        <w:rPr>
          <w:sz w:val="20"/>
          <w:szCs w:val="20"/>
          <w:color w:val="auto"/>
        </w:rPr>
      </w:pPr>
      <w:r>
        <w:rPr>
          <w:rFonts w:ascii="Courier New" w:cs="Courier New" w:eastAsia="Courier New" w:hAnsi="Courier New"/>
          <w:sz w:val="18"/>
          <w:szCs w:val="18"/>
          <w:color w:val="auto"/>
        </w:rPr>
        <w:t>the common share of</w:t>
      </w:r>
    </w:p>
    <w:p>
      <w:pPr>
        <w:spacing w:after="0" w:line="238" w:lineRule="auto"/>
        <w:rPr>
          <w:sz w:val="20"/>
          <w:szCs w:val="20"/>
          <w:color w:val="auto"/>
        </w:rPr>
      </w:pPr>
      <w:r>
        <w:rPr>
          <w:rFonts w:ascii="Courier New" w:cs="Courier New" w:eastAsia="Courier New" w:hAnsi="Courier New"/>
          <w:sz w:val="18"/>
          <w:szCs w:val="18"/>
          <w:color w:val="auto"/>
        </w:rPr>
        <w:t>Civeo Corporation.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13, 2018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Mark Silber</w:t>
      </w:r>
    </w:p>
    <w:p>
      <w:pPr>
        <w:ind w:left="454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25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Mark Silber</w:t>
      </w:r>
    </w:p>
    <w:p>
      <w:pPr>
        <w:ind w:left="486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2019-12-16T16:53:16Z</dcterms:created>
  <dcterms:modified xsi:type="dcterms:W3CDTF">2019-12-16T16:53:16Z</dcterms:modified>
</cp:coreProperties>
</file>