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13G</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3855085</wp:posOffset>
            </wp:positionH>
            <wp:positionV relativeFrom="paragraph">
              <wp:posOffset>-7620</wp:posOffset>
            </wp:positionV>
            <wp:extent cx="85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color w:val="auto"/>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20320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(CUSIP Number)</w:t>
      </w:r>
    </w:p>
    <w:p>
      <w:pPr>
        <w:spacing w:after="0" w:line="2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800" w:right="8800" w:hanging="23"/>
        <w:spacing w:after="0" w:line="250" w:lineRule="exact"/>
        <w:tabs>
          <w:tab w:leader="none" w:pos="1254" w:val="left"/>
        </w:tabs>
        <w:numPr>
          <w:ilvl w:val="1"/>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224" w:lineRule="exact"/>
        <w:rPr>
          <w:rFonts w:ascii="Wingdings" w:cs="Wingdings" w:eastAsia="Wingdings" w:hAnsi="Wingdings"/>
          <w:sz w:val="17"/>
          <w:szCs w:val="17"/>
          <w:b w:val="1"/>
          <w:bCs w:val="1"/>
          <w:color w:val="auto"/>
        </w:rPr>
      </w:pPr>
    </w:p>
    <w:p>
      <w:pPr>
        <w:ind w:left="160" w:right="80" w:hanging="160"/>
        <w:spacing w:after="0" w:line="282" w:lineRule="auto"/>
        <w:rPr>
          <w:rFonts w:ascii="Wingdings" w:cs="Wingdings" w:eastAsia="Wingdings" w:hAnsi="Wingdings"/>
          <w:sz w:val="17"/>
          <w:szCs w:val="17"/>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8" w:lineRule="exact"/>
        <w:rPr>
          <w:rFonts w:ascii="Wingdings" w:cs="Wingdings" w:eastAsia="Wingdings" w:hAnsi="Wingdings"/>
          <w:sz w:val="17"/>
          <w:szCs w:val="17"/>
          <w:b w:val="1"/>
          <w:bCs w:val="1"/>
          <w:color w:val="auto"/>
        </w:rPr>
      </w:pPr>
    </w:p>
    <w:p>
      <w:pPr>
        <w:ind w:left="160"/>
        <w:spacing w:after="0" w:line="266" w:lineRule="auto"/>
        <w:rPr>
          <w:rFonts w:ascii="Wingdings" w:cs="Wingdings" w:eastAsia="Wingdings" w:hAnsi="Wingdings"/>
          <w:sz w:val="17"/>
          <w:szCs w:val="17"/>
          <w:b w:val="1"/>
          <w:bCs w:val="1"/>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-887730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140335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166370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620395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60" w:top="810" w:right="4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CUSIP No.</w:t>
            </w:r>
          </w:p>
        </w:tc>
        <w:tc>
          <w:tcPr>
            <w:tcW w:w="71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17878Y207</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 2 of 7 Pages</w:t>
            </w:r>
          </w:p>
        </w:tc>
        <w:tc>
          <w:tcPr>
            <w:tcW w:w="0" w:type="dxa"/>
            <w:vAlign w:val="bottom"/>
          </w:tcPr>
          <w:p>
            <w:pPr>
              <w:spacing w:after="0"/>
              <w:rPr>
                <w:sz w:val="1"/>
                <w:szCs w:val="1"/>
                <w:color w:val="auto"/>
              </w:rPr>
            </w:pPr>
          </w:p>
        </w:tc>
      </w:tr>
      <w:tr>
        <w:trPr>
          <w:trHeight w:val="216"/>
        </w:trPr>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15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1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TCW Group, Inc., on behalf of the TCW Business Unit</w:t>
            </w:r>
          </w:p>
        </w:tc>
        <w:tc>
          <w:tcPr>
            <w:tcW w:w="15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20" w:type="dxa"/>
            <w:vAlign w:val="bottom"/>
            <w:vMerge w:val="restart"/>
          </w:tcPr>
          <w:p>
            <w:pPr>
              <w:ind w:left="122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Borders>
              <w:right w:val="single" w:sz="8" w:color="auto"/>
            </w:tcBorders>
            <w:vMerge w:val="restart"/>
          </w:tcPr>
          <w:p>
            <w:pPr>
              <w:jc w:val="right"/>
              <w:ind w:right="5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00" w:type="dxa"/>
            <w:vAlign w:val="bottom"/>
            <w:tcBorders>
              <w:left w:val="single" w:sz="8" w:color="auto"/>
              <w:bottom w:val="single" w:sz="8" w:color="auto"/>
              <w:right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7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tcBorders>
              <w:bottom w:val="single" w:sz="8" w:color="auto"/>
              <w:right w:val="single" w:sz="8" w:color="auto"/>
            </w:tcBorders>
          </w:tcPr>
          <w:p>
            <w:pPr>
              <w:jc w:val="right"/>
              <w:ind w:right="4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1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Nevada corporation</w:t>
            </w:r>
          </w:p>
        </w:tc>
        <w:tc>
          <w:tcPr>
            <w:tcW w:w="15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SOLE VOTING POWER</w:t>
            </w:r>
          </w:p>
        </w:tc>
        <w:tc>
          <w:tcPr>
            <w:tcW w:w="1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SHARED VOTING POWER</w:t>
            </w:r>
          </w:p>
        </w:tc>
        <w:tc>
          <w:tcPr>
            <w:tcW w:w="1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744,535</w:t>
            </w:r>
          </w:p>
        </w:tc>
        <w:tc>
          <w:tcPr>
            <w:tcW w:w="0" w:type="dxa"/>
            <w:vAlign w:val="bottom"/>
          </w:tcPr>
          <w:p>
            <w:pPr>
              <w:spacing w:after="0"/>
              <w:rPr>
                <w:sz w:val="1"/>
                <w:szCs w:val="1"/>
                <w:color w:val="auto"/>
              </w:rPr>
            </w:pPr>
          </w:p>
        </w:tc>
      </w:tr>
      <w:tr>
        <w:trPr>
          <w:trHeight w:val="236"/>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SOLE DISPOSITIVE POWER</w:t>
            </w:r>
          </w:p>
        </w:tc>
        <w:tc>
          <w:tcPr>
            <w:tcW w:w="1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7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SHARED DISPOSITIVE POWER</w:t>
            </w:r>
          </w:p>
        </w:tc>
        <w:tc>
          <w:tcPr>
            <w:tcW w:w="1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7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744,535</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520" w:type="dxa"/>
            <w:vAlign w:val="bottom"/>
          </w:tcPr>
          <w:p>
            <w:pPr>
              <w:spacing w:after="0"/>
              <w:rPr>
                <w:sz w:val="20"/>
                <w:szCs w:val="20"/>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744,535</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520" w:type="dxa"/>
            <w:vAlign w:val="bottom"/>
          </w:tcPr>
          <w:p>
            <w:pPr>
              <w:spacing w:after="0"/>
              <w:rPr>
                <w:sz w:val="20"/>
                <w:szCs w:val="20"/>
                <w:color w:val="auto"/>
              </w:rPr>
            </w:pPr>
          </w:p>
        </w:tc>
        <w:tc>
          <w:tcPr>
            <w:tcW w:w="8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5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5.1%</w:t>
            </w:r>
          </w:p>
        </w:tc>
        <w:tc>
          <w:tcPr>
            <w:tcW w:w="7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TYPE OF REPORTING PERSON*(see instructions)</w:t>
            </w:r>
          </w:p>
        </w:tc>
        <w:tc>
          <w:tcPr>
            <w:tcW w:w="15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71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HC/CO</w:t>
            </w:r>
          </w:p>
        </w:tc>
        <w:tc>
          <w:tcPr>
            <w:tcW w:w="152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8"/>
        </w:trPr>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Page 3 of 7</w:t>
            </w:r>
          </w:p>
        </w:tc>
        <w:tc>
          <w:tcPr>
            <w:tcW w:w="1008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1160" w:type="dxa"/>
            <w:vAlign w:val="bottom"/>
          </w:tcPr>
          <w:p>
            <w:pPr>
              <w:spacing w:after="0"/>
              <w:rPr>
                <w:sz w:val="24"/>
                <w:szCs w:val="24"/>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CIVEO CORP</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160" w:type="dxa"/>
            <w:vAlign w:val="bottom"/>
          </w:tcPr>
          <w:p>
            <w:pPr>
              <w:spacing w:after="0"/>
              <w:rPr>
                <w:sz w:val="24"/>
                <w:szCs w:val="24"/>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Three Allen Center</w:t>
            </w:r>
          </w:p>
        </w:tc>
      </w:tr>
      <w:tr>
        <w:trPr>
          <w:trHeight w:val="216"/>
        </w:trPr>
        <w:tc>
          <w:tcPr>
            <w:tcW w:w="1160" w:type="dxa"/>
            <w:vAlign w:val="bottom"/>
          </w:tcPr>
          <w:p>
            <w:pPr>
              <w:spacing w:after="0"/>
              <w:rPr>
                <w:sz w:val="18"/>
                <w:szCs w:val="18"/>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 Clay Street, Suite 4980</w:t>
            </w:r>
          </w:p>
        </w:tc>
      </w:tr>
      <w:tr>
        <w:trPr>
          <w:trHeight w:val="234"/>
        </w:trPr>
        <w:tc>
          <w:tcPr>
            <w:tcW w:w="1160" w:type="dxa"/>
            <w:vAlign w:val="bottom"/>
          </w:tcPr>
          <w:p>
            <w:pPr>
              <w:spacing w:after="0"/>
              <w:rPr>
                <w:sz w:val="20"/>
                <w:szCs w:val="20"/>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Houston, TX 77002</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 of Persons Filing:</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1160" w:type="dxa"/>
            <w:vAlign w:val="bottom"/>
          </w:tcPr>
          <w:p>
            <w:pPr>
              <w:spacing w:after="0"/>
              <w:rPr>
                <w:sz w:val="24"/>
                <w:szCs w:val="24"/>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TCW Group, Inc., on behalf of the TCW Business Unit</w:t>
            </w:r>
          </w:p>
        </w:tc>
      </w:tr>
      <w:tr>
        <w:trPr>
          <w:trHeight w:val="216"/>
        </w:trPr>
        <w:tc>
          <w:tcPr>
            <w:tcW w:w="1160" w:type="dxa"/>
            <w:vAlign w:val="bottom"/>
          </w:tcPr>
          <w:p>
            <w:pPr>
              <w:spacing w:after="0"/>
              <w:rPr>
                <w:sz w:val="18"/>
                <w:szCs w:val="18"/>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515 South Flower Street</w:t>
            </w:r>
          </w:p>
        </w:tc>
      </w:tr>
      <w:tr>
        <w:trPr>
          <w:trHeight w:val="216"/>
        </w:trPr>
        <w:tc>
          <w:tcPr>
            <w:tcW w:w="1160" w:type="dxa"/>
            <w:vAlign w:val="bottom"/>
          </w:tcPr>
          <w:p>
            <w:pPr>
              <w:spacing w:after="0"/>
              <w:rPr>
                <w:sz w:val="18"/>
                <w:szCs w:val="18"/>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 Angeles, CA 90071</w:t>
            </w:r>
          </w:p>
        </w:tc>
      </w:tr>
      <w:tr>
        <w:trPr>
          <w:trHeight w:val="234"/>
        </w:trPr>
        <w:tc>
          <w:tcPr>
            <w:tcW w:w="1160" w:type="dxa"/>
            <w:vAlign w:val="bottom"/>
          </w:tcPr>
          <w:p>
            <w:pPr>
              <w:spacing w:after="0"/>
              <w:rPr>
                <w:sz w:val="20"/>
                <w:szCs w:val="20"/>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(Nevada Corporation)</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160" w:type="dxa"/>
            <w:vAlign w:val="bottom"/>
          </w:tcPr>
          <w:p>
            <w:pPr>
              <w:spacing w:after="0"/>
              <w:rPr>
                <w:sz w:val="24"/>
                <w:szCs w:val="24"/>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Common Stock</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CUSIP Number:</w:t>
            </w:r>
          </w:p>
        </w:tc>
      </w:tr>
      <w:tr>
        <w:trPr>
          <w:trHeight w:val="432"/>
        </w:trPr>
        <w:tc>
          <w:tcPr>
            <w:tcW w:w="1160" w:type="dxa"/>
            <w:vAlign w:val="bottom"/>
          </w:tcPr>
          <w:p>
            <w:pPr>
              <w:spacing w:after="0"/>
              <w:rPr>
                <w:sz w:val="24"/>
                <w:szCs w:val="24"/>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17878Y207</w:t>
            </w:r>
          </w:p>
        </w:tc>
      </w:tr>
      <w:tr>
        <w:trPr>
          <w:trHeight w:val="891"/>
        </w:trPr>
        <w:tc>
          <w:tcPr>
            <w:tcW w:w="11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Page 4 of 7</w:t>
      </w:r>
    </w:p>
    <w:p>
      <w:pPr>
        <w:spacing w:after="0" w:line="200" w:lineRule="exact"/>
        <w:rPr>
          <w:sz w:val="20"/>
          <w:szCs w:val="20"/>
          <w:color w:val="auto"/>
        </w:rPr>
      </w:pPr>
    </w:p>
    <w:p>
      <w:pPr>
        <w:spacing w:after="0" w:line="2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90" w:lineRule="exact"/>
        <w:rPr>
          <w:sz w:val="20"/>
          <w:szCs w:val="20"/>
          <w:color w:val="auto"/>
        </w:rPr>
      </w:pPr>
    </w:p>
    <w:p>
      <w:pPr>
        <w:ind w:left="1860" w:hanging="723"/>
        <w:spacing w:after="0" w:line="207" w:lineRule="exact"/>
        <w:tabs>
          <w:tab w:leader="none" w:pos="18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 (15 U.S.C. 78o).</w:t>
      </w:r>
    </w:p>
    <w:p>
      <w:pPr>
        <w:spacing w:after="0" w:line="130" w:lineRule="exact"/>
        <w:rPr>
          <w:rFonts w:ascii="Times New Roman" w:cs="Times New Roman" w:eastAsia="Times New Roman" w:hAnsi="Times New Roman"/>
          <w:sz w:val="18"/>
          <w:szCs w:val="18"/>
          <w:color w:val="auto"/>
        </w:rPr>
      </w:pPr>
    </w:p>
    <w:p>
      <w:pPr>
        <w:ind w:left="1860" w:hanging="723"/>
        <w:spacing w:after="0" w:line="207" w:lineRule="exact"/>
        <w:tabs>
          <w:tab w:leader="none" w:pos="18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1860" w:hanging="723"/>
        <w:spacing w:after="0" w:line="207" w:lineRule="exact"/>
        <w:tabs>
          <w:tab w:leader="none" w:pos="18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 (15 U.S.C. 78c).</w:t>
      </w:r>
    </w:p>
    <w:p>
      <w:pPr>
        <w:spacing w:after="0" w:line="130" w:lineRule="exact"/>
        <w:rPr>
          <w:rFonts w:ascii="Times New Roman" w:cs="Times New Roman" w:eastAsia="Times New Roman" w:hAnsi="Times New Roman"/>
          <w:sz w:val="18"/>
          <w:szCs w:val="18"/>
          <w:color w:val="auto"/>
        </w:rPr>
      </w:pPr>
    </w:p>
    <w:p>
      <w:pPr>
        <w:ind w:left="1860" w:hanging="723"/>
        <w:spacing w:after="0" w:line="207" w:lineRule="exact"/>
        <w:tabs>
          <w:tab w:leader="none" w:pos="18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30" w:lineRule="exact"/>
        <w:rPr>
          <w:rFonts w:ascii="Times New Roman" w:cs="Times New Roman" w:eastAsia="Times New Roman" w:hAnsi="Times New Roman"/>
          <w:sz w:val="18"/>
          <w:szCs w:val="18"/>
          <w:color w:val="auto"/>
        </w:rPr>
      </w:pPr>
    </w:p>
    <w:p>
      <w:pPr>
        <w:ind w:left="1860" w:hanging="723"/>
        <w:spacing w:after="0" w:line="207" w:lineRule="exact"/>
        <w:tabs>
          <w:tab w:leader="none" w:pos="18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§240.13d- 1(b)(1)(ii)(E).</w:t>
      </w:r>
    </w:p>
    <w:p>
      <w:pPr>
        <w:spacing w:after="0" w:line="130" w:lineRule="exact"/>
        <w:rPr>
          <w:rFonts w:ascii="Times New Roman" w:cs="Times New Roman" w:eastAsia="Times New Roman" w:hAnsi="Times New Roman"/>
          <w:sz w:val="18"/>
          <w:szCs w:val="18"/>
          <w:color w:val="auto"/>
        </w:rPr>
      </w:pPr>
    </w:p>
    <w:p>
      <w:pPr>
        <w:ind w:left="1860" w:hanging="723"/>
        <w:spacing w:after="0" w:line="207" w:lineRule="exact"/>
        <w:tabs>
          <w:tab w:leader="none" w:pos="18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1860" w:hanging="723"/>
        <w:spacing w:after="0" w:line="207" w:lineRule="exact"/>
        <w:tabs>
          <w:tab w:leader="none" w:pos="186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26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7)</w:t>
      </w:r>
    </w:p>
    <w:p>
      <w:pPr>
        <w:spacing w:after="0" w:line="2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TCW Group, Inc., on behalf of the TCW Business Unit</w:t>
      </w:r>
    </w:p>
    <w:p>
      <w:pPr>
        <w:spacing w:after="0" w:line="72" w:lineRule="exact"/>
        <w:rPr>
          <w:sz w:val="20"/>
          <w:szCs w:val="20"/>
          <w:color w:val="auto"/>
        </w:rPr>
      </w:pPr>
    </w:p>
    <w:p>
      <w:pPr>
        <w:ind w:left="1860" w:hanging="723"/>
        <w:spacing w:after="0" w:line="207" w:lineRule="exact"/>
        <w:tabs>
          <w:tab w:leader="none" w:pos="18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2260" w:hanging="1123"/>
        <w:spacing w:after="0" w:line="245" w:lineRule="exact"/>
        <w:tabs>
          <w:tab w:leader="none" w:pos="1867"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3" w:lineRule="exact"/>
        <w:rPr>
          <w:rFonts w:ascii="Times New Roman" w:cs="Times New Roman" w:eastAsia="Times New Roman" w:hAnsi="Times New Roman"/>
          <w:sz w:val="18"/>
          <w:szCs w:val="18"/>
          <w:color w:val="auto"/>
        </w:rPr>
      </w:pPr>
    </w:p>
    <w:p>
      <w:pPr>
        <w:ind w:left="1860" w:hanging="723"/>
        <w:spacing w:after="0" w:line="207" w:lineRule="exact"/>
        <w:tabs>
          <w:tab w:leader="none" w:pos="18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131" w:lineRule="exact"/>
        <w:rPr>
          <w:sz w:val="20"/>
          <w:szCs w:val="20"/>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506095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60" w:top="968" w:right="7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Page 5 of 7</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 **</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auto"/>
        </w:rPr>
        <w:t>The TCW Group, Inc., on behalf of the Business Unit ***</w:t>
      </w:r>
    </w:p>
    <w:p>
      <w:pPr>
        <w:spacing w:after="0" w:line="90" w:lineRule="exact"/>
        <w:rPr>
          <w:sz w:val="20"/>
          <w:szCs w:val="20"/>
          <w:color w:val="auto"/>
        </w:rPr>
      </w:pPr>
    </w:p>
    <w:p>
      <w:pPr>
        <w:ind w:left="1700" w:hanging="558"/>
        <w:spacing w:after="0"/>
        <w:tabs>
          <w:tab w:leader="none" w:pos="1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744,535</w:t>
      </w:r>
    </w:p>
    <w:p>
      <w:pPr>
        <w:spacing w:after="0" w:line="90"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5.1%</w:t>
      </w:r>
    </w:p>
    <w:p>
      <w:pPr>
        <w:spacing w:after="0" w:line="90" w:lineRule="exact"/>
        <w:rPr>
          <w:rFonts w:ascii="Times New Roman" w:cs="Times New Roman" w:eastAsia="Times New Roman" w:hAnsi="Times New Roman"/>
          <w:sz w:val="18"/>
          <w:szCs w:val="18"/>
          <w:color w:val="auto"/>
        </w:rPr>
      </w:pPr>
    </w:p>
    <w:p>
      <w:pPr>
        <w:ind w:left="1700" w:right="4560" w:hanging="558"/>
        <w:spacing w:after="0" w:line="352" w:lineRule="auto"/>
        <w:tabs>
          <w:tab w:leader="none" w:pos="1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 (i)         Sole power to vote or to direct the vote: none. (ii)        Shared power to vote or to direct the vote: 744,535 (iii)       Sole power to dispose or to direct the disposition of: none. (iv)       Shared power to dispose or to direct the disposition of: 744,535</w:t>
      </w:r>
    </w:p>
    <w:p>
      <w:pPr>
        <w:spacing w:after="0" w:line="18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this Schedule 13G shall not be construed as an admission that the reporting person or any of its affiliates is, for the purposes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13(d) or 13(g) of the Securities Exchange Act of 1934, the beneficial owner of any securities covered by this Schedule 13G.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Page 6 of 7</w:t>
            </w:r>
          </w:p>
        </w:tc>
        <w:tc>
          <w:tcPr>
            <w:tcW w:w="1020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r>
      <w:tr>
        <w:trPr>
          <w:trHeight w:val="378"/>
        </w:trPr>
        <w:tc>
          <w:tcPr>
            <w:tcW w:w="1040" w:type="dxa"/>
            <w:vAlign w:val="bottom"/>
          </w:tcPr>
          <w:p>
            <w:pPr>
              <w:spacing w:after="0"/>
              <w:rPr>
                <w:sz w:val="24"/>
                <w:szCs w:val="24"/>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If this statement is being filled to report the fact that as of the date hereof the reporting person has ceased to be the beneficial owner of</w:t>
            </w:r>
          </w:p>
        </w:tc>
      </w:tr>
      <w:tr>
        <w:trPr>
          <w:trHeight w:val="303"/>
        </w:trPr>
        <w:tc>
          <w:tcPr>
            <w:tcW w:w="1040" w:type="dxa"/>
            <w:vAlign w:val="bottom"/>
          </w:tcPr>
          <w:p>
            <w:pPr>
              <w:spacing w:after="0"/>
              <w:rPr>
                <w:sz w:val="24"/>
                <w:szCs w:val="24"/>
                <w:color w:val="auto"/>
              </w:rPr>
            </w:pPr>
          </w:p>
        </w:tc>
        <w:tc>
          <w:tcPr>
            <w:tcW w:w="1020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39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tc>
      </w:tr>
      <w:tr>
        <w:trPr>
          <w:trHeight w:val="432"/>
        </w:trPr>
        <w:tc>
          <w:tcPr>
            <w:tcW w:w="1040" w:type="dxa"/>
            <w:vAlign w:val="bottom"/>
          </w:tcPr>
          <w:p>
            <w:pPr>
              <w:spacing w:after="0"/>
              <w:rPr>
                <w:sz w:val="24"/>
                <w:szCs w:val="24"/>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Exhibit A.</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w:t>
            </w:r>
          </w:p>
        </w:tc>
      </w:tr>
      <w:tr>
        <w:trPr>
          <w:trHeight w:val="432"/>
        </w:trPr>
        <w:tc>
          <w:tcPr>
            <w:tcW w:w="1040" w:type="dxa"/>
            <w:vAlign w:val="bottom"/>
          </w:tcPr>
          <w:p>
            <w:pPr>
              <w:spacing w:after="0"/>
              <w:rPr>
                <w:sz w:val="24"/>
                <w:szCs w:val="24"/>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Exhibit A.</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r>
      <w:tr>
        <w:trPr>
          <w:trHeight w:val="432"/>
        </w:trPr>
        <w:tc>
          <w:tcPr>
            <w:tcW w:w="1040" w:type="dxa"/>
            <w:vAlign w:val="bottom"/>
          </w:tcPr>
          <w:p>
            <w:pPr>
              <w:spacing w:after="0"/>
              <w:rPr>
                <w:sz w:val="24"/>
                <w:szCs w:val="24"/>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Not applicable.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Exhibit A.</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Dissolution of Group.</w:t>
            </w:r>
          </w:p>
        </w:tc>
      </w:tr>
      <w:tr>
        <w:trPr>
          <w:trHeight w:val="432"/>
        </w:trPr>
        <w:tc>
          <w:tcPr>
            <w:tcW w:w="1040" w:type="dxa"/>
            <w:vAlign w:val="bottom"/>
          </w:tcPr>
          <w:p>
            <w:pPr>
              <w:spacing w:after="0"/>
              <w:rPr>
                <w:sz w:val="24"/>
                <w:szCs w:val="24"/>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w:t>
            </w:r>
          </w:p>
        </w:tc>
      </w:tr>
      <w:tr>
        <w:trPr>
          <w:trHeight w:val="432"/>
        </w:trPr>
        <w:tc>
          <w:tcPr>
            <w:tcW w:w="1040" w:type="dxa"/>
            <w:vAlign w:val="bottom"/>
          </w:tcPr>
          <w:p>
            <w:pPr>
              <w:spacing w:after="0"/>
              <w:rPr>
                <w:sz w:val="24"/>
                <w:szCs w:val="24"/>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Because this statement is filed pursuant to Rule 13d-1(b), the following certification is included:</w:t>
            </w:r>
          </w:p>
        </w:tc>
      </w:tr>
      <w:tr>
        <w:trPr>
          <w:trHeight w:val="414"/>
        </w:trPr>
        <w:tc>
          <w:tcPr>
            <w:tcW w:w="1040" w:type="dxa"/>
            <w:vAlign w:val="bottom"/>
          </w:tcPr>
          <w:p>
            <w:pPr>
              <w:spacing w:after="0"/>
              <w:rPr>
                <w:sz w:val="24"/>
                <w:szCs w:val="24"/>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w:t>
            </w:r>
          </w:p>
        </w:tc>
      </w:tr>
      <w:tr>
        <w:trPr>
          <w:trHeight w:val="216"/>
        </w:trPr>
        <w:tc>
          <w:tcPr>
            <w:tcW w:w="1040" w:type="dxa"/>
            <w:vAlign w:val="bottom"/>
          </w:tcPr>
          <w:p>
            <w:pPr>
              <w:spacing w:after="0"/>
              <w:rPr>
                <w:sz w:val="18"/>
                <w:szCs w:val="18"/>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course of business and were not acquired and are not held for the purpose of or with the effect of changing or influencing the control of</w:t>
            </w:r>
          </w:p>
        </w:tc>
      </w:tr>
      <w:tr>
        <w:trPr>
          <w:trHeight w:val="216"/>
        </w:trPr>
        <w:tc>
          <w:tcPr>
            <w:tcW w:w="1040" w:type="dxa"/>
            <w:vAlign w:val="bottom"/>
          </w:tcPr>
          <w:p>
            <w:pPr>
              <w:spacing w:after="0"/>
              <w:rPr>
                <w:sz w:val="18"/>
                <w:szCs w:val="18"/>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issuer of the securities and were not acquired and are not held in connection with or as a participant in any transaction having that</w:t>
            </w:r>
          </w:p>
        </w:tc>
      </w:tr>
      <w:tr>
        <w:trPr>
          <w:trHeight w:val="234"/>
        </w:trPr>
        <w:tc>
          <w:tcPr>
            <w:tcW w:w="1040" w:type="dxa"/>
            <w:vAlign w:val="bottom"/>
          </w:tcPr>
          <w:p>
            <w:pPr>
              <w:spacing w:after="0"/>
              <w:rPr>
                <w:sz w:val="20"/>
                <w:szCs w:val="20"/>
                <w:color w:val="auto"/>
              </w:rPr>
            </w:pPr>
          </w:p>
        </w:tc>
        <w:tc>
          <w:tcPr>
            <w:tcW w:w="10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purpose or effect.</w:t>
            </w:r>
          </w:p>
        </w:tc>
      </w:tr>
      <w:tr>
        <w:trPr>
          <w:trHeight w:val="675"/>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Page 7 of 7</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12th of February, 2024.</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 TCW Group, Inc., on behalf of the TCW Business Unit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Andrew Bowden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Bowden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RELEVANT SUBSIDIARIES OF PARENT HOLDING COMPANY</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A: TCW Entities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Parent Holding Company</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The TCW Group,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Relevant Subsidiaries that are persons described in Rule 13d-1(b)</w:t>
      </w:r>
      <w:r>
        <w:rPr>
          <w:rFonts w:ascii="Times New Roman" w:cs="Times New Roman" w:eastAsia="Times New Roman" w:hAnsi="Times New Roman"/>
          <w:sz w:val="18"/>
          <w:szCs w:val="18"/>
          <w:color w:val="auto"/>
        </w:rPr>
        <w:t>:</w:t>
      </w:r>
    </w:p>
    <w:p>
      <w:pPr>
        <w:sectPr>
          <w:pgSz w:w="11900" w:h="16838" w:orient="portrait"/>
          <w:cols w:equalWidth="0" w:num="1">
            <w:col w:w="11160"/>
          </w:cols>
          <w:pgMar w:left="360" w:top="931" w:right="379" w:bottom="1440" w:gutter="0" w:footer="0" w:header="0"/>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(i)</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Sepulveda Management LLC, a Delaware limited liability company and Investment Adviser registered under the Investment Advisers Act of 1940</w:t>
      </w:r>
    </w:p>
    <w:p>
      <w:pPr>
        <w:spacing w:after="0" w:line="200" w:lineRule="exact"/>
        <w:rPr>
          <w:sz w:val="20"/>
          <w:szCs w:val="20"/>
          <w:color w:val="auto"/>
        </w:rPr>
      </w:pPr>
    </w:p>
    <w:p>
      <w:pPr>
        <w:sectPr>
          <w:pgSz w:w="11900" w:h="16838" w:orient="portrait"/>
          <w:cols w:equalWidth="0" w:num="2">
            <w:col w:w="760" w:space="720"/>
            <w:col w:w="9680"/>
          </w:cols>
          <w:pgMar w:left="360" w:top="931" w:right="379" w:bottom="1440" w:gutter="0" w:footer="0" w:header="0"/>
          <w:type w:val="continuous"/>
        </w:sectPr>
      </w:pPr>
    </w:p>
    <w:p>
      <w:pPr>
        <w:spacing w:after="0" w:line="14"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This Schedule 13G is being filed by The TCW Group, Inc. (“</w:t>
      </w:r>
      <w:r>
        <w:rPr>
          <w:rFonts w:ascii="Times New Roman" w:cs="Times New Roman" w:eastAsia="Times New Roman" w:hAnsi="Times New Roman"/>
          <w:sz w:val="18"/>
          <w:szCs w:val="18"/>
          <w:i w:val="1"/>
          <w:iCs w:val="1"/>
          <w:u w:val="single" w:color="auto"/>
          <w:color w:val="auto"/>
        </w:rPr>
        <w:t>TCW</w:t>
      </w:r>
      <w:r>
        <w:rPr>
          <w:rFonts w:ascii="Times New Roman" w:cs="Times New Roman" w:eastAsia="Times New Roman" w:hAnsi="Times New Roman"/>
          <w:sz w:val="18"/>
          <w:szCs w:val="18"/>
          <w:color w:val="auto"/>
        </w:rPr>
        <w:t>”) on behalf of itself and its direct and indirect subsidiaries, which collectively constitute The TCW Group, Inc. business unit (the “</w:t>
      </w:r>
      <w:r>
        <w:rPr>
          <w:rFonts w:ascii="Times New Roman" w:cs="Times New Roman" w:eastAsia="Times New Roman" w:hAnsi="Times New Roman"/>
          <w:sz w:val="18"/>
          <w:szCs w:val="18"/>
          <w:i w:val="1"/>
          <w:iCs w:val="1"/>
          <w:u w:val="single" w:color="auto"/>
          <w:color w:val="auto"/>
        </w:rPr>
        <w:t>TCW Business Unit</w:t>
      </w:r>
      <w:r>
        <w:rPr>
          <w:rFonts w:ascii="Times New Roman" w:cs="Times New Roman" w:eastAsia="Times New Roman" w:hAnsi="Times New Roman"/>
          <w:sz w:val="18"/>
          <w:szCs w:val="18"/>
          <w:color w:val="auto"/>
        </w:rPr>
        <w:t>”). The TCW Business Unit is primarily engaged in the provision of investment management services. The TCW Business Unit is managed separately and operated independently.</w:t>
      </w:r>
    </w:p>
    <w:p>
      <w:pPr>
        <w:spacing w:after="0" w:line="173" w:lineRule="exact"/>
        <w:rPr>
          <w:sz w:val="20"/>
          <w:szCs w:val="20"/>
          <w:color w:val="auto"/>
        </w:rPr>
      </w:pPr>
    </w:p>
    <w:p>
      <w:pPr>
        <w:jc w:val="both"/>
        <w:ind w:right="480"/>
        <w:spacing w:after="0" w:line="267" w:lineRule="auto"/>
        <w:rPr>
          <w:sz w:val="20"/>
          <w:szCs w:val="20"/>
          <w:color w:val="auto"/>
        </w:rPr>
      </w:pPr>
      <w:r>
        <w:rPr>
          <w:rFonts w:ascii="Times New Roman" w:cs="Times New Roman" w:eastAsia="Times New Roman" w:hAnsi="Times New Roman"/>
          <w:sz w:val="18"/>
          <w:szCs w:val="18"/>
          <w:color w:val="auto"/>
        </w:rPr>
        <w:t>Investment funds affiliated with The Carlyle Group, L.P. (“</w:t>
      </w:r>
      <w:r>
        <w:rPr>
          <w:rFonts w:ascii="Times New Roman" w:cs="Times New Roman" w:eastAsia="Times New Roman" w:hAnsi="Times New Roman"/>
          <w:sz w:val="18"/>
          <w:szCs w:val="18"/>
          <w:i w:val="1"/>
          <w:iCs w:val="1"/>
          <w:u w:val="single" w:color="auto"/>
          <w:color w:val="auto"/>
        </w:rPr>
        <w:t>The Carlyle Group</w:t>
      </w:r>
      <w:r>
        <w:rPr>
          <w:rFonts w:ascii="Times New Roman" w:cs="Times New Roman" w:eastAsia="Times New Roman" w:hAnsi="Times New Roman"/>
          <w:sz w:val="18"/>
          <w:szCs w:val="18"/>
          <w:color w:val="auto"/>
        </w:rPr>
        <w:t>”) hold a minority indirect ownership interest in TCW that technically constitutes an indirect controlling interest in TCW. The principal business of The Carlyle Group is acting as a private investment firm with affiliated entities that include certain distinct specialized business units that are independently operated including the TCW Business Unit.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Entities affiliated with The Carlyle Group may be deemed to share beneficial ownership of the securities reported herein. Information barriers are in place between the TCW Business Unit and The Carlyle Group. Therefore, in accordance with Rule 13d-4 under the Exchange Act, The Carlyle Group disclaims beneficial ownership of the shares beneficially owned by the TCW Business Unit and reported herein. The TCW Business Unit disclaims beneficial ownership of any shares which may be owned or reported by The Carlyle Group and its affiliates.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affiliated with The Carlyle Group may beneficially own shares of an issuer to which this schedule relates and such shares are not reported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462915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60" w:top="93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x"/>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8"/>
    </w:lvl>
  </w:abstractNum>
  <w:abstractNum w:abstractNumId="3">
    <w:nsid w:val="625558EC"/>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2024-02-12T10:58:34Z</dcterms:created>
  <dcterms:modified xsi:type="dcterms:W3CDTF">2024-02-12T10:58:34Z</dcterms:modified>
</cp:coreProperties>
</file>