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5"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27, 2020</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332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British Columbia, Canada</w:t>
            </w:r>
          </w:p>
        </w:tc>
        <w:tc>
          <w:tcPr>
            <w:tcW w:w="33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1-36246</w:t>
            </w:r>
          </w:p>
        </w:tc>
        <w:tc>
          <w:tcPr>
            <w:tcW w:w="244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1"/>
              </w:rPr>
              <w:t>(State or other jurisdiction</w:t>
            </w:r>
          </w:p>
        </w:tc>
        <w:tc>
          <w:tcPr>
            <w:tcW w:w="33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w:t>
            </w:r>
          </w:p>
        </w:tc>
        <w:tc>
          <w:tcPr>
            <w:tcW w:w="2440" w:type="dxa"/>
            <w:vAlign w:val="bottom"/>
          </w:tcPr>
          <w:p>
            <w:pPr>
              <w:jc w:val="center"/>
              <w:ind w:left="990"/>
              <w:spacing w:after="0"/>
              <w:rPr>
                <w:sz w:val="20"/>
                <w:szCs w:val="20"/>
                <w:color w:val="auto"/>
              </w:rPr>
            </w:pPr>
            <w:r>
              <w:rPr>
                <w:rFonts w:ascii="Arial" w:cs="Arial" w:eastAsia="Arial" w:hAnsi="Arial"/>
                <w:sz w:val="18"/>
                <w:szCs w:val="18"/>
                <w:color w:val="auto"/>
                <w:w w:val="93"/>
              </w:rPr>
              <w:t>(I.R.S. Employer</w:t>
            </w:r>
          </w:p>
        </w:tc>
      </w:tr>
      <w:tr>
        <w:trPr>
          <w:trHeight w:val="230"/>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50"/>
              <w:spacing w:after="0"/>
              <w:rPr>
                <w:sz w:val="20"/>
                <w:szCs w:val="20"/>
                <w:color w:val="auto"/>
              </w:rPr>
            </w:pPr>
            <w:r>
              <w:rPr>
                <w:rFonts w:ascii="Arial" w:cs="Arial" w:eastAsia="Arial" w:hAnsi="Arial"/>
                <w:sz w:val="18"/>
                <w:szCs w:val="18"/>
                <w:color w:val="auto"/>
                <w:w w:val="91"/>
              </w:rPr>
              <w:t>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4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2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4"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3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CVEO</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Item 3.01 Notice of Delisting or Failure to Satisfy a Continued Listing Rule or Standard; Transfer of Listing.</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27, 2020, Civeo Corporation (the “Company”) was notified by the New York Stock Exchange (the “NYSE”) that the average closing price of the Company’s common shares, no par value (the “Common Shares”), over a consecutive 30-day trading period had fallen below $1.00 per share, which is the minimum average closing price required to maintain listing on the NYSE under Section 802.01C of the NYSE Listed Company Manual.</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general, a listed company has a period of six months following the receipt of the notice to regain compliance. In order to regain compliance, on the last trading day in any calendar month during the cure period, the Common Shares must have (i) a closing price of at least $1.00 per share and (ii) an average closing price of at least $1.00 per share over the 30 trading day period ending on the last trading day of such month. If shareholder approval is required, the price condition will be deemed cured if the price promptly exceeds $1.00 per share, and the price remains above the level for at least the following 30 trading days. If the Company is unable to regain compliance, the NYSE will initiate procedures to suspend and delist the Common Shares.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the NYSE, the Company has notified the NYSE of its intent to cure the listing standard deficiency and restore its compliance with the NYSE continued listing standards. The Company’s Board of Directors intends to propose a reverse share split for shareholder approval at the Company’s annual meeting of shareholders currently scheduled for May 2020.</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notice has no immediate impact on the listing of the Common Shares, which will continue to be listed and traded on the NYSE during this period, subject to the Company’s compliance with the other listing requirements of the NYSE. The Common Shares will continue to trade under the symbol “CVEO”, but will have an added designation of “.BC” to indicate the status of the Common Shares as “below compliance”.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Common Shares ultimately were to be delisted for any reason, it could negatively impact the Company by (i) reducing the liquidity and market price of the Company’s Common Shares; (ii) reducing the number of investors willing to hold or acquire the Common Shares, which could negatively impact the Company’s ability to raise equity financing; (iii) limiting the Company’s ability to use a registration statement to offer and sell freely tradable securities, thereby preventing the Company from accessing the public capital markets; and (iv) impairing the Company’s ability to provide equity incentives to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2020, the Company issued a press release with respect to the receipt of the notice of noncompliance from the NYSE. A copy of the press release is furnished as Exhibit 99.1 hereto and is incorporated by reference herein.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contained in this Item 7.01 and the exhibit hereto shall not be deemed to be “filed” for purposes of Section 18 of the Securities Exchange Act of 1934, as amended, and shall not be incorporated by reference into any filings made by the Company under the Securities Act of 1933, as amended, or the Exchange Act, except as may be expressly set forth by specific reference in such filing.</w:t>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54"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900" w:type="dxa"/>
            <w:vAlign w:val="bottom"/>
          </w:tcPr>
          <w:p>
            <w:pPr>
              <w:spacing w:after="0"/>
              <w:rPr>
                <w:sz w:val="17"/>
                <w:szCs w:val="17"/>
                <w:color w:val="auto"/>
              </w:rPr>
            </w:pPr>
          </w:p>
        </w:tc>
      </w:tr>
      <w:tr>
        <w:trPr>
          <w:trHeight w:val="574"/>
        </w:trPr>
        <w:tc>
          <w:tcPr>
            <w:tcW w:w="1580" w:type="dxa"/>
            <w:vAlign w:val="bottom"/>
          </w:tcPr>
          <w:p>
            <w:pPr>
              <w:ind w:left="20"/>
              <w:spacing w:after="0"/>
              <w:rPr>
                <w:sz w:val="20"/>
                <w:szCs w:val="20"/>
                <w:color w:val="auto"/>
              </w:rPr>
            </w:pPr>
            <w:r>
              <w:rPr>
                <w:rFonts w:ascii="Arial" w:cs="Arial" w:eastAsia="Arial" w:hAnsi="Arial"/>
                <w:sz w:val="18"/>
                <w:szCs w:val="18"/>
                <w:color w:val="auto"/>
              </w:rPr>
              <w:t>99.1</w:t>
            </w:r>
          </w:p>
        </w:tc>
        <w:tc>
          <w:tcPr>
            <w:tcW w:w="48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Press release, dated March 31, 2020, issued by Civeo Corporation.</w:t>
              </w:r>
            </w:hyperlink>
          </w:p>
        </w:tc>
      </w:tr>
    </w:tbl>
    <w:p>
      <w:pPr>
        <w:sectPr>
          <w:pgSz w:w="11900" w:h="16838" w:orient="portrait"/>
          <w:cols w:equalWidth="0" w:num="1">
            <w:col w:w="10139"/>
          </w:cols>
          <w:pgMar w:left="320" w:top="1215"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980" w:type="dxa"/>
            <w:vAlign w:val="bottom"/>
            <w:gridSpan w:val="3"/>
          </w:tcPr>
          <w:p>
            <w:pPr>
              <w:ind w:left="1300"/>
              <w:spacing w:after="0"/>
              <w:rPr>
                <w:sz w:val="20"/>
                <w:szCs w:val="20"/>
                <w:color w:val="auto"/>
              </w:rPr>
            </w:pPr>
            <w:r>
              <w:rPr>
                <w:rFonts w:ascii="Arial" w:cs="Arial" w:eastAsia="Arial" w:hAnsi="Arial"/>
                <w:sz w:val="18"/>
                <w:szCs w:val="18"/>
                <w:b w:val="1"/>
                <w:bCs w:val="1"/>
                <w:color w:val="auto"/>
              </w:rPr>
              <w:t>Civeo Corporation</w:t>
            </w:r>
          </w:p>
        </w:tc>
      </w:tr>
      <w:tr>
        <w:trPr>
          <w:trHeight w:val="850"/>
        </w:trPr>
        <w:tc>
          <w:tcPr>
            <w:tcW w:w="2960" w:type="dxa"/>
            <w:vAlign w:val="bottom"/>
          </w:tcPr>
          <w:p>
            <w:pPr>
              <w:spacing w:after="0"/>
              <w:rPr>
                <w:sz w:val="20"/>
                <w:szCs w:val="20"/>
                <w:color w:val="auto"/>
              </w:rPr>
            </w:pPr>
            <w:r>
              <w:rPr>
                <w:rFonts w:ascii="Arial" w:cs="Arial" w:eastAsia="Arial" w:hAnsi="Arial"/>
                <w:sz w:val="18"/>
                <w:szCs w:val="18"/>
                <w:color w:val="auto"/>
              </w:rPr>
              <w:t>Dated: March 31, 2020</w:t>
            </w:r>
          </w:p>
        </w:tc>
        <w:tc>
          <w:tcPr>
            <w:tcW w:w="2220" w:type="dxa"/>
            <w:vAlign w:val="bottom"/>
          </w:tcPr>
          <w:p>
            <w:pPr>
              <w:ind w:left="1300"/>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spacing w:after="0"/>
              <w:rPr>
                <w:sz w:val="20"/>
                <w:szCs w:val="20"/>
                <w:color w:val="auto"/>
              </w:rPr>
            </w:pPr>
            <w:r>
              <w:rPr>
                <w:rFonts w:ascii="Arial" w:cs="Arial" w:eastAsia="Arial" w:hAnsi="Arial"/>
                <w:sz w:val="18"/>
                <w:szCs w:val="18"/>
                <w:color w:val="auto"/>
              </w:rPr>
              <w:t>/s/ Carolyn J. Stone</w:t>
            </w:r>
          </w:p>
        </w:tc>
      </w:tr>
      <w:tr>
        <w:trPr>
          <w:trHeight w:val="318"/>
        </w:trPr>
        <w:tc>
          <w:tcPr>
            <w:tcW w:w="2960" w:type="dxa"/>
            <w:vAlign w:val="bottom"/>
          </w:tcPr>
          <w:p>
            <w:pPr>
              <w:spacing w:after="0"/>
              <w:rPr>
                <w:sz w:val="24"/>
                <w:szCs w:val="24"/>
                <w:color w:val="auto"/>
              </w:rPr>
            </w:pPr>
          </w:p>
        </w:tc>
        <w:tc>
          <w:tcPr>
            <w:tcW w:w="2220" w:type="dxa"/>
            <w:vAlign w:val="bottom"/>
          </w:tcPr>
          <w:p>
            <w:pPr>
              <w:ind w:left="1300"/>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Carolyn J. Stone</w:t>
            </w:r>
          </w:p>
        </w:tc>
        <w:tc>
          <w:tcPr>
            <w:tcW w:w="1360" w:type="dxa"/>
            <w:vAlign w:val="bottom"/>
          </w:tcPr>
          <w:p>
            <w:pPr>
              <w:spacing w:after="0"/>
              <w:rPr>
                <w:sz w:val="24"/>
                <w:szCs w:val="24"/>
                <w:color w:val="auto"/>
              </w:rPr>
            </w:pPr>
          </w:p>
        </w:tc>
      </w:tr>
      <w:tr>
        <w:trPr>
          <w:trHeight w:val="283"/>
        </w:trPr>
        <w:tc>
          <w:tcPr>
            <w:tcW w:w="2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w:t>
            </w:r>
          </w:p>
        </w:tc>
      </w:tr>
      <w:tr>
        <w:trPr>
          <w:trHeight w:val="230"/>
        </w:trPr>
        <w:tc>
          <w:tcPr>
            <w:tcW w:w="2960" w:type="dxa"/>
            <w:vAlign w:val="bottom"/>
          </w:tcPr>
          <w:p>
            <w:pPr>
              <w:spacing w:after="0"/>
              <w:rPr>
                <w:sz w:val="20"/>
                <w:szCs w:val="20"/>
                <w:color w:val="auto"/>
              </w:rPr>
            </w:pPr>
          </w:p>
        </w:tc>
        <w:tc>
          <w:tcPr>
            <w:tcW w:w="2220" w:type="dxa"/>
            <w:vAlign w:val="bottom"/>
          </w:tcPr>
          <w:p>
            <w:pPr>
              <w:ind w:left="1300"/>
              <w:spacing w:after="0"/>
              <w:rPr>
                <w:sz w:val="20"/>
                <w:szCs w:val="20"/>
                <w:color w:val="auto"/>
              </w:rPr>
            </w:pPr>
            <w:r>
              <w:rPr>
                <w:rFonts w:ascii="Arial" w:cs="Arial" w:eastAsia="Arial" w:hAnsi="Arial"/>
                <w:sz w:val="18"/>
                <w:szCs w:val="18"/>
                <w:color w:val="auto"/>
              </w:rPr>
              <w:t>Title:</w:t>
            </w:r>
          </w:p>
        </w:tc>
        <w:tc>
          <w:tcPr>
            <w:tcW w:w="276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240"/>
          </w:cols>
          <w:pgMar w:left="320" w:top="113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Receives Continued Listing Standard Notice from NYSE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color w:val="auto"/>
        </w:rPr>
        <w:t>HOUSTON, TEXAS, March 31, 2020 — Civeo Corporation (NYSE: CVEO) today announced that on March 27, 2020, Civeo was notified by the New York Stock Exchange of its noncompliance with continued listing standards because the average closing price of its common shares over a consecutive 30-day trading period had fallen below $1.00 per share, which is the minimum average closing price per share required to maintain listing on the NYSE.</w:t>
      </w:r>
    </w:p>
    <w:p>
      <w:pPr>
        <w:spacing w:after="0" w:line="123"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color w:val="auto"/>
        </w:rPr>
        <w:t>In response to the letter, Bradley J. Dodson, Civeo’s President and Chief Executive Officer, stated, “The spread of COVID-19 has taken its toll on the global economy in recent weeks and, coupled with the oil price war between Saudi Arabia and Russia, has resulted in a collapse of oil prices. The confluence of events has created unprecedented downward pressure on energy industry stocks, particularly for small-cap companies with operations in the U.S. and Canada such as Civeo. Our shares have traded below $1.00 per share for a period of time long enough for the NYSE to issue a non-compliance notice. In response, the Company’s Board of Directors is reviewing available alternatives to return to compliance with the NYSE continued listing standards. At the Company’s annual meeting of shareholders currently scheduled for May 2020, the Company’s Board of Directors intends to seek approval from shareholders that would allow Civeo to effect a reverse share split, if needed, to cure the listing standard deficiency.”</w:t>
      </w:r>
    </w:p>
    <w:p>
      <w:pPr>
        <w:spacing w:after="0" w:line="124"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As required by the NYSE, the Company has notified the NYSE of its intent to cure the deficiency and restore its compliance with the NYSE continued listing standards. In general, a listed company has a period of six months following the receipt of the notice to regain compliance. In order to regain compliance, on the last trading day in any calendar month during the cure period, the Company’s common shares must have (i) a closing price of at least $1.00 per share and (ii) an average closing price of at least $1.00 per share over the 30 trading day period ending on the last trading day of such month. If shareholder approval is required, the price condition will be deemed cured if the price promptly exceeds $1.00 per share, and the price remains above the level for at least the following 30 trading days. During this period, subject to Civeo’s compliance with other NYSE continued listing requirements, Civeo’s common shares will continue to be traded on the NYSE under the symbol “CVEO” but will have an added designation of “.BC” to indicate the status of the common shares as below compliance. If Civeo is unable to regain compliance, the NYSE will initiate procedures to suspend and delist Civeo’s common shares.</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8"/>
          <w:szCs w:val="18"/>
          <w:color w:val="auto"/>
        </w:rPr>
        <w:t>The NYSE notification does not affect Civeo’s business operations or its Securities and Exchange Commission reporting requirements and does not result in a default under any of the Company’s material debt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85" w:lineRule="exact"/>
        <w:rPr>
          <w:sz w:val="20"/>
          <w:szCs w:val="20"/>
          <w:color w:val="auto"/>
        </w:rPr>
      </w:pPr>
    </w:p>
    <w:p>
      <w:pPr>
        <w:ind w:right="200"/>
        <w:spacing w:after="0" w:line="299" w:lineRule="auto"/>
        <w:rPr>
          <w:sz w:val="20"/>
          <w:szCs w:val="20"/>
          <w:color w:val="auto"/>
        </w:rPr>
      </w:pPr>
      <w:r>
        <w:rPr>
          <w:rFonts w:ascii="Arial" w:cs="Arial" w:eastAsia="Arial" w:hAnsi="Arial"/>
          <w:sz w:val="18"/>
          <w:szCs w:val="18"/>
          <w:color w:val="auto"/>
        </w:rPr>
        <w:t xml:space="preserve">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t>
      </w:r>
      <w:r>
        <w:rPr>
          <w:rFonts w:ascii="Arial" w:cs="Arial" w:eastAsia="Arial" w:hAnsi="Arial"/>
          <w:sz w:val="18"/>
          <w:szCs w:val="18"/>
          <w:u w:val="single" w:color="auto"/>
          <w:color w:val="0563C1"/>
        </w:rPr>
        <w:t>www.civeo.com</w:t>
      </w:r>
      <w:r>
        <w:rPr>
          <w:rFonts w:ascii="Arial" w:cs="Arial" w:eastAsia="Arial" w:hAnsi="Arial"/>
          <w:sz w:val="18"/>
          <w:szCs w:val="18"/>
          <w:color w:val="auto"/>
        </w:rPr>
        <w:t>.</w:t>
      </w:r>
    </w:p>
    <w:p>
      <w:pPr>
        <w:sectPr>
          <w:pgSz w:w="11900" w:h="16838" w:orient="portrait"/>
          <w:cols w:equalWidth="0" w:num="1">
            <w:col w:w="11220"/>
          </w:cols>
          <w:pgMar w:left="320" w:top="6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85"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 this news release include the statements regarding Civeo’s future plans, including with respect to restoring compliance with NYSE continue listing standards.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or sharp declines in the current and future prices of oil, coal, iron ore and other minerals, risks associated with currency exchange rates, risks 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risks associated with global health concerns and pandemics, including the risk that room occupancy may decline if our customers are limited or restricted in the availability of personnel who may become ill or be subjected to quarantine, and other factors discussed in the "Management’s Discussion and Analysis of Financial Condition and Results of Operations" and "Risk Factors" sections of Civeo’s annual report on Form 10-K for the year ended December 31, 2019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Development &amp; Investor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832-667-5140</w:t>
      </w:r>
    </w:p>
    <w:sectPr>
      <w:pgSz w:w="11900" w:h="16838" w:orient="portrait"/>
      <w:cols w:equalWidth="0" w:num="1">
        <w:col w:w="11200"/>
      </w:cols>
      <w:pgMar w:left="320" w:top="63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2020-03-31T07:45:52Z</dcterms:created>
  <dcterms:modified xsi:type="dcterms:W3CDTF">2020-03-31T07:45:52Z</dcterms:modified>
</cp:coreProperties>
</file>