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18, 2022</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At the 2022 Annual General Meeting of Shareholders on May 18, 2022, the shareholders of Civeo Corporation (“Civeo”): (1) elected three Class II nominees to Civeo’s Board of Directors (the “Board”); (2) voted, on an advisory basis, in favor of the compensation of the persons listed as named executive officers in Civeo’s proxy statement filed with the Securities and Exchange Commission on April 7, 2022 (the “Proxy Statement”); and (3) ratified the appointment of Ernst &amp; Young LLP as Civeo’s independent registered public accounting firm for the year ending December 31, 2022 and until the next annual general meeting of shareholders and authorized the directors of Civeo, acting through the Audit Committee, to determine the remuneration to be paid to Ernst &amp; Young LLP for 2022. The proposals related to each matter are described in detail in the Proxy Statement. The voting results for each proposal are as follows: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 To elect the three Class II nominees to the Board: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7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A. Lambert</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9,851,775</w:t>
            </w:r>
          </w:p>
        </w:tc>
        <w:tc>
          <w:tcPr>
            <w:tcW w:w="2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86,402</w:t>
            </w:r>
          </w:p>
        </w:tc>
        <w:tc>
          <w:tcPr>
            <w:tcW w:w="25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2,110,262</w:t>
            </w: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Constance B. Moore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9,853,043</w:t>
            </w:r>
          </w:p>
        </w:tc>
        <w:tc>
          <w:tcPr>
            <w:tcW w:w="2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85,134</w:t>
            </w:r>
          </w:p>
        </w:tc>
        <w:tc>
          <w:tcPr>
            <w:tcW w:w="25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2,110,262</w:t>
            </w:r>
          </w:p>
        </w:tc>
      </w:tr>
      <w:tr>
        <w:trPr>
          <w:trHeight w:val="22"/>
        </w:trPr>
        <w:tc>
          <w:tcPr>
            <w:tcW w:w="2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A. Navarre</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9,656,495</w:t>
            </w:r>
          </w:p>
        </w:tc>
        <w:tc>
          <w:tcPr>
            <w:tcW w:w="200" w:type="dxa"/>
            <w:vAlign w:val="bottom"/>
            <w:shd w:val="clear" w:color="auto" w:fill="CCEEFF"/>
          </w:tcPr>
          <w:p>
            <w:pPr>
              <w:spacing w:after="0"/>
              <w:rPr>
                <w:sz w:val="20"/>
                <w:szCs w:val="20"/>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281,682</w:t>
            </w:r>
          </w:p>
        </w:tc>
        <w:tc>
          <w:tcPr>
            <w:tcW w:w="25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2,110,262</w:t>
            </w:r>
          </w:p>
        </w:tc>
      </w:tr>
      <w:tr>
        <w:trPr>
          <w:trHeight w:val="22"/>
        </w:trPr>
        <w:tc>
          <w:tcPr>
            <w:tcW w:w="276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6640195</wp:posOffset>
            </wp:positionH>
            <wp:positionV relativeFrom="paragraph">
              <wp:posOffset>-496570</wp:posOffset>
            </wp:positionV>
            <wp:extent cx="51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 To approve, on an advisory basis, the compensation of the named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9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28"/>
        </w:trPr>
        <w:tc>
          <w:tcPr>
            <w:tcW w:w="19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9,014,691</w:t>
            </w:r>
          </w:p>
        </w:tc>
        <w:tc>
          <w:tcPr>
            <w:tcW w:w="340" w:type="dxa"/>
            <w:vAlign w:val="bottom"/>
            <w:shd w:val="clear" w:color="auto" w:fill="CCEEFF"/>
          </w:tcPr>
          <w:p>
            <w:pPr>
              <w:spacing w:after="0"/>
              <w:rPr>
                <w:sz w:val="19"/>
                <w:szCs w:val="19"/>
                <w:color w:val="auto"/>
              </w:rPr>
            </w:pPr>
          </w:p>
        </w:tc>
        <w:tc>
          <w:tcPr>
            <w:tcW w:w="25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119,375</w:t>
            </w:r>
          </w:p>
        </w:tc>
        <w:tc>
          <w:tcPr>
            <w:tcW w:w="440" w:type="dxa"/>
            <w:vAlign w:val="bottom"/>
            <w:shd w:val="clear" w:color="auto" w:fill="CCEEFF"/>
          </w:tcPr>
          <w:p>
            <w:pPr>
              <w:spacing w:after="0"/>
              <w:rPr>
                <w:sz w:val="19"/>
                <w:szCs w:val="19"/>
                <w:color w:val="auto"/>
              </w:rPr>
            </w:pPr>
          </w:p>
        </w:tc>
        <w:tc>
          <w:tcPr>
            <w:tcW w:w="2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804,111</w:t>
            </w:r>
          </w:p>
        </w:tc>
        <w:tc>
          <w:tcPr>
            <w:tcW w:w="29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2,110,262</w:t>
            </w:r>
          </w:p>
        </w:tc>
      </w:tr>
      <w:tr>
        <w:trPr>
          <w:trHeight w:val="22"/>
        </w:trPr>
        <w:tc>
          <w:tcPr>
            <w:tcW w:w="1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Proposal 3 - To ratify the appointment of Ernst &amp; Young LLP as Civeo’s independent registered public accounting firm for the year ending December 31, 2022 and until the next annual general meeting of shareholders and to authorize the directors of Civeo, acting through the Audit Committee, to determine the remuneration to be paid to Ernst &amp; Young LLP for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Withheld</w:t>
            </w:r>
          </w:p>
        </w:tc>
        <w:tc>
          <w:tcPr>
            <w:tcW w:w="6460" w:type="dxa"/>
            <w:vAlign w:val="bottom"/>
            <w:gridSpan w:val="3"/>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0" w:type="dxa"/>
            <w:vAlign w:val="bottom"/>
          </w:tcPr>
          <w:p>
            <w:pPr>
              <w:spacing w:after="0"/>
              <w:rPr>
                <w:sz w:val="2"/>
                <w:szCs w:val="2"/>
                <w:color w:val="auto"/>
              </w:rPr>
            </w:pPr>
          </w:p>
        </w:tc>
      </w:tr>
      <w:tr>
        <w:trPr>
          <w:trHeight w:val="230"/>
        </w:trPr>
        <w:tc>
          <w:tcPr>
            <w:tcW w:w="19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11,981,230</w:t>
            </w:r>
          </w:p>
        </w:tc>
        <w:tc>
          <w:tcPr>
            <w:tcW w:w="24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67,209</w:t>
            </w:r>
          </w:p>
        </w:tc>
        <w:tc>
          <w:tcPr>
            <w:tcW w:w="3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4000" w:type="dxa"/>
            <w:vAlign w:val="bottom"/>
          </w:tcPr>
          <w:p>
            <w:pPr>
              <w:spacing w:after="0"/>
              <w:rPr>
                <w:sz w:val="20"/>
                <w:szCs w:val="20"/>
                <w:color w:val="auto"/>
              </w:rPr>
            </w:pPr>
          </w:p>
        </w:tc>
      </w:tr>
      <w:tr>
        <w:trPr>
          <w:trHeight w:val="1627"/>
        </w:trPr>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18, 2022</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Carolyn J. Stone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51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2022-05-18T15:17:53Z</dcterms:created>
  <dcterms:modified xsi:type="dcterms:W3CDTF">2022-05-18T15:17:53Z</dcterms:modified>
</cp:coreProperties>
</file>