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-4909820</wp:posOffset>
            </wp:positionH>
            <wp:positionV relativeFrom="paragraph">
              <wp:posOffset>211455</wp:posOffset>
            </wp:positionV>
            <wp:extent cx="6964045" cy="4831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9,710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1,936,268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491,553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7,797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1,928,471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491,287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2,251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1,926,220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491,210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10,318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1,915,902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490,858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-2444750</wp:posOffset>
            </wp:positionV>
            <wp:extent cx="7031355" cy="28517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85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71755</wp:posOffset>
            </wp:positionH>
            <wp:positionV relativeFrom="paragraph">
              <wp:posOffset>151130</wp:posOffset>
            </wp:positionV>
            <wp:extent cx="2648585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2783840" cy="2276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$17.35 to $18.06.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$16.96 to $17.88.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$16.50 to $16.81.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$17.41 to $18.355.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9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5901" TargetMode="External"/><Relationship Id="rId14" Type="http://schemas.openxmlformats.org/officeDocument/2006/relationships/hyperlink" Target="http://www.sec.gov/cgi-bin/browse-edgar?action=getcompany&amp;CIK=0001590584" TargetMode="External"/><Relationship Id="rId18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2021-03-05T17:24:23Z</dcterms:created>
  <dcterms:modified xsi:type="dcterms:W3CDTF">2021-03-05T17:24:23Z</dcterms:modified>
</cp:coreProperties>
</file>