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jc w:val="center"/>
        <w:ind w:left="360"/>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-6985</wp:posOffset>
            </wp:positionV>
            <wp:extent cx="143510" cy="193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510" cy="193675"/>
                    </a:xfrm>
                    <a:prstGeom prst="rect">
                      <a:avLst/>
                    </a:prstGeom>
                    <a:noFill/>
                  </pic:spPr>
                </pic:pic>
              </a:graphicData>
            </a:graphic>
          </wp:anchor>
        </w:drawing>
      </w:r>
    </w:p>
    <w:p>
      <w:pPr>
        <w:jc w:val="both"/>
        <w:ind w:left="360" w:right="360" w:hanging="274"/>
        <w:spacing w:after="0" w:line="185"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19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5471160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4130675</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19050</wp:posOffset>
            </wp:positionV>
            <wp:extent cx="7324090"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3077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00" w:space="380"/>
            <w:col w:w="884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Green Ronald R</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05/30/2014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90"/>
        <w:spacing w:after="0"/>
        <w:rPr>
          <w:sz w:val="20"/>
          <w:szCs w:val="20"/>
          <w:color w:val="auto"/>
        </w:rPr>
      </w:pPr>
      <w:r>
        <w:rPr>
          <w:rFonts w:ascii="Arial" w:cs="Arial" w:eastAsia="Arial" w:hAnsi="Arial"/>
          <w:sz w:val="17"/>
          <w:szCs w:val="17"/>
          <w:color w:val="0000FF"/>
        </w:rPr>
        <w:t>See Remarks</w:t>
      </w:r>
    </w:p>
    <w:p>
      <w:pPr>
        <w:spacing w:after="0" w:line="318"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80" w:type="dxa"/>
            <w:vAlign w:val="bottom"/>
            <w:gridSpan w:val="7"/>
            <w:vMerge w:val="continue"/>
          </w:tcPr>
          <w:p>
            <w:pPr>
              <w:spacing w:after="0"/>
              <w:rPr>
                <w:sz w:val="7"/>
                <w:szCs w:val="7"/>
                <w:color w:val="auto"/>
              </w:rPr>
            </w:pPr>
          </w:p>
        </w:tc>
        <w:tc>
          <w:tcPr>
            <w:tcW w:w="37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20" w:type="dxa"/>
            <w:vAlign w:val="bottom"/>
            <w:gridSpan w:val="3"/>
          </w:tcPr>
          <w:p>
            <w:pPr>
              <w:ind w:left="300"/>
              <w:spacing w:after="0" w:line="186" w:lineRule="exact"/>
              <w:rPr>
                <w:sz w:val="20"/>
                <w:szCs w:val="20"/>
                <w:color w:val="auto"/>
              </w:rPr>
            </w:pPr>
            <w:r>
              <w:rPr>
                <w:rFonts w:ascii="Arial" w:cs="Arial" w:eastAsia="Arial" w:hAnsi="Arial"/>
                <w:sz w:val="17"/>
                <w:szCs w:val="17"/>
                <w:color w:val="0000FF"/>
              </w:rPr>
              <w:t>06/03/2014</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2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TX</w:t>
            </w:r>
          </w:p>
        </w:tc>
        <w:tc>
          <w:tcPr>
            <w:tcW w:w="1140" w:type="dxa"/>
            <w:vAlign w:val="bottom"/>
          </w:tcPr>
          <w:p>
            <w:pPr>
              <w:ind w:left="60"/>
              <w:spacing w:after="0"/>
              <w:rPr>
                <w:sz w:val="20"/>
                <w:szCs w:val="20"/>
                <w:color w:val="auto"/>
              </w:rPr>
            </w:pPr>
            <w:r>
              <w:rPr>
                <w:rFonts w:ascii="Arial" w:cs="Arial" w:eastAsia="Arial" w:hAnsi="Arial"/>
                <w:sz w:val="17"/>
                <w:szCs w:val="17"/>
                <w:color w:val="0000FF"/>
              </w:rPr>
              <w:t>77002</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6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6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5"/>
                <w:szCs w:val="15"/>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86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40" w:type="dxa"/>
            <w:vAlign w:val="bottom"/>
            <w:gridSpan w:val="10"/>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 Amount</w:t>
            </w:r>
          </w:p>
        </w:tc>
        <w:tc>
          <w:tcPr>
            <w:tcW w:w="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ind w:left="36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5"/>
              </w:rPr>
              <w:t>05/30/2014</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J</w:t>
            </w:r>
          </w:p>
        </w:tc>
        <w:tc>
          <w:tcPr>
            <w:tcW w:w="740" w:type="dxa"/>
            <w:vAlign w:val="bottom"/>
          </w:tcPr>
          <w:p>
            <w:pPr>
              <w:ind w:left="140"/>
              <w:spacing w:after="0"/>
              <w:rPr>
                <w:sz w:val="20"/>
                <w:szCs w:val="20"/>
                <w:color w:val="auto"/>
              </w:rPr>
            </w:pPr>
            <w:r>
              <w:rPr>
                <w:rFonts w:ascii="Arial" w:cs="Arial" w:eastAsia="Arial" w:hAnsi="Arial"/>
                <w:sz w:val="13"/>
                <w:szCs w:val="13"/>
                <w:color w:val="0000FF"/>
              </w:rPr>
              <w:t>15,311</w:t>
            </w:r>
            <w:r>
              <w:rPr>
                <w:rFonts w:ascii="Arial" w:cs="Arial" w:eastAsia="Arial" w:hAnsi="Arial"/>
                <w:sz w:val="22"/>
                <w:szCs w:val="22"/>
                <w:color w:val="008000"/>
                <w:vertAlign w:val="superscript"/>
              </w:rPr>
              <w:t>(1)</w:t>
            </w:r>
          </w:p>
        </w:tc>
        <w:tc>
          <w:tcPr>
            <w:tcW w:w="300" w:type="dxa"/>
            <w:vAlign w:val="bottom"/>
          </w:tcPr>
          <w:p>
            <w:pPr>
              <w:spacing w:after="0"/>
              <w:rPr>
                <w:sz w:val="21"/>
                <w:szCs w:val="21"/>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680" w:type="dxa"/>
            <w:vAlign w:val="bottom"/>
          </w:tcPr>
          <w:p>
            <w:pPr>
              <w:ind w:left="260"/>
              <w:spacing w:after="0"/>
              <w:rPr>
                <w:sz w:val="20"/>
                <w:szCs w:val="20"/>
                <w:color w:val="auto"/>
              </w:rPr>
            </w:pPr>
            <w:r>
              <w:rPr>
                <w:rFonts w:ascii="Arial" w:cs="Arial" w:eastAsia="Arial" w:hAnsi="Arial"/>
                <w:sz w:val="11"/>
                <w:szCs w:val="11"/>
                <w:color w:val="008000"/>
              </w:rPr>
              <w:t>(1)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tcPr>
          <w:p>
            <w:pPr>
              <w:spacing w:after="0"/>
              <w:rPr>
                <w:sz w:val="20"/>
                <w:szCs w:val="20"/>
                <w:color w:val="auto"/>
              </w:rPr>
            </w:pPr>
            <w:r>
              <w:rPr>
                <w:rFonts w:ascii="Arial" w:cs="Arial" w:eastAsia="Arial" w:hAnsi="Arial"/>
                <w:sz w:val="17"/>
                <w:szCs w:val="17"/>
                <w:color w:val="0000FF"/>
                <w:w w:val="88"/>
              </w:rPr>
              <w:t>15,311</w:t>
            </w:r>
          </w:p>
        </w:tc>
        <w:tc>
          <w:tcPr>
            <w:tcW w:w="84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90"/>
              </w:rPr>
              <w:t>15,311</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Borders>
              <w:bottom w:val="single" w:sz="8" w:color="2C2C2C"/>
            </w:tcBorders>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ind w:left="160"/>
              <w:spacing w:after="0" w:line="146" w:lineRule="exact"/>
              <w:rPr>
                <w:sz w:val="20"/>
                <w:szCs w:val="20"/>
                <w:color w:val="auto"/>
              </w:rPr>
            </w:pPr>
            <w:r>
              <w:rPr>
                <w:rFonts w:ascii="Arial" w:cs="Arial" w:eastAsia="Arial" w:hAnsi="Arial"/>
                <w:sz w:val="13"/>
                <w:szCs w:val="13"/>
                <w:color w:val="0000FF"/>
              </w:rPr>
              <w:t>Stock</w:t>
            </w:r>
          </w:p>
        </w:tc>
        <w:tc>
          <w:tcPr>
            <w:tcW w:w="4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ind w:left="36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5"/>
              </w:rPr>
              <w:t>05/30/2014</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J</w:t>
            </w:r>
          </w:p>
        </w:tc>
        <w:tc>
          <w:tcPr>
            <w:tcW w:w="740" w:type="dxa"/>
            <w:vAlign w:val="bottom"/>
          </w:tcPr>
          <w:p>
            <w:pPr>
              <w:ind w:left="140"/>
              <w:spacing w:after="0"/>
              <w:rPr>
                <w:sz w:val="20"/>
                <w:szCs w:val="20"/>
                <w:color w:val="auto"/>
              </w:rPr>
            </w:pPr>
            <w:r>
              <w:rPr>
                <w:rFonts w:ascii="Arial" w:cs="Arial" w:eastAsia="Arial" w:hAnsi="Arial"/>
                <w:sz w:val="13"/>
                <w:szCs w:val="13"/>
                <w:color w:val="0000FF"/>
              </w:rPr>
              <w:t>45,924</w:t>
            </w:r>
            <w:r>
              <w:rPr>
                <w:rFonts w:ascii="Arial" w:cs="Arial" w:eastAsia="Arial" w:hAnsi="Arial"/>
                <w:sz w:val="22"/>
                <w:szCs w:val="22"/>
                <w:color w:val="008000"/>
                <w:vertAlign w:val="superscript"/>
              </w:rPr>
              <w:t>(2)</w:t>
            </w:r>
          </w:p>
        </w:tc>
        <w:tc>
          <w:tcPr>
            <w:tcW w:w="300" w:type="dxa"/>
            <w:vAlign w:val="bottom"/>
          </w:tcPr>
          <w:p>
            <w:pPr>
              <w:spacing w:after="0"/>
              <w:rPr>
                <w:sz w:val="21"/>
                <w:szCs w:val="21"/>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(2)</w:t>
            </w:r>
          </w:p>
        </w:tc>
        <w:tc>
          <w:tcPr>
            <w:tcW w:w="680" w:type="dxa"/>
            <w:vAlign w:val="bottom"/>
          </w:tcPr>
          <w:p>
            <w:pPr>
              <w:ind w:left="260"/>
              <w:spacing w:after="0"/>
              <w:rPr>
                <w:sz w:val="20"/>
                <w:szCs w:val="20"/>
                <w:color w:val="auto"/>
              </w:rPr>
            </w:pPr>
            <w:r>
              <w:rPr>
                <w:rFonts w:ascii="Arial" w:cs="Arial" w:eastAsia="Arial" w:hAnsi="Arial"/>
                <w:sz w:val="11"/>
                <w:szCs w:val="11"/>
                <w:color w:val="008000"/>
              </w:rPr>
              <w:t>(2)</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tcPr>
          <w:p>
            <w:pPr>
              <w:spacing w:after="0"/>
              <w:rPr>
                <w:sz w:val="20"/>
                <w:szCs w:val="20"/>
                <w:color w:val="auto"/>
              </w:rPr>
            </w:pPr>
            <w:r>
              <w:rPr>
                <w:rFonts w:ascii="Arial" w:cs="Arial" w:eastAsia="Arial" w:hAnsi="Arial"/>
                <w:sz w:val="17"/>
                <w:szCs w:val="17"/>
                <w:color w:val="0000FF"/>
                <w:w w:val="88"/>
              </w:rPr>
              <w:t>45,924</w:t>
            </w:r>
          </w:p>
        </w:tc>
        <w:tc>
          <w:tcPr>
            <w:tcW w:w="84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90"/>
              </w:rPr>
              <w:t>61,235</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Borders>
              <w:bottom w:val="single" w:sz="8" w:color="2C2C2C"/>
            </w:tcBorders>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ind w:left="160"/>
              <w:spacing w:after="0" w:line="146" w:lineRule="exact"/>
              <w:rPr>
                <w:sz w:val="20"/>
                <w:szCs w:val="20"/>
                <w:color w:val="auto"/>
              </w:rPr>
            </w:pPr>
            <w:r>
              <w:rPr>
                <w:rFonts w:ascii="Arial" w:cs="Arial" w:eastAsia="Arial" w:hAnsi="Arial"/>
                <w:sz w:val="13"/>
                <w:szCs w:val="13"/>
                <w:color w:val="0000FF"/>
              </w:rPr>
              <w:t>Stock</w:t>
            </w:r>
          </w:p>
        </w:tc>
        <w:tc>
          <w:tcPr>
            <w:tcW w:w="4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660" w:type="dxa"/>
            <w:vAlign w:val="bottom"/>
          </w:tcPr>
          <w:p>
            <w:pPr>
              <w:ind w:left="360"/>
              <w:spacing w:after="0"/>
              <w:rPr>
                <w:sz w:val="20"/>
                <w:szCs w:val="20"/>
                <w:color w:val="auto"/>
              </w:rPr>
            </w:pPr>
            <w:r>
              <w:rPr>
                <w:rFonts w:ascii="Arial" w:cs="Arial" w:eastAsia="Arial" w:hAnsi="Arial"/>
                <w:sz w:val="11"/>
                <w:szCs w:val="11"/>
                <w:color w:val="008000"/>
              </w:rPr>
              <w:t>(3)</w:t>
            </w:r>
          </w:p>
        </w:tc>
        <w:tc>
          <w:tcPr>
            <w:tcW w:w="1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5"/>
              </w:rPr>
              <w:t>05/30/2014</w:t>
            </w: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J</w:t>
            </w:r>
          </w:p>
        </w:tc>
        <w:tc>
          <w:tcPr>
            <w:tcW w:w="740" w:type="dxa"/>
            <w:vAlign w:val="bottom"/>
          </w:tcPr>
          <w:p>
            <w:pPr>
              <w:ind w:left="140"/>
              <w:spacing w:after="0"/>
              <w:rPr>
                <w:sz w:val="20"/>
                <w:szCs w:val="20"/>
                <w:color w:val="auto"/>
              </w:rPr>
            </w:pPr>
            <w:r>
              <w:rPr>
                <w:rFonts w:ascii="Arial" w:cs="Arial" w:eastAsia="Arial" w:hAnsi="Arial"/>
                <w:sz w:val="13"/>
                <w:szCs w:val="13"/>
                <w:color w:val="0000FF"/>
              </w:rPr>
              <w:t>48,220</w:t>
            </w:r>
            <w:r>
              <w:rPr>
                <w:rFonts w:ascii="Arial" w:cs="Arial" w:eastAsia="Arial" w:hAnsi="Arial"/>
                <w:sz w:val="22"/>
                <w:szCs w:val="22"/>
                <w:color w:val="008000"/>
                <w:vertAlign w:val="superscript"/>
              </w:rPr>
              <w:t>(3)</w:t>
            </w:r>
          </w:p>
        </w:tc>
        <w:tc>
          <w:tcPr>
            <w:tcW w:w="300" w:type="dxa"/>
            <w:vAlign w:val="bottom"/>
          </w:tcPr>
          <w:p>
            <w:pPr>
              <w:spacing w:after="0"/>
              <w:rPr>
                <w:sz w:val="21"/>
                <w:szCs w:val="21"/>
                <w:color w:val="auto"/>
              </w:rPr>
            </w:pPr>
          </w:p>
        </w:tc>
        <w:tc>
          <w:tcPr>
            <w:tcW w:w="82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680" w:type="dxa"/>
            <w:vAlign w:val="bottom"/>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480" w:type="dxa"/>
            <w:vAlign w:val="bottom"/>
          </w:tcPr>
          <w:p>
            <w:pPr>
              <w:spacing w:after="0"/>
              <w:rPr>
                <w:sz w:val="20"/>
                <w:szCs w:val="20"/>
                <w:color w:val="auto"/>
              </w:rPr>
            </w:pPr>
            <w:r>
              <w:rPr>
                <w:rFonts w:ascii="Arial" w:cs="Arial" w:eastAsia="Arial" w:hAnsi="Arial"/>
                <w:sz w:val="17"/>
                <w:szCs w:val="17"/>
                <w:color w:val="0000FF"/>
                <w:w w:val="88"/>
              </w:rPr>
              <w:t>48,220</w:t>
            </w:r>
          </w:p>
        </w:tc>
        <w:tc>
          <w:tcPr>
            <w:tcW w:w="840" w:type="dxa"/>
            <w:vAlign w:val="bottom"/>
            <w:gridSpan w:val="3"/>
          </w:tcPr>
          <w:p>
            <w:pPr>
              <w:ind w:left="3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rPr>
                <w:sz w:val="20"/>
                <w:szCs w:val="20"/>
                <w:color w:val="auto"/>
              </w:rPr>
            </w:pPr>
            <w:r>
              <w:rPr>
                <w:rFonts w:ascii="Arial" w:cs="Arial" w:eastAsia="Arial" w:hAnsi="Arial"/>
                <w:sz w:val="13"/>
                <w:szCs w:val="13"/>
                <w:color w:val="0000FF"/>
                <w:w w:val="93"/>
              </w:rPr>
              <w:t>109,455</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64"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Phantom stock award resulting from the spin-off of the Issuer from Oil States International, Inc. on May 30, 2014 (the "Spin-Off") that vests on February 16, 2015. Each share of phantom stock is the economic equivalent of one share of Civeo Corporation stock and is payable in cash. Due to a clerical error, the original Form 4 filing incorrectly omitted this award.</w:t>
      </w:r>
    </w:p>
    <w:p>
      <w:pPr>
        <w:spacing w:after="0" w:line="16" w:lineRule="exact"/>
        <w:rPr>
          <w:rFonts w:ascii="Arial" w:cs="Arial" w:eastAsia="Arial" w:hAnsi="Arial"/>
          <w:sz w:val="13"/>
          <w:szCs w:val="13"/>
          <w:color w:val="008000"/>
        </w:rPr>
      </w:pPr>
    </w:p>
    <w:p>
      <w:pPr>
        <w:ind w:left="40" w:right="340" w:firstLine="6"/>
        <w:spacing w:after="0" w:line="264"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Phantom stock award resulting from the Spin-Off that vests in equal installments on each of February 19, 2015 and February 19, 2016. Each share of phantom stock is the economic equivalent of one share of Civeo Corporation stock and is payable in cash. Due to a clerical error, the original Form 4 filing incorrectly omitted this award.</w:t>
      </w:r>
    </w:p>
    <w:p>
      <w:pPr>
        <w:spacing w:after="0" w:line="16" w:lineRule="exact"/>
        <w:rPr>
          <w:rFonts w:ascii="Arial" w:cs="Arial" w:eastAsia="Arial" w:hAnsi="Arial"/>
          <w:sz w:val="13"/>
          <w:szCs w:val="13"/>
          <w:color w:val="008000"/>
        </w:rPr>
      </w:pPr>
    </w:p>
    <w:p>
      <w:pPr>
        <w:ind w:left="40" w:right="700" w:firstLine="6"/>
        <w:spacing w:after="0" w:line="264"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Phantom stock award resulting from the Spin-Off that vests in equal installments on each of February 19, 2015, February 19, 2016 and February 19, 2017. Each share of phantom stock is the economic equivalent of one share of Civeo Corporation stock and is payable in cash. Due to a clerical error, the original Form 4 filing incorrectly omitted this award.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Former Senior Vice President, North America</w:t>
      </w:r>
    </w:p>
    <w:p>
      <w:pPr>
        <w:ind w:left="6860"/>
        <w:spacing w:after="0" w:line="185" w:lineRule="auto"/>
        <w:rPr>
          <w:sz w:val="20"/>
          <w:szCs w:val="20"/>
          <w:color w:val="auto"/>
        </w:rPr>
      </w:pPr>
      <w:r>
        <w:rPr>
          <w:rFonts w:ascii="Arial" w:cs="Arial" w:eastAsia="Arial" w:hAnsi="Arial"/>
          <w:sz w:val="17"/>
          <w:szCs w:val="17"/>
          <w:color w:val="0000FF"/>
        </w:rPr>
        <w:t xml:space="preserve">/s/ Ronald R. Green, by Bradley </w:t>
      </w:r>
      <w:r>
        <w:rPr>
          <w:rFonts w:ascii="Arial" w:cs="Arial" w:eastAsia="Arial" w:hAnsi="Arial"/>
          <w:sz w:val="34"/>
          <w:szCs w:val="34"/>
          <w:color w:val="0000FF"/>
          <w:vertAlign w:val="subscript"/>
        </w:rPr>
        <w:t>04/16/2015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-27305</wp:posOffset>
            </wp:positionV>
            <wp:extent cx="1409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J. Dodson,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-17145</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drawing>
          <wp:anchor simplePos="0" relativeHeight="251657728" behindDoc="1" locked="0" layoutInCell="0" allowOverlap="1">
            <wp:simplePos x="0" y="0"/>
            <wp:positionH relativeFrom="column">
              <wp:posOffset>5811520</wp:posOffset>
            </wp:positionH>
            <wp:positionV relativeFrom="paragraph">
              <wp:posOffset>-85090</wp:posOffset>
            </wp:positionV>
            <wp:extent cx="499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9110" cy="8255"/>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3153"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2019-12-24T07:08:36Z</dcterms:created>
  <dcterms:modified xsi:type="dcterms:W3CDTF">2019-12-24T07:08:36Z</dcterms:modified>
</cp:coreProperties>
</file>