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1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121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Schoening Allan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333 CLAY STREET, SUITE 4980</w:t>
            </w:r>
          </w:p>
        </w:tc>
        <w:tc>
          <w:tcPr>
            <w:tcW w:w="1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Civeo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02/22/2024</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w w:val="99"/>
              </w:rPr>
              <w:t>SVP, Canada</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4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5,104</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18,525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5,104</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13,421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5"/>
              </w:rPr>
              <w:t>14,854</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28,275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2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02/22/2024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7"/>
                <w:szCs w:val="17"/>
                <w:color w:val="0000FF"/>
                <w:w w:val="99"/>
              </w:rPr>
              <w:t>7,129</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21,146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02/22/2024</w:t>
            </w:r>
          </w:p>
        </w:tc>
        <w:tc>
          <w:tcPr>
            <w:tcW w:w="110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5,104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5,104</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18,366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5,104 shares vested on February 22,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97% on the third anniversary of February 22,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Bradley J. Dodson, as</w:t>
      </w:r>
      <w:r>
        <w:rPr>
          <w:sz w:val="20"/>
          <w:szCs w:val="20"/>
          <w:color w:val="auto"/>
        </w:rPr>
        <w:tab/>
      </w:r>
      <w:r>
        <w:rPr>
          <w:rFonts w:ascii="Times New Roman" w:cs="Times New Roman" w:eastAsia="Times New Roman" w:hAnsi="Times New Roman"/>
          <w:sz w:val="16"/>
          <w:szCs w:val="16"/>
          <w:color w:val="0000FF"/>
        </w:rPr>
        <w:t>02/26/2024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2024-02-26T20:39:05Z</dcterms:created>
  <dcterms:modified xsi:type="dcterms:W3CDTF">2024-02-26T20:39:05Z</dcterms:modified>
</cp:coreProperties>
</file>