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255" cy="48621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862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Dodson Bradley J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CLAY STREET, 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CVEO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99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gridSpan w:val="9"/>
            <w:vMerge w:val="restart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Shares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02/25/2022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48,661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209,266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02/25/2022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19,148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21.97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190,118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0" w:type="dxa"/>
            <w:vAlign w:val="bottom"/>
            <w:gridSpan w:val="1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7. Title and 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02/25/2022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57,180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57,180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125,914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-1922145</wp:posOffset>
            </wp:positionV>
            <wp:extent cx="29210" cy="1927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Settlement of performance share award under the 2014 Equity Participation Plan of Civeo Corporation that cliff vested at 126% on the third anniversary of February 25,2019.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Share Award under the 2014 Equity Participation Plan of Civeo Corporation that vests in equal installments on each of the first three anniversaries of February 25, 2022.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President and Chief Executive Officer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Bradley J. Dodson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03/02/2022</w:t>
            </w:r>
          </w:p>
        </w:tc>
      </w:tr>
      <w:tr>
        <w:trPr>
          <w:trHeight w:val="20"/>
        </w:trPr>
        <w:tc>
          <w:tcPr>
            <w:tcW w:w="1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63974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2022-03-02T19:26:08Z</dcterms:created>
  <dcterms:modified xsi:type="dcterms:W3CDTF">2022-03-02T19:26:08Z</dcterms:modified>
</cp:coreProperties>
</file>