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071627.xml.htm"/>
      <w:bookmarkStart w:id="1" w:name="kswkform4_17090716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Schoening Allan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 SUITE 4980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Civeo Corp</w:t>
              </w:r>
            </w:hyperlink>
            <w:r>
              <w:rPr/>
              <w:t xml:space="preserve"> [ </w:t>
            </w:r>
            <w:r>
              <w:rPr>
                <w:rFonts w:ascii="Times;serif" w:hAnsi="Times;serif"/>
                <w:color w:val="0000FF"/>
                <w:sz w:val="24"/>
                <w:shd w:fill="FFFFFF" w:val="clear"/>
              </w:rPr>
              <w:t>CVEO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Canada</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3,055</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24,201</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3,055</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21,146</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25,746</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21,146</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share was the economic equivalent of one Civeo common share payable in cash. The phantom shares vest at various times based on grant date. 3,055 shares vested on February 23,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phantom share was the economic equivalent of one Civeo common share payable in cash. The phantom shares vest at various times based on grant date. 4,600 shares vested on February 25,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Allan Schoening, by Bradley J. Dodson,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36598" TargetMode="External"/><Relationship Id="rId4" Type="http://schemas.openxmlformats.org/officeDocument/2006/relationships/hyperlink" Target="http://www.sec.gov/cgi-bin/browse-edgar?action=getcompany&amp;CIK=000159058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3620</Characters>
  <CharactersWithSpaces>4197</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