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February 26, 2019</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26, 2019, Civeo Corporation (“Civeo”) issued a press release announcing its financial condition and results of operations as of and for the quarter and year ended December 31, 2018. A copy of the press release is furnished as Exhibit 99.1 to this report on Form 8-K, and is incorporated herein by reference.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00" w:hanging="432"/>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Number Description of Document</w:t>
      </w:r>
    </w:p>
    <w:p>
      <w:pPr>
        <w:spacing w:after="0" w:line="292" w:lineRule="exact"/>
        <w:rPr>
          <w:sz w:val="20"/>
          <w:szCs w:val="20"/>
          <w:color w:val="auto"/>
        </w:rPr>
      </w:pPr>
    </w:p>
    <w:p>
      <w:pPr>
        <w:ind w:left="20"/>
        <w:spacing w:after="0"/>
        <w:tabs>
          <w:tab w:leader="none" w:pos="7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February 26,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5200" w:type="dxa"/>
            <w:vAlign w:val="bottom"/>
            <w:gridSpan w:val="3"/>
          </w:tcPr>
          <w:p>
            <w:pPr>
              <w:ind w:left="188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February 26, 2019</w:t>
            </w:r>
          </w:p>
        </w:tc>
        <w:tc>
          <w:tcPr>
            <w:tcW w:w="5200" w:type="dxa"/>
            <w:vAlign w:val="bottom"/>
            <w:gridSpan w:val="3"/>
          </w:tcPr>
          <w:p>
            <w:pPr>
              <w:ind w:left="1880"/>
              <w:spacing w:after="0"/>
              <w:rPr>
                <w:sz w:val="20"/>
                <w:szCs w:val="20"/>
                <w:color w:val="auto"/>
              </w:rPr>
            </w:pPr>
            <w:r>
              <w:rPr>
                <w:rFonts w:ascii="Arial" w:cs="Arial" w:eastAsia="Arial" w:hAnsi="Arial"/>
                <w:sz w:val="18"/>
                <w:szCs w:val="18"/>
                <w:color w:val="auto"/>
              </w:rPr>
              <w:t>By: /s/ Frank C. Steininger</w:t>
            </w:r>
          </w:p>
        </w:tc>
      </w:tr>
      <w:tr>
        <w:trPr>
          <w:trHeight w:val="222"/>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960" w:type="dxa"/>
            <w:vAlign w:val="bottom"/>
          </w:tcPr>
          <w:p>
            <w:pPr>
              <w:spacing w:after="0"/>
              <w:rPr>
                <w:sz w:val="19"/>
                <w:szCs w:val="19"/>
                <w:color w:val="auto"/>
              </w:rPr>
            </w:pPr>
          </w:p>
        </w:tc>
      </w:tr>
      <w:tr>
        <w:trPr>
          <w:trHeight w:val="216"/>
        </w:trPr>
        <w:tc>
          <w:tcPr>
            <w:tcW w:w="3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w w:val="90"/>
              </w:rPr>
              <w:t>Executive Vice President, Chief Financial</w:t>
            </w:r>
          </w:p>
        </w:tc>
      </w:tr>
      <w:tr>
        <w:trPr>
          <w:trHeight w:val="230"/>
        </w:trPr>
        <w:tc>
          <w:tcPr>
            <w:tcW w:w="36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Officer and Treasurer</w:t>
            </w:r>
          </w:p>
        </w:tc>
      </w:tr>
    </w:tbl>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 Reports Fourth Quarter and Full Year 2018 Results</w:t>
      </w:r>
    </w:p>
    <w:p>
      <w:pPr>
        <w:spacing w:after="0" w:line="227"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HOUSTON and CALGARY, Alberta, Feb. 26, 2019 (GLOBE NEWSWIRE) -- Civeo Corporation (NYSE:CVEO) today reported financial and operating results for the fourth quarter and year ended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Reported revenues of $466.7 million, an increase of 22% from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Incurred fourth quarter net loss of $13.8 million and delivered Adjusted EBITDA of $19.9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720"/>
        <w:spacing w:after="0" w:line="251" w:lineRule="auto"/>
        <w:rPr>
          <w:sz w:val="20"/>
          <w:szCs w:val="20"/>
          <w:color w:val="auto"/>
        </w:rPr>
      </w:pPr>
      <w:r>
        <w:rPr>
          <w:rFonts w:ascii="Arial" w:cs="Arial" w:eastAsia="Arial" w:hAnsi="Arial"/>
          <w:sz w:val="22"/>
          <w:szCs w:val="22"/>
          <w:color w:val="auto"/>
        </w:rPr>
        <w:t>Generated $28.5 million in operating cash flow and $21.9 million in free cash flow allowing for $22.9 million in debt repayments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640"/>
        <w:spacing w:after="0" w:line="251" w:lineRule="auto"/>
        <w:rPr>
          <w:sz w:val="20"/>
          <w:szCs w:val="20"/>
          <w:color w:val="auto"/>
        </w:rPr>
      </w:pPr>
      <w:r>
        <w:rPr>
          <w:rFonts w:ascii="Arial" w:cs="Arial" w:eastAsia="Arial" w:hAnsi="Arial"/>
          <w:sz w:val="22"/>
          <w:szCs w:val="22"/>
          <w:color w:val="auto"/>
        </w:rPr>
        <w:t>Secured an 18-month room commitment at Sitka Lodge from LNG Canada, bringing our total LNG-related contracted revenues to approximately C$170 million through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660"/>
        <w:spacing w:after="0" w:line="251" w:lineRule="auto"/>
        <w:rPr>
          <w:sz w:val="20"/>
          <w:szCs w:val="20"/>
          <w:color w:val="auto"/>
        </w:rPr>
      </w:pPr>
      <w:r>
        <w:rPr>
          <w:rFonts w:ascii="Arial" w:cs="Arial" w:eastAsia="Arial" w:hAnsi="Arial"/>
          <w:sz w:val="22"/>
          <w:szCs w:val="22"/>
          <w:color w:val="auto"/>
        </w:rPr>
        <w:t>Awarded a hospitality services contract in Canada and a renewal in Australia totaling approximately US$90 million in revenues through 2023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“Civeo produced solid operational execution and made strategic progress in 2018, as we achieved year-over-year growth, completed integration of the Noralta acquisition and announced meaningful new business in Australia and Canada. Additionally, we generated solid free cash flow and returned our U.S. business to a positive Adjusted EBITDA contribution while enhancing our service offerings,” stated Bradley J. Dodson, Civeo's President and Chief Executive Officer.</w:t>
      </w:r>
    </w:p>
    <w:p>
      <w:pPr>
        <w:spacing w:after="0" w:line="174"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Mr. Dodson continued, “Our fourth quarter results were at the upper end of our expectations, largely driven by continued strong occupancy and favorable market conditions in Australia and the U.S. During the quarter, performance in Canada was impacted by longer holiday downtime. However, our business will benefit from the accelerating activity of LNG-related work in British Columbia, which will generate committed revenue through at least 2021.”</w:t>
      </w:r>
    </w:p>
    <w:p>
      <w:pPr>
        <w:spacing w:after="0" w:line="174"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Mr. Dodson added, “Looking ahead to 2019, we will focus on executing the contract awards secured in 2018, generating free cash flow, strengthening our balance sheet, expanding our already robust service offerings and pursuing new business opportunities across our core markets. We are well positioned to continue to deliver best-in-class hospitality services to our customers and create value for our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Fourth Quarter 2018 Results</w:t>
      </w:r>
    </w:p>
    <w:p>
      <w:pPr>
        <w:spacing w:after="0" w:line="20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In the fourth quarter of 2018, Civeo generated revenues of $114.5 million and reported a net loss of $13.8 million, or $0.08 per share. The loss represents a $15.2 million pre-tax loss resulting in part from $2.1 million in costs associated with Civeo’s acquisition of Noralta. During the fourth quarter of 2018, Civeo produced operating cash flow of $28.5 million, Adjusted EBITDA of $19.9 million and free cash flow of $21.9 million.</w:t>
      </w:r>
    </w:p>
    <w:p>
      <w:pPr>
        <w:spacing w:after="0" w:line="185"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(EBITDA is a non-GAAP financial measure that is defined as net income plus interest, taxes, depreciation and amortization, and Adjusted EBITDA is defined as EBITDA adjusted to exclude impairment charges and certain costs associated with Civeo's acquisition of Noralta.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188" w:lineRule="exact"/>
        <w:rPr>
          <w:sz w:val="20"/>
          <w:szCs w:val="20"/>
          <w:color w:val="auto"/>
        </w:rPr>
      </w:pPr>
    </w:p>
    <w:p>
      <w:pPr>
        <w:jc w:val="both"/>
        <w:ind w:right="120"/>
        <w:spacing w:after="0" w:line="287" w:lineRule="auto"/>
        <w:rPr>
          <w:sz w:val="20"/>
          <w:szCs w:val="20"/>
          <w:color w:val="auto"/>
        </w:rPr>
      </w:pPr>
      <w:r>
        <w:rPr>
          <w:rFonts w:ascii="Arial" w:cs="Arial" w:eastAsia="Arial" w:hAnsi="Arial"/>
          <w:sz w:val="19"/>
          <w:szCs w:val="19"/>
          <w:color w:val="auto"/>
        </w:rPr>
        <w:t>By comparison, in the fourth quarter of 2017, Civeo generated revenues of $101.3 million and reported a net loss of $47.6 million, or $0.36 per share. The loss represents a $51.1 million pre-tax loss resulting in part from $27.2 million in impairment charges and $2.3 million in costs associated with Civeo’s acquisition of Noralta. During the fourth quarter of 2017, Civeo generated operating cash flow of $11.3 million, Adjusted EBITDA of $13.3 million and free cash flow of $8.4 million.</w:t>
      </w:r>
    </w:p>
    <w:p>
      <w:pPr>
        <w:spacing w:after="0" w:line="143" w:lineRule="exact"/>
        <w:rPr>
          <w:sz w:val="20"/>
          <w:szCs w:val="20"/>
          <w:color w:val="auto"/>
        </w:rPr>
      </w:pPr>
    </w:p>
    <w:p>
      <w:pPr>
        <w:jc w:val="both"/>
        <w:ind w:right="40"/>
        <w:spacing w:after="0" w:line="297" w:lineRule="auto"/>
        <w:rPr>
          <w:sz w:val="20"/>
          <w:szCs w:val="20"/>
          <w:color w:val="auto"/>
        </w:rPr>
      </w:pPr>
      <w:r>
        <w:rPr>
          <w:rFonts w:ascii="Arial" w:cs="Arial" w:eastAsia="Arial" w:hAnsi="Arial"/>
          <w:sz w:val="19"/>
          <w:szCs w:val="19"/>
          <w:color w:val="auto"/>
        </w:rPr>
        <w:t>The increase in Adjusted EBITDA and the decrease in net loss in the fourth quarter of 2018 compared to 2017 was primarily due to the contribution from the Noralta assets, lower selling, general and administrative expenses, meaningful performance improvement in our U.S. business and the ongoing recovery in the Australian natural resources market associated with stable met coal prices.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Full Year 2018 Results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 the full year 2018, the Company reported revenues of $466.7 million and a net loss of $131.8 million, or $0.84 per share.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Adjusted EBITDA was $76.8 million, compared to revenues of $382.3 million and a net loss of $105.7 million, or $0.82 per share.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Adjusted EBITDA was $63.2 million in 2018.</w:t>
      </w:r>
    </w:p>
    <w:p>
      <w:pPr>
        <w:spacing w:after="0" w:line="18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The increase in Adjusted EBITDA and decrease in net loss in 2018 as compared to 2017 was primarily due to increased revenues driven by the Noralta acquisition, as well as higher activity levels in certain markets in Australia and the U.S, offset by transaction related expenses and pre-tax impairment expenses of $28.7 million and higher selling, general and administrative expenses primarily due to the Noralta acquisition.</w:t>
      </w:r>
    </w:p>
    <w:p>
      <w:pPr>
        <w:sectPr>
          <w:pgSz w:w="11900" w:h="16838" w:orient="portrait"/>
          <w:cols w:equalWidth="0" w:num="1">
            <w:col w:w="11420"/>
          </w:cols>
          <w:pgMar w:left="240" w:top="112" w:right="239" w:bottom="0" w:gutter="0" w:footer="0" w:header="0"/>
        </w:sectPr>
      </w:pPr>
    </w:p>
    <w:bookmarkStart w:id="4" w:name="page5"/>
    <w:bookmarkEnd w:id="4"/>
    <w:p>
      <w:pPr>
        <w:spacing w:after="0" w:line="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7" w:lineRule="exact"/>
        <w:rPr>
          <w:sz w:val="20"/>
          <w:szCs w:val="20"/>
          <w:color w:val="auto"/>
        </w:rPr>
      </w:pPr>
    </w:p>
    <w:p>
      <w:pPr>
        <w:ind w:right="60"/>
        <w:spacing w:after="0"/>
        <w:rPr>
          <w:sz w:val="20"/>
          <w:szCs w:val="20"/>
          <w:color w:val="auto"/>
        </w:rPr>
      </w:pPr>
      <w:r>
        <w:rPr>
          <w:rFonts w:ascii="Arial" w:cs="Arial" w:eastAsia="Arial" w:hAnsi="Arial"/>
          <w:sz w:val="22"/>
          <w:szCs w:val="22"/>
          <w:color w:val="auto"/>
        </w:rPr>
        <w:t>(Unless otherwise noted, the following discussion compares the quarterly results for the fourth quarter of 2018 to the results for the fourth quarter of 2017. The Adjusted EBITDA amounts discussed below exclude the fixed asset impairment and Noralta-related expenses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During the fourth quarter of 2018, the Canadian segment generated revenues of $69.4 million, operating loss of $7.7 million and Adjusted EBITDA of $11.8 million, compared to revenues of $63.6 million, operating loss of $36.9 million and Adjusted EBITDA of $11.4 million in the fourth quarter of 2017. The fourth quarter of 2018 results reflect the impact of a weakened Canadian dollar relative to the U.S. dollar, which decreased revenues by $2.7 million. On a constant currency basis, revenues were higher primarily due to the Noralta acquisition, offset by extended holiday downtime and subdued oil sands activity.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During the fourth quarter of 2018, the Australian segment generated revenues of $29.7 million, operating loss was $1.8 million and Adjusted EBITDA was $11.8 million, compared to revenues of $28.1 million, operating loss of $3.2 million and Adjusted EBITDA of $10.3 million in the fourth quarter of 2017.</w:t>
      </w:r>
    </w:p>
    <w:p>
      <w:pPr>
        <w:spacing w:after="0" w:line="186"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The fourth quarter of 2018 results reflect the impact of a weakened Australian dollar relative to the U.S. dollar, which decreased revenues by $2.1 million. On a constant currency basis, the Australian segment experienced a 13.3% period-over-period increase in revenues due to continued strong occupancy in our villages resulting from steadily improving activity in the mining sector.</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The U.S. segment generated revenues of $15.5 million, operating loss of $2.2 million and Adjusted EBITDA of $1.9 million in the fourth quarter of 2018, compared to revenues of $9.7 million, operating loss of $4.1 million and an Adjusted EBITDA loss of $1.2 million in the fourth quarter of 2017. The revenue increase was primarily due to the acquisition of our Acadian Acres lodge, a large fabrication project in the offshore business and continued strong occupancy levels at our lodges and utilization of wellsite units in the Mid-Con and Texas markets.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Civeo recognized an income tax benefit of $2.0 million, which resulted in an effective tax rate of 13% in the fourth quarter of 2018. During the fourth quarter of 2017, Civeo recognized an income tax benefit of $3.6 million, which resulted in an effective tax rate of 7%.</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As of December 31, 2018, Civeo had total liquidity of approximately $102.7 million, consisting of $90.3 million available under its revolving credit facilities and $12.4 million of cash on hand.</w:t>
      </w:r>
    </w:p>
    <w:p>
      <w:pPr>
        <w:spacing w:after="0" w:line="173"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Civeo’s total debt outstanding on December 31, 2018 was $379.2 million, a $43.9 million decrease since September 30, 2018. The decrease resulted primarily from repayments of $22.9 million from free cash flow generated by the business and the impact of foreign currency translation.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During 2018, Civeo invested $17.1 million in capital expenditures, up from $11.2 million during 2017.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First Quarter and Full Year 2019 Guidance</w:t>
      </w:r>
    </w:p>
    <w:p>
      <w:pPr>
        <w:spacing w:after="0" w:line="206"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For the first quarter of 2019, Civeo expects revenues of $105.0 million to $110.0 million and Adjusted EBITDA of $13.0 million to $16.0 million. For the full year of 2019, Civeo expects revenues of $470.0 million to $490.0 million and Adjusted EBITDA of $95.0 million to $105.0 million, guiding to a 24% to 37% increase in Adjusted EBITDA from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Civeo will host a conference call to discuss its fourth quarter 2018 financial results today at 11:00 a.m. Eastern time. This call is being webcast and can be accessed at Civeo's website at www.civeo.com. Participants may also join the conference call by dialing (866)-548-4713 in the United States or (323) 794-2093 internationally and using the conference ID 3056153#. A replay will be available after the call by dialing (844) 512-2921 in the United States or (412) 317-6671 internationally and using the conference ID 3056153#.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33 lodges and villages in operation in Canada and Australia, with an aggregate of approximately 33,000 rooms. Civeo is publicly</w:t>
      </w:r>
    </w:p>
    <w:p>
      <w:pPr>
        <w:sectPr>
          <w:pgSz w:w="11900" w:h="16863" w:orient="portrait"/>
          <w:cols w:equalWidth="0" w:num="1">
            <w:col w:w="11400"/>
          </w:cols>
          <w:pgMar w:left="240" w:top="118" w:right="259" w:bottom="0" w:gutter="0" w:footer="0" w:header="0"/>
        </w:sectPr>
      </w:pPr>
    </w:p>
    <w:bookmarkStart w:id="5" w:name="page6"/>
    <w:bookmarkEnd w:id="5"/>
    <w:p>
      <w:pPr>
        <w:ind w:right="1020"/>
        <w:spacing w:after="0" w:line="251" w:lineRule="auto"/>
        <w:rPr>
          <w:sz w:val="20"/>
          <w:szCs w:val="20"/>
          <w:color w:val="auto"/>
        </w:rPr>
      </w:pPr>
      <w:r>
        <w:rPr>
          <w:rFonts w:ascii="Arial" w:cs="Arial" w:eastAsia="Arial" w:hAnsi="Arial"/>
          <w:sz w:val="22"/>
          <w:szCs w:val="22"/>
          <w:color w:val="auto"/>
        </w:rPr>
        <w:t>traded under the symbol CVEO on the New York Stock Exchange. For more information, please visit Civeo's website at www.civeo.com.</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 looking statements in this news release include the statements regarding Civeo’s future plans, priorities, contracted revenues and borrowing needs; growth opportunities; optimism about activity, market demand and commodity price environment in 2019; expected benefits of the agreement with LNG Canada and LNG-related activity and first quarter and full year 2019 guidance.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and developments in the Canadian oil sands, the level of demand for coal and other natural resources from Australia, and fluctuations in the current and future prices of oil, coal, iron ore and other minerals, risks associated with currency exchange rates, risks associated with the Noralta acquisition, risks associated with the development of new projects, including whether such projects will continue in the future, and other factors discussed in the "Management’s Discussion and Analysis of Financial Condition and Results of Operations" and "Risk Factors" sections of Civeo’s annual report on Form 10-K for the year ended December 31, 2017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Financial Schedules Follow -</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CONSOLIDATED STATEMENTS OF OPERATIONS</w:t>
      </w:r>
    </w:p>
    <w:p>
      <w:pPr>
        <w:jc w:val="center"/>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4"/>
          </w:tcPr>
          <w:p>
            <w:pPr>
              <w:jc w:val="center"/>
              <w:ind w:right="132"/>
              <w:spacing w:after="0"/>
              <w:rPr>
                <w:sz w:val="20"/>
                <w:szCs w:val="20"/>
                <w:color w:val="auto"/>
              </w:rPr>
            </w:pPr>
            <w:r>
              <w:rPr>
                <w:rFonts w:ascii="Arial" w:cs="Arial" w:eastAsia="Arial" w:hAnsi="Arial"/>
                <w:sz w:val="22"/>
                <w:szCs w:val="22"/>
                <w:b w:val="1"/>
                <w:bCs w:val="1"/>
                <w:color w:val="auto"/>
              </w:rPr>
              <w:t>TWELVE MONTHS</w:t>
            </w:r>
          </w:p>
        </w:tc>
      </w:tr>
      <w:tr>
        <w:trPr>
          <w:trHeight w:val="243"/>
        </w:trPr>
        <w:tc>
          <w:tcPr>
            <w:tcW w:w="6000" w:type="dxa"/>
            <w:vAlign w:val="bottom"/>
          </w:tcPr>
          <w:p>
            <w:pPr>
              <w:spacing w:after="0"/>
              <w:rPr>
                <w:sz w:val="21"/>
                <w:szCs w:val="21"/>
                <w:color w:val="auto"/>
              </w:rPr>
            </w:pPr>
          </w:p>
        </w:tc>
        <w:tc>
          <w:tcPr>
            <w:tcW w:w="2760" w:type="dxa"/>
            <w:vAlign w:val="bottom"/>
            <w:gridSpan w:val="6"/>
          </w:tcPr>
          <w:p>
            <w:pPr>
              <w:ind w:left="40"/>
              <w:spacing w:after="0" w:line="243" w:lineRule="exact"/>
              <w:rPr>
                <w:sz w:val="20"/>
                <w:szCs w:val="20"/>
                <w:color w:val="auto"/>
              </w:rPr>
            </w:pPr>
            <w:r>
              <w:rPr>
                <w:rFonts w:ascii="Arial" w:cs="Arial" w:eastAsia="Arial" w:hAnsi="Arial"/>
                <w:sz w:val="22"/>
                <w:szCs w:val="22"/>
                <w:b w:val="1"/>
                <w:bCs w:val="1"/>
                <w:color w:val="auto"/>
              </w:rPr>
              <w:t>THREE MONTHS ENDED</w:t>
            </w:r>
          </w:p>
        </w:tc>
        <w:tc>
          <w:tcPr>
            <w:tcW w:w="220" w:type="dxa"/>
            <w:vAlign w:val="bottom"/>
          </w:tcPr>
          <w:p>
            <w:pPr>
              <w:spacing w:after="0"/>
              <w:rPr>
                <w:sz w:val="21"/>
                <w:szCs w:val="21"/>
                <w:color w:val="auto"/>
              </w:rPr>
            </w:pPr>
          </w:p>
        </w:tc>
        <w:tc>
          <w:tcPr>
            <w:tcW w:w="1500" w:type="dxa"/>
            <w:vAlign w:val="bottom"/>
            <w:gridSpan w:val="3"/>
          </w:tcPr>
          <w:p>
            <w:pPr>
              <w:jc w:val="center"/>
              <w:ind w:left="592"/>
              <w:spacing w:after="0" w:line="243" w:lineRule="exact"/>
              <w:rPr>
                <w:sz w:val="20"/>
                <w:szCs w:val="20"/>
                <w:color w:val="auto"/>
              </w:rPr>
            </w:pPr>
            <w:r>
              <w:rPr>
                <w:rFonts w:ascii="Arial" w:cs="Arial" w:eastAsia="Arial" w:hAnsi="Arial"/>
                <w:sz w:val="22"/>
                <w:szCs w:val="22"/>
                <w:b w:val="1"/>
                <w:bCs w:val="1"/>
                <w:color w:val="auto"/>
                <w:w w:val="98"/>
              </w:rPr>
              <w:t>ENDED</w:t>
            </w:r>
          </w:p>
        </w:tc>
        <w:tc>
          <w:tcPr>
            <w:tcW w:w="920" w:type="dxa"/>
            <w:vAlign w:val="bottom"/>
          </w:tcPr>
          <w:p>
            <w:pPr>
              <w:spacing w:after="0"/>
              <w:rPr>
                <w:sz w:val="21"/>
                <w:szCs w:val="21"/>
                <w:color w:val="auto"/>
              </w:rPr>
            </w:pPr>
          </w:p>
        </w:tc>
      </w:tr>
      <w:tr>
        <w:trPr>
          <w:trHeight w:val="270"/>
        </w:trPr>
        <w:tc>
          <w:tcPr>
            <w:tcW w:w="6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00" w:type="dxa"/>
            <w:vAlign w:val="bottom"/>
            <w:gridSpan w:val="5"/>
          </w:tcPr>
          <w:p>
            <w:pPr>
              <w:ind w:left="280"/>
              <w:spacing w:after="0"/>
              <w:rPr>
                <w:sz w:val="20"/>
                <w:szCs w:val="20"/>
                <w:color w:val="auto"/>
              </w:rPr>
            </w:pPr>
            <w:r>
              <w:rPr>
                <w:rFonts w:ascii="Arial" w:cs="Arial" w:eastAsia="Arial" w:hAnsi="Arial"/>
                <w:sz w:val="22"/>
                <w:szCs w:val="22"/>
                <w:b w:val="1"/>
                <w:bCs w:val="1"/>
                <w:color w:val="auto"/>
              </w:rPr>
              <w:t>DECEMBER 31,</w:t>
            </w:r>
          </w:p>
        </w:tc>
        <w:tc>
          <w:tcPr>
            <w:tcW w:w="220" w:type="dxa"/>
            <w:vAlign w:val="bottom"/>
          </w:tcPr>
          <w:p>
            <w:pPr>
              <w:spacing w:after="0"/>
              <w:rPr>
                <w:sz w:val="23"/>
                <w:szCs w:val="23"/>
                <w:color w:val="auto"/>
              </w:rPr>
            </w:pPr>
          </w:p>
        </w:tc>
        <w:tc>
          <w:tcPr>
            <w:tcW w:w="2420" w:type="dxa"/>
            <w:vAlign w:val="bottom"/>
            <w:gridSpan w:val="4"/>
          </w:tcPr>
          <w:p>
            <w:pPr>
              <w:jc w:val="center"/>
              <w:ind w:right="112"/>
              <w:spacing w:after="0"/>
              <w:rPr>
                <w:sz w:val="20"/>
                <w:szCs w:val="20"/>
                <w:color w:val="auto"/>
              </w:rPr>
            </w:pPr>
            <w:r>
              <w:rPr>
                <w:rFonts w:ascii="Arial" w:cs="Arial" w:eastAsia="Arial" w:hAnsi="Arial"/>
                <w:sz w:val="22"/>
                <w:szCs w:val="22"/>
                <w:b w:val="1"/>
                <w:bCs w:val="1"/>
                <w:color w:val="auto"/>
                <w:w w:val="95"/>
              </w:rPr>
              <w:t>DECEMBER 31,</w:t>
            </w:r>
          </w:p>
        </w:tc>
      </w:tr>
      <w:tr>
        <w:trPr>
          <w:trHeight w:val="282"/>
        </w:trPr>
        <w:tc>
          <w:tcPr>
            <w:tcW w:w="6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w w:val="98"/>
              </w:rPr>
              <w:t>2017</w:t>
            </w:r>
          </w:p>
        </w:tc>
      </w:tr>
      <w:tr>
        <w:trPr>
          <w:trHeight w:val="532"/>
        </w:trPr>
        <w:tc>
          <w:tcPr>
            <w:tcW w:w="6000" w:type="dxa"/>
            <w:vAlign w:val="bottom"/>
          </w:tcPr>
          <w:p>
            <w:pPr>
              <w:spacing w:after="0"/>
              <w:rPr>
                <w:sz w:val="20"/>
                <w:szCs w:val="20"/>
                <w:color w:val="auto"/>
              </w:rPr>
            </w:pPr>
            <w:r>
              <w:rPr>
                <w:rFonts w:ascii="Arial" w:cs="Arial" w:eastAsia="Arial" w:hAnsi="Arial"/>
                <w:sz w:val="22"/>
                <w:szCs w:val="22"/>
                <w:color w:val="auto"/>
              </w:rPr>
              <w:t>Revenues</w:t>
            </w:r>
          </w:p>
        </w:tc>
        <w:tc>
          <w:tcPr>
            <w:tcW w:w="260" w:type="dxa"/>
            <w:vAlign w:val="bottom"/>
          </w:tcPr>
          <w:p>
            <w:pPr>
              <w:ind w:left="20"/>
              <w:spacing w:after="0"/>
              <w:rPr>
                <w:sz w:val="20"/>
                <w:szCs w:val="20"/>
                <w:color w:val="auto"/>
              </w:rPr>
            </w:pPr>
            <w:r>
              <w:rPr>
                <w:rFonts w:ascii="Arial" w:cs="Arial" w:eastAsia="Arial" w:hAnsi="Arial"/>
                <w:sz w:val="22"/>
                <w:szCs w:val="22"/>
                <w:color w:val="auto"/>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114,520</w:t>
            </w:r>
          </w:p>
        </w:tc>
        <w:tc>
          <w:tcPr>
            <w:tcW w:w="1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101,348</w:t>
            </w: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466,692</w:t>
            </w:r>
          </w:p>
        </w:tc>
        <w:tc>
          <w:tcPr>
            <w:tcW w:w="12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ind w:right="12"/>
              <w:spacing w:after="0"/>
              <w:rPr>
                <w:sz w:val="20"/>
                <w:szCs w:val="20"/>
                <w:color w:val="auto"/>
              </w:rPr>
            </w:pPr>
            <w:r>
              <w:rPr>
                <w:rFonts w:ascii="Arial" w:cs="Arial" w:eastAsia="Arial" w:hAnsi="Arial"/>
                <w:sz w:val="22"/>
                <w:szCs w:val="22"/>
                <w:color w:val="auto"/>
                <w:w w:val="98"/>
              </w:rPr>
              <w:t>382,276</w:t>
            </w:r>
          </w:p>
        </w:tc>
      </w:tr>
      <w:tr>
        <w:trPr>
          <w:trHeight w:val="536"/>
        </w:trPr>
        <w:tc>
          <w:tcPr>
            <w:tcW w:w="6000" w:type="dxa"/>
            <w:vAlign w:val="bottom"/>
          </w:tcPr>
          <w:p>
            <w:pPr>
              <w:spacing w:after="0"/>
              <w:rPr>
                <w:sz w:val="20"/>
                <w:szCs w:val="20"/>
                <w:color w:val="auto"/>
              </w:rPr>
            </w:pPr>
            <w:r>
              <w:rPr>
                <w:rFonts w:ascii="Arial" w:cs="Arial" w:eastAsia="Arial" w:hAnsi="Arial"/>
                <w:sz w:val="22"/>
                <w:szCs w:val="22"/>
                <w:color w:val="auto"/>
              </w:rPr>
              <w:t>Costs and expenses: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000" w:type="dxa"/>
            <w:vAlign w:val="bottom"/>
          </w:tcPr>
          <w:p>
            <w:pPr>
              <w:ind w:left="200"/>
              <w:spacing w:after="0"/>
              <w:rPr>
                <w:sz w:val="20"/>
                <w:szCs w:val="20"/>
                <w:color w:val="auto"/>
              </w:rPr>
            </w:pPr>
            <w:r>
              <w:rPr>
                <w:rFonts w:ascii="Arial" w:cs="Arial" w:eastAsia="Arial" w:hAnsi="Arial"/>
                <w:sz w:val="22"/>
                <w:szCs w:val="22"/>
                <w:color w:val="auto"/>
              </w:rPr>
              <w:t>Cost of sales and services</w:t>
            </w: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82,564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70,575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330,382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w w:val="98"/>
              </w:rPr>
              <w:t>257,258</w:t>
            </w:r>
          </w:p>
        </w:tc>
      </w:tr>
      <w:tr>
        <w:trPr>
          <w:trHeight w:val="270"/>
        </w:trPr>
        <w:tc>
          <w:tcPr>
            <w:tcW w:w="6000" w:type="dxa"/>
            <w:vAlign w:val="bottom"/>
          </w:tcPr>
          <w:p>
            <w:pPr>
              <w:ind w:left="200"/>
              <w:spacing w:after="0"/>
              <w:rPr>
                <w:sz w:val="20"/>
                <w:szCs w:val="20"/>
                <w:color w:val="auto"/>
              </w:rPr>
            </w:pPr>
            <w:r>
              <w:rPr>
                <w:rFonts w:ascii="Arial" w:cs="Arial" w:eastAsia="Arial" w:hAnsi="Arial"/>
                <w:sz w:val="22"/>
                <w:szCs w:val="22"/>
                <w:color w:val="auto"/>
              </w:rPr>
              <w:t>Selling, general and administrative expenses</w:t>
            </w: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12,314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19,290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69,068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63,431</w:t>
            </w:r>
          </w:p>
        </w:tc>
      </w:tr>
      <w:tr>
        <w:trPr>
          <w:trHeight w:val="270"/>
        </w:trPr>
        <w:tc>
          <w:tcPr>
            <w:tcW w:w="6000" w:type="dxa"/>
            <w:vAlign w:val="bottom"/>
          </w:tcPr>
          <w:p>
            <w:pPr>
              <w:ind w:left="200"/>
              <w:spacing w:after="0"/>
              <w:rPr>
                <w:sz w:val="20"/>
                <w:szCs w:val="20"/>
                <w:color w:val="auto"/>
              </w:rPr>
            </w:pPr>
            <w:r>
              <w:rPr>
                <w:rFonts w:ascii="Arial" w:cs="Arial" w:eastAsia="Arial" w:hAnsi="Arial"/>
                <w:sz w:val="22"/>
                <w:szCs w:val="22"/>
                <w:color w:val="auto"/>
              </w:rPr>
              <w:t>Depreciation and amortization expense</w:t>
            </w: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26,344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29,360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125,846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w w:val="98"/>
              </w:rPr>
              <w:t>126,443</w:t>
            </w:r>
          </w:p>
        </w:tc>
      </w:tr>
      <w:tr>
        <w:trPr>
          <w:trHeight w:val="270"/>
        </w:trPr>
        <w:tc>
          <w:tcPr>
            <w:tcW w:w="6000" w:type="dxa"/>
            <w:vAlign w:val="bottom"/>
          </w:tcPr>
          <w:p>
            <w:pPr>
              <w:ind w:left="200"/>
              <w:spacing w:after="0"/>
              <w:rPr>
                <w:sz w:val="20"/>
                <w:szCs w:val="20"/>
                <w:color w:val="auto"/>
              </w:rPr>
            </w:pPr>
            <w:r>
              <w:rPr>
                <w:rFonts w:ascii="Arial" w:cs="Arial" w:eastAsia="Arial" w:hAnsi="Arial"/>
                <w:sz w:val="22"/>
                <w:szCs w:val="22"/>
                <w:color w:val="auto"/>
              </w:rPr>
              <w:t>Impairment expense</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27,244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28,661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31,604</w:t>
            </w:r>
          </w:p>
        </w:tc>
      </w:tr>
      <w:tr>
        <w:trPr>
          <w:trHeight w:val="276"/>
        </w:trPr>
        <w:tc>
          <w:tcPr>
            <w:tcW w:w="6000" w:type="dxa"/>
            <w:vAlign w:val="bottom"/>
          </w:tcPr>
          <w:p>
            <w:pPr>
              <w:ind w:left="200"/>
              <w:spacing w:after="0"/>
              <w:rPr>
                <w:sz w:val="20"/>
                <w:szCs w:val="20"/>
                <w:color w:val="auto"/>
              </w:rPr>
            </w:pPr>
            <w:r>
              <w:rPr>
                <w:rFonts w:ascii="Arial" w:cs="Arial" w:eastAsia="Arial" w:hAnsi="Arial"/>
                <w:sz w:val="22"/>
                <w:szCs w:val="22"/>
                <w:color w:val="auto"/>
              </w:rPr>
              <w:t>Other operating expense</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442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407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790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1,511</w:t>
            </w:r>
          </w:p>
        </w:tc>
      </w:tr>
      <w:tr>
        <w:trPr>
          <w:trHeight w:val="265"/>
        </w:trPr>
        <w:tc>
          <w:tcPr>
            <w:tcW w:w="60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121,664</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146,876</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554,747</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8"/>
              </w:rPr>
              <w:t>480,247</w:t>
            </w:r>
          </w:p>
        </w:tc>
      </w:tr>
      <w:tr>
        <w:trPr>
          <w:trHeight w:val="268"/>
        </w:trPr>
        <w:tc>
          <w:tcPr>
            <w:tcW w:w="6000" w:type="dxa"/>
            <w:vAlign w:val="bottom"/>
          </w:tcPr>
          <w:p>
            <w:pPr>
              <w:spacing w:after="0"/>
              <w:rPr>
                <w:sz w:val="20"/>
                <w:szCs w:val="20"/>
                <w:color w:val="auto"/>
              </w:rPr>
            </w:pPr>
            <w:r>
              <w:rPr>
                <w:rFonts w:ascii="Arial" w:cs="Arial" w:eastAsia="Arial" w:hAnsi="Arial"/>
                <w:sz w:val="22"/>
                <w:szCs w:val="22"/>
                <w:color w:val="auto"/>
              </w:rPr>
              <w:t>Operating loss</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(7,144)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(45,528)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(88,055)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(97,971)</w:t>
            </w:r>
          </w:p>
        </w:tc>
      </w:tr>
      <w:tr>
        <w:trPr>
          <w:trHeight w:val="528"/>
        </w:trPr>
        <w:tc>
          <w:tcPr>
            <w:tcW w:w="6000" w:type="dxa"/>
            <w:vAlign w:val="bottom"/>
          </w:tcPr>
          <w:p>
            <w:pPr>
              <w:spacing w:after="0"/>
              <w:rPr>
                <w:sz w:val="20"/>
                <w:szCs w:val="20"/>
                <w:color w:val="auto"/>
              </w:rPr>
            </w:pPr>
            <w:r>
              <w:rPr>
                <w:rFonts w:ascii="Arial" w:cs="Arial" w:eastAsia="Arial" w:hAnsi="Arial"/>
                <w:sz w:val="22"/>
                <w:szCs w:val="22"/>
                <w:color w:val="auto"/>
              </w:rPr>
              <w:t>Interest expense, net of capitalized interest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(6,929)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(5,742)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(26,258)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(21,439)</w:t>
            </w:r>
          </w:p>
        </w:tc>
      </w:tr>
      <w:tr>
        <w:trPr>
          <w:trHeight w:val="270"/>
        </w:trPr>
        <w:tc>
          <w:tcPr>
            <w:tcW w:w="60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(748)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(842)</w:t>
            </w:r>
          </w:p>
        </w:tc>
      </w:tr>
      <w:tr>
        <w:trPr>
          <w:trHeight w:val="270"/>
        </w:trPr>
        <w:tc>
          <w:tcPr>
            <w:tcW w:w="6000" w:type="dxa"/>
            <w:vAlign w:val="bottom"/>
          </w:tcPr>
          <w:p>
            <w:pPr>
              <w:spacing w:after="0"/>
              <w:rPr>
                <w:sz w:val="20"/>
                <w:szCs w:val="20"/>
                <w:color w:val="auto"/>
              </w:rPr>
            </w:pPr>
            <w:r>
              <w:rPr>
                <w:rFonts w:ascii="Arial" w:cs="Arial" w:eastAsia="Arial" w:hAnsi="Arial"/>
                <w:sz w:val="22"/>
                <w:szCs w:val="22"/>
                <w:color w:val="auto"/>
              </w:rPr>
              <w:t>Interest income</w:t>
            </w: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226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200</w:t>
            </w:r>
          </w:p>
        </w:tc>
      </w:tr>
      <w:tr>
        <w:trPr>
          <w:trHeight w:val="275"/>
        </w:trPr>
        <w:tc>
          <w:tcPr>
            <w:tcW w:w="6000" w:type="dxa"/>
            <w:vAlign w:val="bottom"/>
          </w:tcPr>
          <w:p>
            <w:pPr>
              <w:spacing w:after="0"/>
              <w:rPr>
                <w:sz w:val="20"/>
                <w:szCs w:val="20"/>
                <w:color w:val="auto"/>
              </w:rPr>
            </w:pPr>
            <w:r>
              <w:rPr>
                <w:rFonts w:ascii="Arial" w:cs="Arial" w:eastAsia="Arial" w:hAnsi="Arial"/>
                <w:sz w:val="22"/>
                <w:szCs w:val="22"/>
                <w:color w:val="auto"/>
              </w:rPr>
              <w:t>Other income (expense)</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(1,300)</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61</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1,623</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1,308</w:t>
            </w:r>
          </w:p>
        </w:tc>
      </w:tr>
      <w:tr>
        <w:trPr>
          <w:trHeight w:val="259"/>
        </w:trPr>
        <w:tc>
          <w:tcPr>
            <w:tcW w:w="6000" w:type="dxa"/>
            <w:vAlign w:val="bottom"/>
          </w:tcPr>
          <w:p>
            <w:pPr>
              <w:ind w:left="200"/>
              <w:spacing w:after="0"/>
              <w:rPr>
                <w:sz w:val="20"/>
                <w:szCs w:val="20"/>
                <w:color w:val="auto"/>
              </w:rPr>
            </w:pPr>
            <w:r>
              <w:rPr>
                <w:rFonts w:ascii="Arial" w:cs="Arial" w:eastAsia="Arial" w:hAnsi="Arial"/>
                <w:sz w:val="22"/>
                <w:szCs w:val="22"/>
                <w:color w:val="auto"/>
              </w:rPr>
              <w:t>Loss before income taxes</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(15,239)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(51,078)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(113,212)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w w:val="93"/>
              </w:rPr>
              <w:t>(118,744)</w:t>
            </w:r>
          </w:p>
        </w:tc>
      </w:tr>
      <w:tr>
        <w:trPr>
          <w:trHeight w:val="275"/>
        </w:trPr>
        <w:tc>
          <w:tcPr>
            <w:tcW w:w="6000" w:type="dxa"/>
            <w:vAlign w:val="bottom"/>
          </w:tcPr>
          <w:p>
            <w:pPr>
              <w:spacing w:after="0"/>
              <w:rPr>
                <w:sz w:val="20"/>
                <w:szCs w:val="20"/>
                <w:color w:val="auto"/>
              </w:rPr>
            </w:pPr>
            <w:r>
              <w:rPr>
                <w:rFonts w:ascii="Arial" w:cs="Arial" w:eastAsia="Arial" w:hAnsi="Arial"/>
                <w:sz w:val="22"/>
                <w:szCs w:val="22"/>
                <w:color w:val="auto"/>
              </w:rPr>
              <w:t>Income tax benefit</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1,979</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3,615</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31,365</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13,490</w:t>
            </w:r>
          </w:p>
        </w:tc>
      </w:tr>
      <w:tr>
        <w:trPr>
          <w:trHeight w:val="259"/>
        </w:trPr>
        <w:tc>
          <w:tcPr>
            <w:tcW w:w="6000" w:type="dxa"/>
            <w:vAlign w:val="bottom"/>
          </w:tcPr>
          <w:p>
            <w:pPr>
              <w:spacing w:after="0"/>
              <w:rPr>
                <w:sz w:val="20"/>
                <w:szCs w:val="20"/>
                <w:color w:val="auto"/>
              </w:rPr>
            </w:pPr>
            <w:r>
              <w:rPr>
                <w:rFonts w:ascii="Arial" w:cs="Arial" w:eastAsia="Arial" w:hAnsi="Arial"/>
                <w:sz w:val="22"/>
                <w:szCs w:val="22"/>
                <w:color w:val="auto"/>
              </w:rPr>
              <w:t>Net loss</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(13,260)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(47,463)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(81,847)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w w:val="93"/>
              </w:rPr>
              <w:t>(105,254)</w:t>
            </w:r>
          </w:p>
        </w:tc>
      </w:tr>
      <w:tr>
        <w:trPr>
          <w:trHeight w:val="275"/>
        </w:trPr>
        <w:tc>
          <w:tcPr>
            <w:tcW w:w="6000" w:type="dxa"/>
            <w:vAlign w:val="bottom"/>
          </w:tcPr>
          <w:p>
            <w:pPr>
              <w:ind w:left="200"/>
              <w:spacing w:after="0"/>
              <w:rPr>
                <w:sz w:val="20"/>
                <w:szCs w:val="20"/>
                <w:color w:val="auto"/>
              </w:rPr>
            </w:pPr>
            <w:r>
              <w:rPr>
                <w:rFonts w:ascii="Arial" w:cs="Arial" w:eastAsia="Arial" w:hAnsi="Arial"/>
                <w:sz w:val="22"/>
                <w:szCs w:val="22"/>
                <w:color w:val="auto"/>
              </w:rPr>
              <w:t>Less: Net income attributable to noncontrolling interest</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55</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116</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396</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459</w:t>
            </w:r>
          </w:p>
        </w:tc>
      </w:tr>
      <w:tr>
        <w:trPr>
          <w:trHeight w:val="259"/>
        </w:trPr>
        <w:tc>
          <w:tcPr>
            <w:tcW w:w="6000" w:type="dxa"/>
            <w:vAlign w:val="bottom"/>
          </w:tcPr>
          <w:p>
            <w:pPr>
              <w:spacing w:after="0"/>
              <w:rPr>
                <w:sz w:val="20"/>
                <w:szCs w:val="20"/>
                <w:color w:val="auto"/>
              </w:rPr>
            </w:pPr>
            <w:r>
              <w:rPr>
                <w:rFonts w:ascii="Arial" w:cs="Arial" w:eastAsia="Arial" w:hAnsi="Arial"/>
                <w:sz w:val="22"/>
                <w:szCs w:val="22"/>
                <w:color w:val="auto"/>
              </w:rPr>
              <w:t>Net loss attributable to Civeo Corporation</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(13,315)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(47,579)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(82,243)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w w:val="93"/>
              </w:rPr>
              <w:t>(105,713)</w:t>
            </w:r>
          </w:p>
        </w:tc>
      </w:tr>
      <w:tr>
        <w:trPr>
          <w:trHeight w:val="276"/>
        </w:trPr>
        <w:tc>
          <w:tcPr>
            <w:tcW w:w="6000" w:type="dxa"/>
            <w:vAlign w:val="bottom"/>
          </w:tcPr>
          <w:p>
            <w:pPr>
              <w:ind w:left="200"/>
              <w:spacing w:after="0"/>
              <w:rPr>
                <w:sz w:val="20"/>
                <w:szCs w:val="20"/>
                <w:color w:val="auto"/>
              </w:rPr>
            </w:pPr>
            <w:r>
              <w:rPr>
                <w:rFonts w:ascii="Arial" w:cs="Arial" w:eastAsia="Arial" w:hAnsi="Arial"/>
                <w:sz w:val="22"/>
                <w:szCs w:val="22"/>
                <w:color w:val="auto"/>
              </w:rPr>
              <w:t>Less: Dividends attributable to Class A preferred shares</w:t>
            </w:r>
          </w:p>
        </w:tc>
        <w:tc>
          <w:tcPr>
            <w:tcW w:w="26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489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49,589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w:t>
            </w:r>
          </w:p>
        </w:tc>
      </w:tr>
      <w:tr>
        <w:trPr>
          <w:trHeight w:val="265"/>
        </w:trPr>
        <w:tc>
          <w:tcPr>
            <w:tcW w:w="6000" w:type="dxa"/>
            <w:vAlign w:val="bottom"/>
          </w:tcPr>
          <w:p>
            <w:pPr>
              <w:spacing w:after="0"/>
              <w:rPr>
                <w:sz w:val="20"/>
                <w:szCs w:val="20"/>
                <w:color w:val="auto"/>
              </w:rPr>
            </w:pPr>
            <w:r>
              <w:rPr>
                <w:rFonts w:ascii="Arial" w:cs="Arial" w:eastAsia="Arial" w:hAnsi="Arial"/>
                <w:sz w:val="22"/>
                <w:szCs w:val="22"/>
                <w:color w:val="auto"/>
                <w:w w:val="95"/>
              </w:rPr>
              <w:t>Net loss attributable to Civeo Corporation common shareholders</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(13,804)</w:t>
            </w:r>
          </w:p>
        </w:tc>
        <w:tc>
          <w:tcPr>
            <w:tcW w:w="12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(47,579)</w:t>
            </w:r>
          </w:p>
        </w:tc>
        <w:tc>
          <w:tcPr>
            <w:tcW w:w="12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(131,832)</w:t>
            </w:r>
          </w:p>
        </w:tc>
        <w:tc>
          <w:tcPr>
            <w:tcW w:w="12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3"/>
              </w:rPr>
              <w:t>(105,713)</w:t>
            </w:r>
          </w:p>
        </w:tc>
      </w:tr>
      <w:tr>
        <w:trPr>
          <w:trHeight w:val="21"/>
        </w:trPr>
        <w:tc>
          <w:tcPr>
            <w:tcW w:w="60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6"/>
        </w:trPr>
        <w:tc>
          <w:tcPr>
            <w:tcW w:w="7380" w:type="dxa"/>
            <w:vAlign w:val="bottom"/>
            <w:gridSpan w:val="4"/>
          </w:tcPr>
          <w:p>
            <w:pPr>
              <w:spacing w:after="0"/>
              <w:rPr>
                <w:sz w:val="20"/>
                <w:szCs w:val="20"/>
                <w:color w:val="auto"/>
              </w:rPr>
            </w:pPr>
            <w:r>
              <w:rPr>
                <w:rFonts w:ascii="Arial" w:cs="Arial" w:eastAsia="Arial" w:hAnsi="Arial"/>
                <w:sz w:val="22"/>
                <w:szCs w:val="22"/>
                <w:color w:val="auto"/>
              </w:rPr>
              <w:t>Net loss per share attributable to Civeo Corporation common shareholders: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000" w:type="dxa"/>
            <w:vAlign w:val="bottom"/>
          </w:tcPr>
          <w:p>
            <w:pPr>
              <w:ind w:left="200"/>
              <w:spacing w:after="0"/>
              <w:rPr>
                <w:sz w:val="20"/>
                <w:szCs w:val="20"/>
                <w:color w:val="auto"/>
              </w:rPr>
            </w:pPr>
            <w:r>
              <w:rPr>
                <w:rFonts w:ascii="Arial" w:cs="Arial" w:eastAsia="Arial" w:hAnsi="Arial"/>
                <w:sz w:val="22"/>
                <w:szCs w:val="22"/>
                <w:color w:val="auto"/>
              </w:rPr>
              <w:t>Basic</w:t>
            </w:r>
          </w:p>
        </w:tc>
        <w:tc>
          <w:tcPr>
            <w:tcW w:w="260" w:type="dxa"/>
            <w:vAlign w:val="bottom"/>
          </w:tcPr>
          <w:p>
            <w:pPr>
              <w:ind w:left="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(0.08)</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(0.36)</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(0.84)</w:t>
            </w: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(0.82)</w:t>
            </w:r>
          </w:p>
        </w:tc>
      </w:tr>
      <w:tr>
        <w:trPr>
          <w:trHeight w:val="275"/>
        </w:trPr>
        <w:tc>
          <w:tcPr>
            <w:tcW w:w="6000" w:type="dxa"/>
            <w:vAlign w:val="bottom"/>
          </w:tcPr>
          <w:p>
            <w:pPr>
              <w:ind w:left="200"/>
              <w:spacing w:after="0"/>
              <w:rPr>
                <w:sz w:val="20"/>
                <w:szCs w:val="20"/>
                <w:color w:val="auto"/>
              </w:rPr>
            </w:pPr>
            <w:r>
              <w:rPr>
                <w:rFonts w:ascii="Arial" w:cs="Arial" w:eastAsia="Arial" w:hAnsi="Arial"/>
                <w:sz w:val="22"/>
                <w:szCs w:val="22"/>
                <w:color w:val="auto"/>
              </w:rPr>
              <w:t>Diluted</w:t>
            </w:r>
          </w:p>
        </w:tc>
        <w:tc>
          <w:tcPr>
            <w:tcW w:w="260" w:type="dxa"/>
            <w:vAlign w:val="bottom"/>
          </w:tcPr>
          <w:p>
            <w:pPr>
              <w:ind w:left="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(0.08)</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(0.36)</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(0.84)</w:t>
            </w: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(0.82)</w:t>
            </w:r>
          </w:p>
        </w:tc>
      </w:tr>
    </w:tbl>
    <w:p>
      <w:pPr>
        <w:spacing w:after="0" w:line="266" w:lineRule="exact"/>
        <w:rPr>
          <w:sz w:val="20"/>
          <w:szCs w:val="20"/>
          <w:color w:val="auto"/>
        </w:rPr>
      </w:pPr>
    </w:p>
    <w:p>
      <w:pPr>
        <w:ind w:left="20"/>
        <w:spacing w:after="0"/>
        <w:rPr>
          <w:sz w:val="20"/>
          <w:szCs w:val="20"/>
          <w:color w:val="auto"/>
        </w:rPr>
      </w:pPr>
      <w:r>
        <w:rPr>
          <w:rFonts w:ascii="Arial" w:cs="Arial" w:eastAsia="Arial" w:hAnsi="Arial"/>
          <w:sz w:val="22"/>
          <w:szCs w:val="22"/>
          <w:color w:val="auto"/>
        </w:rPr>
        <w:t>Weighted average number of common shares outstanding:</w:t>
      </w:r>
    </w:p>
    <w:p>
      <w:pPr>
        <w:sectPr>
          <w:pgSz w:w="11900" w:h="16838" w:orient="portrait"/>
          <w:cols w:equalWidth="0" w:num="1">
            <w:col w:w="11420"/>
          </w:cols>
          <w:pgMar w:left="240" w:top="118" w:right="239" w:bottom="0" w:gutter="0" w:footer="0" w:header="0"/>
        </w:sectPr>
      </w:pPr>
    </w:p>
    <w:bookmarkStart w:id="6" w:name="page7"/>
    <w:bookmarkEnd w:id="6"/>
    <w:tbl>
      <w:tblPr>
        <w:tblLayout w:type="fixed"/>
        <w:tblInd w:w="200" w:type="dxa"/>
        <w:tblCellMar>
          <w:top w:w="0" w:type="dxa"/>
          <w:left w:w="0" w:type="dxa"/>
          <w:bottom w:w="0" w:type="dxa"/>
          <w:right w:w="0" w:type="dxa"/>
        </w:tblCellMar>
      </w:tblPr>
      <w:tr>
        <w:trPr>
          <w:trHeight w:val="271"/>
        </w:trPr>
        <w:tc>
          <w:tcPr>
            <w:tcW w:w="3440" w:type="dxa"/>
            <w:vAlign w:val="bottom"/>
          </w:tcPr>
          <w:p>
            <w:pPr>
              <w:spacing w:after="0"/>
              <w:rPr>
                <w:sz w:val="20"/>
                <w:szCs w:val="20"/>
                <w:color w:val="auto"/>
              </w:rPr>
            </w:pPr>
            <w:r>
              <w:rPr>
                <w:rFonts w:ascii="Arial" w:cs="Arial" w:eastAsia="Arial" w:hAnsi="Arial"/>
                <w:sz w:val="22"/>
                <w:szCs w:val="22"/>
                <w:color w:val="auto"/>
              </w:rPr>
              <w:t>Basic</w:t>
            </w:r>
          </w:p>
        </w:tc>
        <w:tc>
          <w:tcPr>
            <w:tcW w:w="3840" w:type="dxa"/>
            <w:vAlign w:val="bottom"/>
          </w:tcPr>
          <w:p>
            <w:pPr>
              <w:jc w:val="right"/>
              <w:ind w:right="232"/>
              <w:spacing w:after="0"/>
              <w:rPr>
                <w:sz w:val="20"/>
                <w:szCs w:val="20"/>
                <w:color w:val="auto"/>
              </w:rPr>
            </w:pPr>
            <w:r>
              <w:rPr>
                <w:rFonts w:ascii="Arial" w:cs="Arial" w:eastAsia="Arial" w:hAnsi="Arial"/>
                <w:sz w:val="22"/>
                <w:szCs w:val="22"/>
                <w:color w:val="auto"/>
              </w:rPr>
              <w:t>165,599</w:t>
            </w:r>
          </w:p>
        </w:tc>
        <w:tc>
          <w:tcPr>
            <w:tcW w:w="1380" w:type="dxa"/>
            <w:vAlign w:val="bottom"/>
          </w:tcPr>
          <w:p>
            <w:pPr>
              <w:jc w:val="right"/>
              <w:ind w:right="232"/>
              <w:spacing w:after="0"/>
              <w:rPr>
                <w:sz w:val="20"/>
                <w:szCs w:val="20"/>
                <w:color w:val="auto"/>
              </w:rPr>
            </w:pPr>
            <w:r>
              <w:rPr>
                <w:rFonts w:ascii="Arial" w:cs="Arial" w:eastAsia="Arial" w:hAnsi="Arial"/>
                <w:sz w:val="22"/>
                <w:szCs w:val="22"/>
                <w:color w:val="auto"/>
              </w:rPr>
              <w:t>130,894</w:t>
            </w:r>
          </w:p>
        </w:tc>
        <w:tc>
          <w:tcPr>
            <w:tcW w:w="1380" w:type="dxa"/>
            <w:vAlign w:val="bottom"/>
          </w:tcPr>
          <w:p>
            <w:pPr>
              <w:jc w:val="right"/>
              <w:ind w:right="232"/>
              <w:spacing w:after="0"/>
              <w:rPr>
                <w:sz w:val="20"/>
                <w:szCs w:val="20"/>
                <w:color w:val="auto"/>
              </w:rPr>
            </w:pPr>
            <w:r>
              <w:rPr>
                <w:rFonts w:ascii="Arial" w:cs="Arial" w:eastAsia="Arial" w:hAnsi="Arial"/>
                <w:sz w:val="22"/>
                <w:szCs w:val="22"/>
                <w:color w:val="auto"/>
              </w:rPr>
              <w:t>157,231</w:t>
            </w:r>
          </w:p>
        </w:tc>
        <w:tc>
          <w:tcPr>
            <w:tcW w:w="1040" w:type="dxa"/>
            <w:vAlign w:val="bottom"/>
          </w:tcPr>
          <w:p>
            <w:pPr>
              <w:jc w:val="right"/>
              <w:spacing w:after="0"/>
              <w:rPr>
                <w:sz w:val="20"/>
                <w:szCs w:val="20"/>
                <w:color w:val="auto"/>
              </w:rPr>
            </w:pPr>
            <w:r>
              <w:rPr>
                <w:rFonts w:ascii="Arial" w:cs="Arial" w:eastAsia="Arial" w:hAnsi="Arial"/>
                <w:sz w:val="22"/>
                <w:szCs w:val="22"/>
                <w:color w:val="auto"/>
              </w:rPr>
              <w:t>128,365</w:t>
            </w:r>
          </w:p>
        </w:tc>
      </w:tr>
      <w:tr>
        <w:trPr>
          <w:trHeight w:val="275"/>
        </w:trPr>
        <w:tc>
          <w:tcPr>
            <w:tcW w:w="3440" w:type="dxa"/>
            <w:vAlign w:val="bottom"/>
          </w:tcPr>
          <w:p>
            <w:pPr>
              <w:spacing w:after="0"/>
              <w:rPr>
                <w:sz w:val="20"/>
                <w:szCs w:val="20"/>
                <w:color w:val="auto"/>
              </w:rPr>
            </w:pPr>
            <w:r>
              <w:rPr>
                <w:rFonts w:ascii="Arial" w:cs="Arial" w:eastAsia="Arial" w:hAnsi="Arial"/>
                <w:sz w:val="22"/>
                <w:szCs w:val="22"/>
                <w:color w:val="auto"/>
              </w:rPr>
              <w:t>Diluted</w:t>
            </w:r>
          </w:p>
        </w:tc>
        <w:tc>
          <w:tcPr>
            <w:tcW w:w="3840" w:type="dxa"/>
            <w:vAlign w:val="bottom"/>
          </w:tcPr>
          <w:p>
            <w:pPr>
              <w:jc w:val="right"/>
              <w:ind w:right="232"/>
              <w:spacing w:after="0"/>
              <w:rPr>
                <w:sz w:val="20"/>
                <w:szCs w:val="20"/>
                <w:color w:val="auto"/>
              </w:rPr>
            </w:pPr>
            <w:r>
              <w:rPr>
                <w:rFonts w:ascii="Arial" w:cs="Arial" w:eastAsia="Arial" w:hAnsi="Arial"/>
                <w:sz w:val="22"/>
                <w:szCs w:val="22"/>
                <w:color w:val="auto"/>
              </w:rPr>
              <w:t>165,599</w:t>
            </w:r>
          </w:p>
        </w:tc>
        <w:tc>
          <w:tcPr>
            <w:tcW w:w="1380" w:type="dxa"/>
            <w:vAlign w:val="bottom"/>
          </w:tcPr>
          <w:p>
            <w:pPr>
              <w:jc w:val="right"/>
              <w:ind w:right="232"/>
              <w:spacing w:after="0"/>
              <w:rPr>
                <w:sz w:val="20"/>
                <w:szCs w:val="20"/>
                <w:color w:val="auto"/>
              </w:rPr>
            </w:pPr>
            <w:r>
              <w:rPr>
                <w:rFonts w:ascii="Arial" w:cs="Arial" w:eastAsia="Arial" w:hAnsi="Arial"/>
                <w:sz w:val="22"/>
                <w:szCs w:val="22"/>
                <w:color w:val="auto"/>
              </w:rPr>
              <w:t>130,894</w:t>
            </w:r>
          </w:p>
        </w:tc>
        <w:tc>
          <w:tcPr>
            <w:tcW w:w="1380" w:type="dxa"/>
            <w:vAlign w:val="bottom"/>
          </w:tcPr>
          <w:p>
            <w:pPr>
              <w:jc w:val="right"/>
              <w:ind w:right="232"/>
              <w:spacing w:after="0"/>
              <w:rPr>
                <w:sz w:val="20"/>
                <w:szCs w:val="20"/>
                <w:color w:val="auto"/>
              </w:rPr>
            </w:pPr>
            <w:r>
              <w:rPr>
                <w:rFonts w:ascii="Arial" w:cs="Arial" w:eastAsia="Arial" w:hAnsi="Arial"/>
                <w:sz w:val="22"/>
                <w:szCs w:val="22"/>
                <w:color w:val="auto"/>
              </w:rPr>
              <w:t>157,231</w:t>
            </w:r>
          </w:p>
        </w:tc>
        <w:tc>
          <w:tcPr>
            <w:tcW w:w="1040" w:type="dxa"/>
            <w:vAlign w:val="bottom"/>
          </w:tcPr>
          <w:p>
            <w:pPr>
              <w:jc w:val="right"/>
              <w:spacing w:after="0"/>
              <w:rPr>
                <w:sz w:val="20"/>
                <w:szCs w:val="20"/>
                <w:color w:val="auto"/>
              </w:rPr>
            </w:pPr>
            <w:r>
              <w:rPr>
                <w:rFonts w:ascii="Arial" w:cs="Arial" w:eastAsia="Arial" w:hAnsi="Arial"/>
                <w:sz w:val="22"/>
                <w:szCs w:val="22"/>
                <w:color w:val="auto"/>
              </w:rPr>
              <w:t>128,365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w:t>
      </w:r>
    </w:p>
    <w:p>
      <w:pPr>
        <w:jc w:val="center"/>
        <w:ind w:right="20"/>
        <w:spacing w:after="0"/>
        <w:rPr>
          <w:sz w:val="20"/>
          <w:szCs w:val="20"/>
          <w:color w:val="auto"/>
        </w:rPr>
      </w:pPr>
      <w:r>
        <w:rPr>
          <w:rFonts w:ascii="Arial" w:cs="Arial" w:eastAsia="Arial" w:hAnsi="Arial"/>
          <w:sz w:val="22"/>
          <w:szCs w:val="22"/>
          <w:b w:val="1"/>
          <w:b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97"/>
              </w:rPr>
              <w:t>DECEMBER 31,</w:t>
            </w:r>
          </w:p>
        </w:tc>
        <w:tc>
          <w:tcPr>
            <w:tcW w:w="220" w:type="dxa"/>
            <w:vAlign w:val="bottom"/>
          </w:tcPr>
          <w:p>
            <w:pPr>
              <w:spacing w:after="0"/>
              <w:rPr>
                <w:sz w:val="21"/>
                <w:szCs w:val="21"/>
                <w:color w:val="auto"/>
              </w:rPr>
            </w:pPr>
          </w:p>
        </w:tc>
        <w:tc>
          <w:tcPr>
            <w:tcW w:w="1960" w:type="dxa"/>
            <w:vAlign w:val="bottom"/>
          </w:tcPr>
          <w:p>
            <w:pPr>
              <w:jc w:val="right"/>
              <w:ind w:right="19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81"/>
        </w:trPr>
        <w:tc>
          <w:tcPr>
            <w:tcW w:w="6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center"/>
              <w:ind w:right="112"/>
              <w:spacing w:after="0"/>
              <w:rPr>
                <w:sz w:val="20"/>
                <w:szCs w:val="20"/>
                <w:color w:val="auto"/>
              </w:rPr>
            </w:pPr>
            <w:r>
              <w:rPr>
                <w:rFonts w:ascii="Arial" w:cs="Arial" w:eastAsia="Arial" w:hAnsi="Arial"/>
                <w:sz w:val="22"/>
                <w:szCs w:val="22"/>
                <w:b w:val="1"/>
                <w:bCs w:val="1"/>
                <w:color w:val="auto"/>
                <w:w w:val="85"/>
              </w:rPr>
              <w:t>2018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772"/>
              <w:spacing w:after="0"/>
              <w:rPr>
                <w:sz w:val="20"/>
                <w:szCs w:val="20"/>
                <w:color w:val="auto"/>
              </w:rPr>
            </w:pPr>
            <w:r>
              <w:rPr>
                <w:rFonts w:ascii="Arial" w:cs="Arial" w:eastAsia="Arial" w:hAnsi="Arial"/>
                <w:sz w:val="22"/>
                <w:szCs w:val="22"/>
                <w:b w:val="1"/>
                <w:bCs w:val="1"/>
                <w:color w:val="auto"/>
              </w:rPr>
              <w:t>2017</w:t>
            </w:r>
          </w:p>
        </w:tc>
        <w:tc>
          <w:tcPr>
            <w:tcW w:w="0" w:type="dxa"/>
            <w:vAlign w:val="bottom"/>
          </w:tcPr>
          <w:p>
            <w:pPr>
              <w:spacing w:after="0"/>
              <w:rPr>
                <w:sz w:val="1"/>
                <w:szCs w:val="1"/>
                <w:color w:val="auto"/>
              </w:rPr>
            </w:pPr>
          </w:p>
        </w:tc>
      </w:tr>
      <w:tr>
        <w:trPr>
          <w:trHeight w:val="278"/>
        </w:trPr>
        <w:tc>
          <w:tcPr>
            <w:tcW w:w="6940" w:type="dxa"/>
            <w:vAlign w:val="bottom"/>
            <w:vMerge w:val="restart"/>
          </w:tcPr>
          <w:p>
            <w:pPr>
              <w:spacing w:after="0"/>
              <w:rPr>
                <w:sz w:val="20"/>
                <w:szCs w:val="20"/>
                <w:color w:val="auto"/>
              </w:rPr>
            </w:pPr>
            <w:r>
              <w:rPr>
                <w:rFonts w:ascii="Arial" w:cs="Arial" w:eastAsia="Arial" w:hAnsi="Arial"/>
                <w:sz w:val="22"/>
                <w:szCs w:val="22"/>
                <w:color w:val="auto"/>
              </w:rPr>
              <w:t>Current assets:</w:t>
            </w:r>
          </w:p>
        </w:tc>
        <w:tc>
          <w:tcPr>
            <w:tcW w:w="220" w:type="dxa"/>
            <w:vAlign w:val="bottom"/>
          </w:tcPr>
          <w:p>
            <w:pPr>
              <w:spacing w:after="0"/>
              <w:rPr>
                <w:sz w:val="24"/>
                <w:szCs w:val="24"/>
                <w:color w:val="auto"/>
              </w:rPr>
            </w:pPr>
          </w:p>
        </w:tc>
        <w:tc>
          <w:tcPr>
            <w:tcW w:w="1960" w:type="dxa"/>
            <w:vAlign w:val="bottom"/>
          </w:tcPr>
          <w:p>
            <w:pPr>
              <w:jc w:val="center"/>
              <w:ind w:right="112"/>
              <w:spacing w:after="0"/>
              <w:rPr>
                <w:sz w:val="20"/>
                <w:szCs w:val="20"/>
                <w:color w:val="auto"/>
              </w:rPr>
            </w:pPr>
            <w:r>
              <w:rPr>
                <w:rFonts w:ascii="Arial" w:cs="Arial" w:eastAsia="Arial" w:hAnsi="Arial"/>
                <w:sz w:val="22"/>
                <w:szCs w:val="22"/>
                <w:b w:val="1"/>
                <w:bCs w:val="1"/>
                <w:color w:val="auto"/>
              </w:rPr>
              <w:t>(UNAUDITED)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9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12,372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32,647</w:t>
            </w: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Accounts receivable, net</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70,223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66,823</w:t>
            </w: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Inventories</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4,313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7,246</w:t>
            </w: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Assets held for sale</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10,297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9,462</w:t>
            </w:r>
          </w:p>
        </w:tc>
        <w:tc>
          <w:tcPr>
            <w:tcW w:w="0" w:type="dxa"/>
            <w:vAlign w:val="bottom"/>
          </w:tcPr>
          <w:p>
            <w:pPr>
              <w:spacing w:after="0"/>
              <w:rPr>
                <w:sz w:val="1"/>
                <w:szCs w:val="1"/>
                <w:color w:val="auto"/>
              </w:rPr>
            </w:pPr>
          </w:p>
        </w:tc>
      </w:tr>
      <w:tr>
        <w:trPr>
          <w:trHeight w:val="275"/>
        </w:trPr>
        <w:tc>
          <w:tcPr>
            <w:tcW w:w="6940" w:type="dxa"/>
            <w:vAlign w:val="bottom"/>
          </w:tcPr>
          <w:p>
            <w:pPr>
              <w:ind w:left="200"/>
              <w:spacing w:after="0"/>
              <w:rPr>
                <w:sz w:val="20"/>
                <w:szCs w:val="20"/>
                <w:color w:val="auto"/>
              </w:rPr>
            </w:pPr>
            <w:r>
              <w:rPr>
                <w:rFonts w:ascii="Arial" w:cs="Arial" w:eastAsia="Arial" w:hAnsi="Arial"/>
                <w:sz w:val="22"/>
                <w:szCs w:val="22"/>
                <w:color w:val="auto"/>
              </w:rPr>
              <w:t>Prepaid expenses and other current assets</w:t>
            </w:r>
          </w:p>
        </w:tc>
        <w:tc>
          <w:tcPr>
            <w:tcW w:w="2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10,592</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16,034</w:t>
            </w:r>
          </w:p>
        </w:tc>
        <w:tc>
          <w:tcPr>
            <w:tcW w:w="0" w:type="dxa"/>
            <w:vAlign w:val="bottom"/>
          </w:tcPr>
          <w:p>
            <w:pPr>
              <w:spacing w:after="0"/>
              <w:rPr>
                <w:sz w:val="1"/>
                <w:szCs w:val="1"/>
                <w:color w:val="auto"/>
              </w:rPr>
            </w:pPr>
          </w:p>
        </w:tc>
      </w:tr>
      <w:tr>
        <w:trPr>
          <w:trHeight w:val="272"/>
        </w:trPr>
        <w:tc>
          <w:tcPr>
            <w:tcW w:w="6940" w:type="dxa"/>
            <w:vAlign w:val="bottom"/>
          </w:tcPr>
          <w:p>
            <w:pPr>
              <w:ind w:left="260"/>
              <w:spacing w:after="0"/>
              <w:rPr>
                <w:sz w:val="20"/>
                <w:szCs w:val="20"/>
                <w:color w:val="auto"/>
              </w:rPr>
            </w:pPr>
            <w:r>
              <w:rPr>
                <w:rFonts w:ascii="Arial" w:cs="Arial" w:eastAsia="Arial" w:hAnsi="Arial"/>
                <w:sz w:val="22"/>
                <w:szCs w:val="22"/>
                <w:color w:val="auto"/>
              </w:rPr>
              <w:t>Total current assets</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107,797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132,212</w:t>
            </w:r>
          </w:p>
        </w:tc>
        <w:tc>
          <w:tcPr>
            <w:tcW w:w="0" w:type="dxa"/>
            <w:vAlign w:val="bottom"/>
          </w:tcPr>
          <w:p>
            <w:pPr>
              <w:spacing w:after="0"/>
              <w:rPr>
                <w:sz w:val="1"/>
                <w:szCs w:val="1"/>
                <w:color w:val="auto"/>
              </w:rPr>
            </w:pPr>
          </w:p>
        </w:tc>
      </w:tr>
      <w:tr>
        <w:trPr>
          <w:trHeight w:val="528"/>
        </w:trPr>
        <w:tc>
          <w:tcPr>
            <w:tcW w:w="694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220" w:type="dxa"/>
            <w:vAlign w:val="bottom"/>
          </w:tcPr>
          <w:p>
            <w:pPr>
              <w:spacing w:after="0"/>
              <w:rPr>
                <w:sz w:val="24"/>
                <w:szCs w:val="24"/>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658,905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693,833</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0"/>
                <w:szCs w:val="20"/>
                <w:color w:val="auto"/>
              </w:rPr>
            </w:pPr>
            <w:r>
              <w:rPr>
                <w:rFonts w:ascii="Arial" w:cs="Arial" w:eastAsia="Arial" w:hAnsi="Arial"/>
                <w:sz w:val="22"/>
                <w:szCs w:val="22"/>
                <w:color w:val="auto"/>
              </w:rPr>
              <w:t>Goodwill, net</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114,207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119,409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22,753</w:t>
            </w:r>
          </w:p>
        </w:tc>
        <w:tc>
          <w:tcPr>
            <w:tcW w:w="0" w:type="dxa"/>
            <w:vAlign w:val="bottom"/>
          </w:tcPr>
          <w:p>
            <w:pPr>
              <w:spacing w:after="0"/>
              <w:rPr>
                <w:sz w:val="1"/>
                <w:szCs w:val="1"/>
                <w:color w:val="auto"/>
              </w:rPr>
            </w:pPr>
          </w:p>
        </w:tc>
      </w:tr>
      <w:tr>
        <w:trPr>
          <w:trHeight w:val="276"/>
        </w:trPr>
        <w:tc>
          <w:tcPr>
            <w:tcW w:w="694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1,359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5,114</w:t>
            </w:r>
          </w:p>
        </w:tc>
        <w:tc>
          <w:tcPr>
            <w:tcW w:w="0" w:type="dxa"/>
            <w:vAlign w:val="bottom"/>
          </w:tcPr>
          <w:p>
            <w:pPr>
              <w:spacing w:after="0"/>
              <w:rPr>
                <w:sz w:val="1"/>
                <w:szCs w:val="1"/>
                <w:color w:val="auto"/>
              </w:rPr>
            </w:pPr>
          </w:p>
        </w:tc>
      </w:tr>
      <w:tr>
        <w:trPr>
          <w:trHeight w:val="265"/>
        </w:trPr>
        <w:tc>
          <w:tcPr>
            <w:tcW w:w="6940" w:type="dxa"/>
            <w:vAlign w:val="bottom"/>
          </w:tcPr>
          <w:p>
            <w:pPr>
              <w:ind w:left="400"/>
              <w:spacing w:after="0"/>
              <w:rPr>
                <w:sz w:val="20"/>
                <w:szCs w:val="20"/>
                <w:color w:val="auto"/>
              </w:rPr>
            </w:pPr>
            <w:r>
              <w:rPr>
                <w:rFonts w:ascii="Arial" w:cs="Arial" w:eastAsia="Arial" w:hAnsi="Arial"/>
                <w:sz w:val="22"/>
                <w:szCs w:val="22"/>
                <w:color w:val="auto"/>
              </w:rPr>
              <w:t>Total assets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1,001,677</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853,912</w:t>
            </w:r>
          </w:p>
        </w:tc>
        <w:tc>
          <w:tcPr>
            <w:tcW w:w="0" w:type="dxa"/>
            <w:vAlign w:val="bottom"/>
          </w:tcPr>
          <w:p>
            <w:pPr>
              <w:spacing w:after="0"/>
              <w:rPr>
                <w:sz w:val="1"/>
                <w:szCs w:val="1"/>
                <w:color w:val="auto"/>
              </w:rPr>
            </w:pPr>
          </w:p>
        </w:tc>
      </w:tr>
      <w:tr>
        <w:trPr>
          <w:trHeight w:val="21"/>
        </w:trPr>
        <w:tc>
          <w:tcPr>
            <w:tcW w:w="694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Accounts payable</w:t>
            </w: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28,334</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27,812</w:t>
            </w: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Accrued liabilities</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15,956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22,208</w:t>
            </w: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Income taxes</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310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1,728</w:t>
            </w: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Current portion of long-term debt</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33,329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16,596</w:t>
            </w: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Deferred revenue</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3,035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5,442</w:t>
            </w:r>
          </w:p>
        </w:tc>
        <w:tc>
          <w:tcPr>
            <w:tcW w:w="0" w:type="dxa"/>
            <w:vAlign w:val="bottom"/>
          </w:tcPr>
          <w:p>
            <w:pPr>
              <w:spacing w:after="0"/>
              <w:rPr>
                <w:sz w:val="1"/>
                <w:szCs w:val="1"/>
                <w:color w:val="auto"/>
              </w:rPr>
            </w:pPr>
          </w:p>
        </w:tc>
      </w:tr>
      <w:tr>
        <w:trPr>
          <w:trHeight w:val="275"/>
        </w:trPr>
        <w:tc>
          <w:tcPr>
            <w:tcW w:w="6940" w:type="dxa"/>
            <w:vAlign w:val="bottom"/>
          </w:tcPr>
          <w:p>
            <w:pPr>
              <w:ind w:left="200"/>
              <w:spacing w:after="0"/>
              <w:rPr>
                <w:sz w:val="20"/>
                <w:szCs w:val="20"/>
                <w:color w:val="auto"/>
              </w:rPr>
            </w:pPr>
            <w:r>
              <w:rPr>
                <w:rFonts w:ascii="Arial" w:cs="Arial" w:eastAsia="Arial" w:hAnsi="Arial"/>
                <w:sz w:val="22"/>
                <w:szCs w:val="22"/>
                <w:color w:val="auto"/>
              </w:rPr>
              <w:t>Other current liabilities</w:t>
            </w:r>
          </w:p>
        </w:tc>
        <w:tc>
          <w:tcPr>
            <w:tcW w:w="2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5,719</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1,843</w:t>
            </w:r>
          </w:p>
        </w:tc>
        <w:tc>
          <w:tcPr>
            <w:tcW w:w="0" w:type="dxa"/>
            <w:vAlign w:val="bottom"/>
          </w:tcPr>
          <w:p>
            <w:pPr>
              <w:spacing w:after="0"/>
              <w:rPr>
                <w:sz w:val="1"/>
                <w:szCs w:val="1"/>
                <w:color w:val="auto"/>
              </w:rPr>
            </w:pPr>
          </w:p>
        </w:tc>
      </w:tr>
      <w:tr>
        <w:trPr>
          <w:trHeight w:val="272"/>
        </w:trPr>
        <w:tc>
          <w:tcPr>
            <w:tcW w:w="6940" w:type="dxa"/>
            <w:vAlign w:val="bottom"/>
          </w:tcPr>
          <w:p>
            <w:pPr>
              <w:ind w:left="400"/>
              <w:spacing w:after="0"/>
              <w:rPr>
                <w:sz w:val="20"/>
                <w:szCs w:val="20"/>
                <w:color w:val="auto"/>
              </w:rPr>
            </w:pPr>
            <w:r>
              <w:rPr>
                <w:rFonts w:ascii="Arial" w:cs="Arial" w:eastAsia="Arial" w:hAnsi="Arial"/>
                <w:sz w:val="22"/>
                <w:szCs w:val="22"/>
                <w:color w:val="auto"/>
              </w:rPr>
              <w:t>Total current liabilities</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86,683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75,629</w:t>
            </w:r>
          </w:p>
        </w:tc>
        <w:tc>
          <w:tcPr>
            <w:tcW w:w="0" w:type="dxa"/>
            <w:vAlign w:val="bottom"/>
          </w:tcPr>
          <w:p>
            <w:pPr>
              <w:spacing w:after="0"/>
              <w:rPr>
                <w:sz w:val="1"/>
                <w:szCs w:val="1"/>
                <w:color w:val="auto"/>
              </w:rPr>
            </w:pPr>
          </w:p>
        </w:tc>
      </w:tr>
      <w:tr>
        <w:trPr>
          <w:trHeight w:val="528"/>
        </w:trPr>
        <w:tc>
          <w:tcPr>
            <w:tcW w:w="6940" w:type="dxa"/>
            <w:vAlign w:val="bottom"/>
          </w:tcPr>
          <w:p>
            <w:pPr>
              <w:spacing w:after="0"/>
              <w:rPr>
                <w:sz w:val="20"/>
                <w:szCs w:val="20"/>
                <w:color w:val="auto"/>
              </w:rPr>
            </w:pPr>
            <w:r>
              <w:rPr>
                <w:rFonts w:ascii="Arial" w:cs="Arial" w:eastAsia="Arial" w:hAnsi="Arial"/>
                <w:sz w:val="22"/>
                <w:szCs w:val="22"/>
                <w:color w:val="auto"/>
              </w:rPr>
              <w:t>Long-term debt</w:t>
            </w:r>
          </w:p>
        </w:tc>
        <w:tc>
          <w:tcPr>
            <w:tcW w:w="220" w:type="dxa"/>
            <w:vAlign w:val="bottom"/>
          </w:tcPr>
          <w:p>
            <w:pPr>
              <w:spacing w:after="0"/>
              <w:rPr>
                <w:sz w:val="24"/>
                <w:szCs w:val="24"/>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342,908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277,990</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0"/>
                <w:szCs w:val="20"/>
                <w:color w:val="auto"/>
              </w:rPr>
            </w:pPr>
            <w:r>
              <w:rPr>
                <w:rFonts w:ascii="Arial" w:cs="Arial" w:eastAsia="Arial" w:hAnsi="Arial"/>
                <w:sz w:val="22"/>
                <w:szCs w:val="22"/>
                <w:color w:val="auto"/>
              </w:rPr>
              <w:t>Deferred income taxes</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18,442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694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2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18,220</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23,926</w:t>
            </w:r>
          </w:p>
        </w:tc>
        <w:tc>
          <w:tcPr>
            <w:tcW w:w="0" w:type="dxa"/>
            <w:vAlign w:val="bottom"/>
          </w:tcPr>
          <w:p>
            <w:pPr>
              <w:spacing w:after="0"/>
              <w:rPr>
                <w:sz w:val="1"/>
                <w:szCs w:val="1"/>
                <w:color w:val="auto"/>
              </w:rPr>
            </w:pPr>
          </w:p>
        </w:tc>
      </w:tr>
      <w:tr>
        <w:trPr>
          <w:trHeight w:val="272"/>
        </w:trPr>
        <w:tc>
          <w:tcPr>
            <w:tcW w:w="6940" w:type="dxa"/>
            <w:vAlign w:val="bottom"/>
          </w:tcPr>
          <w:p>
            <w:pPr>
              <w:ind w:left="400"/>
              <w:spacing w:after="0"/>
              <w:rPr>
                <w:sz w:val="20"/>
                <w:szCs w:val="20"/>
                <w:color w:val="auto"/>
              </w:rPr>
            </w:pPr>
            <w:r>
              <w:rPr>
                <w:rFonts w:ascii="Arial" w:cs="Arial" w:eastAsia="Arial" w:hAnsi="Arial"/>
                <w:sz w:val="22"/>
                <w:szCs w:val="22"/>
                <w:color w:val="auto"/>
              </w:rPr>
              <w:t>Total liabilities</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466,253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377,545</w:t>
            </w:r>
          </w:p>
        </w:tc>
        <w:tc>
          <w:tcPr>
            <w:tcW w:w="0" w:type="dxa"/>
            <w:vAlign w:val="bottom"/>
          </w:tcPr>
          <w:p>
            <w:pPr>
              <w:spacing w:after="0"/>
              <w:rPr>
                <w:sz w:val="1"/>
                <w:szCs w:val="1"/>
                <w:color w:val="auto"/>
              </w:rPr>
            </w:pPr>
          </w:p>
        </w:tc>
      </w:tr>
      <w:tr>
        <w:trPr>
          <w:trHeight w:val="528"/>
        </w:trPr>
        <w:tc>
          <w:tcPr>
            <w:tcW w:w="6940" w:type="dxa"/>
            <w:vAlign w:val="bottom"/>
          </w:tcPr>
          <w:p>
            <w:pPr>
              <w:spacing w:after="0"/>
              <w:rPr>
                <w:sz w:val="20"/>
                <w:szCs w:val="20"/>
                <w:color w:val="auto"/>
              </w:rPr>
            </w:pPr>
            <w:r>
              <w:rPr>
                <w:rFonts w:ascii="Arial" w:cs="Arial" w:eastAsia="Arial" w:hAnsi="Arial"/>
                <w:sz w:val="22"/>
                <w:szCs w:val="22"/>
                <w:color w:val="auto"/>
              </w:rPr>
              <w:t>Shareholders' equity:</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Preferred shares</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56,280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Common shares</w:t>
            </w:r>
          </w:p>
        </w:tc>
        <w:tc>
          <w:tcPr>
            <w:tcW w:w="220" w:type="dxa"/>
            <w:vAlign w:val="bottom"/>
          </w:tcPr>
          <w:p>
            <w:pPr>
              <w:spacing w:after="0"/>
              <w:rPr>
                <w:sz w:val="23"/>
                <w:szCs w:val="23"/>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Additional paid-in capital</w:t>
            </w: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1,562,133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ind w:right="12"/>
              <w:spacing w:after="0"/>
              <w:rPr>
                <w:sz w:val="20"/>
                <w:szCs w:val="20"/>
                <w:color w:val="auto"/>
              </w:rPr>
            </w:pPr>
            <w:r>
              <w:rPr>
                <w:rFonts w:ascii="Arial" w:cs="Arial" w:eastAsia="Arial" w:hAnsi="Arial"/>
                <w:sz w:val="22"/>
                <w:szCs w:val="22"/>
                <w:color w:val="auto"/>
              </w:rPr>
              <w:t>1,383,934</w:t>
            </w: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Accumulated deficit</w:t>
            </w: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22"/>
                <w:szCs w:val="22"/>
                <w:color w:val="auto"/>
              </w:rPr>
              <w:t>(710,551)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22"/>
                <w:szCs w:val="22"/>
                <w:color w:val="auto"/>
              </w:rPr>
              <w:t>(579,113)</w:t>
            </w:r>
          </w:p>
        </w:tc>
        <w:tc>
          <w:tcPr>
            <w:tcW w:w="0" w:type="dxa"/>
            <w:vAlign w:val="bottom"/>
          </w:tcPr>
          <w:p>
            <w:pPr>
              <w:spacing w:after="0"/>
              <w:rPr>
                <w:sz w:val="1"/>
                <w:szCs w:val="1"/>
                <w:color w:val="auto"/>
              </w:rPr>
            </w:pPr>
          </w:p>
        </w:tc>
      </w:tr>
      <w:tr>
        <w:trPr>
          <w:trHeight w:val="270"/>
        </w:trPr>
        <w:tc>
          <w:tcPr>
            <w:tcW w:w="6940" w:type="dxa"/>
            <w:vAlign w:val="bottom"/>
          </w:tcPr>
          <w:p>
            <w:pPr>
              <w:ind w:left="200"/>
              <w:spacing w:after="0"/>
              <w:rPr>
                <w:sz w:val="20"/>
                <w:szCs w:val="20"/>
                <w:color w:val="auto"/>
              </w:rPr>
            </w:pPr>
            <w:r>
              <w:rPr>
                <w:rFonts w:ascii="Arial" w:cs="Arial" w:eastAsia="Arial" w:hAnsi="Arial"/>
                <w:sz w:val="22"/>
                <w:szCs w:val="22"/>
                <w:color w:val="auto"/>
              </w:rPr>
              <w:t>Treasury stock</w:t>
            </w: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22"/>
                <w:szCs w:val="22"/>
                <w:color w:val="auto"/>
              </w:rPr>
              <w:t>(1,189)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22"/>
                <w:szCs w:val="22"/>
                <w:color w:val="auto"/>
              </w:rPr>
              <w:t>(358)</w:t>
            </w:r>
          </w:p>
        </w:tc>
        <w:tc>
          <w:tcPr>
            <w:tcW w:w="0" w:type="dxa"/>
            <w:vAlign w:val="bottom"/>
          </w:tcPr>
          <w:p>
            <w:pPr>
              <w:spacing w:after="0"/>
              <w:rPr>
                <w:sz w:val="1"/>
                <w:szCs w:val="1"/>
                <w:color w:val="auto"/>
              </w:rPr>
            </w:pPr>
          </w:p>
        </w:tc>
      </w:tr>
      <w:tr>
        <w:trPr>
          <w:trHeight w:val="275"/>
        </w:trPr>
        <w:tc>
          <w:tcPr>
            <w:tcW w:w="6940" w:type="dxa"/>
            <w:vAlign w:val="bottom"/>
          </w:tcPr>
          <w:p>
            <w:pPr>
              <w:ind w:left="200"/>
              <w:spacing w:after="0"/>
              <w:rPr>
                <w:sz w:val="20"/>
                <w:szCs w:val="20"/>
                <w:color w:val="auto"/>
              </w:rPr>
            </w:pPr>
            <w:r>
              <w:rPr>
                <w:rFonts w:ascii="Arial" w:cs="Arial" w:eastAsia="Arial" w:hAnsi="Arial"/>
                <w:sz w:val="22"/>
                <w:szCs w:val="22"/>
                <w:color w:val="auto"/>
              </w:rPr>
              <w:t>Accumulated other comprehensive loss</w:t>
            </w:r>
          </w:p>
        </w:tc>
        <w:tc>
          <w:tcPr>
            <w:tcW w:w="2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(371,249)</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(328,213)</w:t>
            </w:r>
          </w:p>
        </w:tc>
        <w:tc>
          <w:tcPr>
            <w:tcW w:w="0" w:type="dxa"/>
            <w:vAlign w:val="bottom"/>
          </w:tcPr>
          <w:p>
            <w:pPr>
              <w:spacing w:after="0"/>
              <w:rPr>
                <w:sz w:val="1"/>
                <w:szCs w:val="1"/>
                <w:color w:val="auto"/>
              </w:rPr>
            </w:pPr>
          </w:p>
        </w:tc>
      </w:tr>
      <w:tr>
        <w:trPr>
          <w:trHeight w:val="267"/>
        </w:trPr>
        <w:tc>
          <w:tcPr>
            <w:tcW w:w="6940" w:type="dxa"/>
            <w:vAlign w:val="bottom"/>
          </w:tcPr>
          <w:p>
            <w:pPr>
              <w:ind w:left="400"/>
              <w:spacing w:after="0"/>
              <w:rPr>
                <w:sz w:val="20"/>
                <w:szCs w:val="20"/>
                <w:color w:val="auto"/>
              </w:rPr>
            </w:pPr>
            <w:r>
              <w:rPr>
                <w:rFonts w:ascii="Arial" w:cs="Arial" w:eastAsia="Arial" w:hAnsi="Arial"/>
                <w:sz w:val="22"/>
                <w:szCs w:val="22"/>
                <w:color w:val="auto"/>
              </w:rPr>
              <w:t>Total Civeo Corporation shareholders' equity</w:t>
            </w:r>
          </w:p>
        </w:tc>
        <w:tc>
          <w:tcPr>
            <w:tcW w:w="2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535,424</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476,250</w:t>
            </w:r>
          </w:p>
        </w:tc>
        <w:tc>
          <w:tcPr>
            <w:tcW w:w="0" w:type="dxa"/>
            <w:vAlign w:val="bottom"/>
          </w:tcPr>
          <w:p>
            <w:pPr>
              <w:spacing w:after="0"/>
              <w:rPr>
                <w:sz w:val="1"/>
                <w:szCs w:val="1"/>
                <w:color w:val="auto"/>
              </w:rPr>
            </w:pPr>
          </w:p>
        </w:tc>
      </w:tr>
      <w:tr>
        <w:trPr>
          <w:trHeight w:val="264"/>
        </w:trPr>
        <w:tc>
          <w:tcPr>
            <w:tcW w:w="6940" w:type="dxa"/>
            <w:vAlign w:val="bottom"/>
          </w:tcPr>
          <w:p>
            <w:pPr>
              <w:spacing w:after="0"/>
              <w:rPr>
                <w:sz w:val="20"/>
                <w:szCs w:val="20"/>
                <w:color w:val="auto"/>
              </w:rPr>
            </w:pPr>
            <w:r>
              <w:rPr>
                <w:rFonts w:ascii="Arial" w:cs="Arial" w:eastAsia="Arial" w:hAnsi="Arial"/>
                <w:sz w:val="22"/>
                <w:szCs w:val="22"/>
                <w:color w:val="auto"/>
              </w:rPr>
              <w:t>Noncontrolling interest</w:t>
            </w:r>
          </w:p>
        </w:tc>
        <w:tc>
          <w:tcPr>
            <w:tcW w:w="2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64"/>
        </w:trPr>
        <w:tc>
          <w:tcPr>
            <w:tcW w:w="6940" w:type="dxa"/>
            <w:vAlign w:val="bottom"/>
          </w:tcPr>
          <w:p>
            <w:pPr>
              <w:ind w:left="200"/>
              <w:spacing w:after="0"/>
              <w:rPr>
                <w:sz w:val="20"/>
                <w:szCs w:val="20"/>
                <w:color w:val="auto"/>
              </w:rPr>
            </w:pPr>
            <w:r>
              <w:rPr>
                <w:rFonts w:ascii="Arial" w:cs="Arial" w:eastAsia="Arial" w:hAnsi="Arial"/>
                <w:sz w:val="22"/>
                <w:szCs w:val="22"/>
                <w:color w:val="auto"/>
              </w:rPr>
              <w:t>Total shareholders' equity</w:t>
            </w:r>
          </w:p>
        </w:tc>
        <w:tc>
          <w:tcPr>
            <w:tcW w:w="2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535,424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476,367</w:t>
            </w:r>
          </w:p>
        </w:tc>
        <w:tc>
          <w:tcPr>
            <w:tcW w:w="0" w:type="dxa"/>
            <w:vAlign w:val="bottom"/>
          </w:tcPr>
          <w:p>
            <w:pPr>
              <w:spacing w:after="0"/>
              <w:rPr>
                <w:sz w:val="1"/>
                <w:szCs w:val="1"/>
                <w:color w:val="auto"/>
              </w:rPr>
            </w:pPr>
          </w:p>
        </w:tc>
      </w:tr>
      <w:tr>
        <w:trPr>
          <w:trHeight w:val="264"/>
        </w:trPr>
        <w:tc>
          <w:tcPr>
            <w:tcW w:w="6940" w:type="dxa"/>
            <w:vAlign w:val="bottom"/>
          </w:tcPr>
          <w:p>
            <w:pPr>
              <w:ind w:left="400"/>
              <w:spacing w:after="0"/>
              <w:rPr>
                <w:sz w:val="20"/>
                <w:szCs w:val="20"/>
                <w:color w:val="auto"/>
              </w:rPr>
            </w:pPr>
            <w:r>
              <w:rPr>
                <w:rFonts w:ascii="Arial" w:cs="Arial" w:eastAsia="Arial" w:hAnsi="Arial"/>
                <w:sz w:val="22"/>
                <w:szCs w:val="22"/>
                <w:color w:val="auto"/>
              </w:rPr>
              <w:t>Total liabilities and shareholders' equity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1,001,677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853,912</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UNAUDITED CONSOLIDATED STATEMENTS OF CASH FLOWS</w:t>
      </w:r>
    </w:p>
    <w:p>
      <w:pPr>
        <w:sectPr>
          <w:pgSz w:w="11900" w:h="16838" w:orient="portrait"/>
          <w:cols w:equalWidth="0" w:num="1">
            <w:col w:w="11400"/>
          </w:cols>
          <w:pgMar w:left="260" w:top="118" w:right="239" w:bottom="0" w:gutter="0" w:footer="0" w:header="0"/>
          <w:type w:val="continuous"/>
        </w:sectPr>
      </w:pPr>
    </w:p>
    <w:bookmarkStart w:id="7" w:name="page8"/>
    <w:bookmarkEnd w:id="7"/>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320" w:type="dxa"/>
            <w:vAlign w:val="bottom"/>
          </w:tcPr>
          <w:p>
            <w:pPr>
              <w:ind w:left="5040"/>
              <w:spacing w:after="0"/>
              <w:rPr>
                <w:sz w:val="20"/>
                <w:szCs w:val="20"/>
                <w:color w:val="auto"/>
              </w:rPr>
            </w:pPr>
            <w:r>
              <w:rPr>
                <w:rFonts w:ascii="Arial" w:cs="Arial" w:eastAsia="Arial" w:hAnsi="Arial"/>
                <w:sz w:val="22"/>
                <w:szCs w:val="22"/>
                <w:b w:val="1"/>
                <w:bCs w:val="1"/>
                <w:color w:val="auto"/>
              </w:rPr>
              <w:t>(in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03"/>
        </w:trPr>
        <w:tc>
          <w:tcPr>
            <w:tcW w:w="8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4"/>
          </w:tcPr>
          <w:p>
            <w:pPr>
              <w:jc w:val="right"/>
              <w:ind w:right="52"/>
              <w:spacing w:after="0"/>
              <w:rPr>
                <w:sz w:val="20"/>
                <w:szCs w:val="20"/>
                <w:color w:val="auto"/>
              </w:rPr>
            </w:pPr>
            <w:r>
              <w:rPr>
                <w:rFonts w:ascii="Arial" w:cs="Arial" w:eastAsia="Arial" w:hAnsi="Arial"/>
                <w:sz w:val="22"/>
                <w:szCs w:val="22"/>
                <w:b w:val="1"/>
                <w:bCs w:val="1"/>
                <w:color w:val="auto"/>
                <w:w w:val="99"/>
              </w:rPr>
              <w:t>TWELVE MONTHS ENDED</w:t>
            </w:r>
          </w:p>
        </w:tc>
      </w:tr>
      <w:tr>
        <w:trPr>
          <w:trHeight w:val="270"/>
        </w:trPr>
        <w:tc>
          <w:tcPr>
            <w:tcW w:w="8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940" w:type="dxa"/>
            <w:vAlign w:val="bottom"/>
            <w:gridSpan w:val="4"/>
          </w:tcPr>
          <w:p>
            <w:pPr>
              <w:jc w:val="right"/>
              <w:ind w:right="652"/>
              <w:spacing w:after="0"/>
              <w:rPr>
                <w:sz w:val="20"/>
                <w:szCs w:val="20"/>
                <w:color w:val="auto"/>
              </w:rPr>
            </w:pPr>
            <w:r>
              <w:rPr>
                <w:rFonts w:ascii="Arial" w:cs="Arial" w:eastAsia="Arial" w:hAnsi="Arial"/>
                <w:sz w:val="22"/>
                <w:szCs w:val="22"/>
                <w:b w:val="1"/>
                <w:bCs w:val="1"/>
                <w:color w:val="auto"/>
              </w:rPr>
              <w:t>DECEMBER 31,</w:t>
            </w:r>
          </w:p>
        </w:tc>
      </w:tr>
      <w:tr>
        <w:trPr>
          <w:trHeight w:val="281"/>
        </w:trPr>
        <w:tc>
          <w:tcPr>
            <w:tcW w:w="8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2017</w:t>
            </w:r>
          </w:p>
        </w:tc>
      </w:tr>
      <w:tr>
        <w:trPr>
          <w:trHeight w:val="529"/>
        </w:trPr>
        <w:tc>
          <w:tcPr>
            <w:tcW w:w="832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320" w:type="dxa"/>
            <w:vAlign w:val="bottom"/>
          </w:tcPr>
          <w:p>
            <w:pPr>
              <w:spacing w:after="0"/>
              <w:rPr>
                <w:sz w:val="20"/>
                <w:szCs w:val="20"/>
                <w:color w:val="auto"/>
              </w:rPr>
            </w:pPr>
            <w:r>
              <w:rPr>
                <w:rFonts w:ascii="Arial" w:cs="Arial" w:eastAsia="Arial" w:hAnsi="Arial"/>
                <w:sz w:val="22"/>
                <w:szCs w:val="22"/>
                <w:color w:val="auto"/>
              </w:rPr>
              <w:t>Net loss</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(81,847)</w:t>
            </w:r>
          </w:p>
        </w:tc>
        <w:tc>
          <w:tcPr>
            <w:tcW w:w="1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(105,254)</w:t>
            </w:r>
          </w:p>
        </w:tc>
      </w:tr>
      <w:tr>
        <w:trPr>
          <w:trHeight w:val="270"/>
        </w:trPr>
        <w:tc>
          <w:tcPr>
            <w:tcW w:w="8320" w:type="dxa"/>
            <w:vAlign w:val="bottom"/>
          </w:tcPr>
          <w:p>
            <w:pPr>
              <w:spacing w:after="0"/>
              <w:rPr>
                <w:sz w:val="20"/>
                <w:szCs w:val="20"/>
                <w:color w:val="auto"/>
              </w:rPr>
            </w:pPr>
            <w:r>
              <w:rPr>
                <w:rFonts w:ascii="Arial" w:cs="Arial" w:eastAsia="Arial" w:hAnsi="Arial"/>
                <w:sz w:val="22"/>
                <w:szCs w:val="22"/>
                <w:color w:val="auto"/>
              </w:rPr>
              <w:t>Adjustments to reconcile net loss to net cash provided by operating activities:</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Depreciation and amortization</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125,846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126,443</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Impairment charges</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28,661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31,604</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Inventory write-down</w:t>
            </w:r>
          </w:p>
        </w:tc>
        <w:tc>
          <w:tcPr>
            <w:tcW w:w="140" w:type="dxa"/>
            <w:vAlign w:val="bottom"/>
          </w:tcPr>
          <w:p>
            <w:pPr>
              <w:spacing w:after="0"/>
              <w:rPr>
                <w:sz w:val="23"/>
                <w:szCs w:val="23"/>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525</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Loss on extinguishment of debt</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748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842</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Deferred income tax benefit</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(31,403)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(8,976)</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Non-cash compensation charge</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11,036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7,338</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Gain loss on disposals of assets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(1,606)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(825)</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Provision (benefit) for loss on receivables, net of recoveries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51</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Other, net</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4,879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3,871</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Changes in operating assets and liabilities:</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8320" w:type="dxa"/>
            <w:vAlign w:val="bottom"/>
          </w:tcPr>
          <w:p>
            <w:pPr>
              <w:ind w:left="260"/>
              <w:spacing w:after="0"/>
              <w:rPr>
                <w:sz w:val="20"/>
                <w:szCs w:val="20"/>
                <w:color w:val="auto"/>
              </w:rPr>
            </w:pPr>
            <w:r>
              <w:rPr>
                <w:rFonts w:ascii="Arial" w:cs="Arial" w:eastAsia="Arial" w:hAnsi="Arial"/>
                <w:sz w:val="22"/>
                <w:szCs w:val="22"/>
                <w:color w:val="auto"/>
              </w:rPr>
              <w:t>Accounts receivable</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13,326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(6,896)</w:t>
            </w:r>
          </w:p>
        </w:tc>
      </w:tr>
      <w:tr>
        <w:trPr>
          <w:trHeight w:val="270"/>
        </w:trPr>
        <w:tc>
          <w:tcPr>
            <w:tcW w:w="8320" w:type="dxa"/>
            <w:vAlign w:val="bottom"/>
          </w:tcPr>
          <w:p>
            <w:pPr>
              <w:ind w:left="260"/>
              <w:spacing w:after="0"/>
              <w:rPr>
                <w:sz w:val="20"/>
                <w:szCs w:val="20"/>
                <w:color w:val="auto"/>
              </w:rPr>
            </w:pPr>
            <w:r>
              <w:rPr>
                <w:rFonts w:ascii="Arial" w:cs="Arial" w:eastAsia="Arial" w:hAnsi="Arial"/>
                <w:sz w:val="22"/>
                <w:szCs w:val="22"/>
                <w:color w:val="auto"/>
              </w:rPr>
              <w:t>Inventories</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3,376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(4,463)</w:t>
            </w:r>
          </w:p>
        </w:tc>
      </w:tr>
      <w:tr>
        <w:trPr>
          <w:trHeight w:val="270"/>
        </w:trPr>
        <w:tc>
          <w:tcPr>
            <w:tcW w:w="8320" w:type="dxa"/>
            <w:vAlign w:val="bottom"/>
          </w:tcPr>
          <w:p>
            <w:pPr>
              <w:ind w:left="260"/>
              <w:spacing w:after="0"/>
              <w:rPr>
                <w:sz w:val="20"/>
                <w:szCs w:val="20"/>
                <w:color w:val="auto"/>
              </w:rPr>
            </w:pPr>
            <w:r>
              <w:rPr>
                <w:rFonts w:ascii="Arial" w:cs="Arial" w:eastAsia="Arial" w:hAnsi="Arial"/>
                <w:sz w:val="22"/>
                <w:szCs w:val="22"/>
                <w:color w:val="auto"/>
              </w:rPr>
              <w:t>Accounts payable and accrued liabilities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(17,716)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12,674</w:t>
            </w:r>
          </w:p>
        </w:tc>
      </w:tr>
      <w:tr>
        <w:trPr>
          <w:trHeight w:val="270"/>
        </w:trPr>
        <w:tc>
          <w:tcPr>
            <w:tcW w:w="8320" w:type="dxa"/>
            <w:vAlign w:val="bottom"/>
          </w:tcPr>
          <w:p>
            <w:pPr>
              <w:ind w:left="260"/>
              <w:spacing w:after="0"/>
              <w:rPr>
                <w:sz w:val="20"/>
                <w:szCs w:val="20"/>
                <w:color w:val="auto"/>
              </w:rPr>
            </w:pPr>
            <w:r>
              <w:rPr>
                <w:rFonts w:ascii="Arial" w:cs="Arial" w:eastAsia="Arial" w:hAnsi="Arial"/>
                <w:sz w:val="22"/>
                <w:szCs w:val="22"/>
                <w:color w:val="auto"/>
              </w:rPr>
              <w:t>Taxes payable</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5,310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3,210</w:t>
            </w:r>
          </w:p>
        </w:tc>
      </w:tr>
      <w:tr>
        <w:trPr>
          <w:trHeight w:val="275"/>
        </w:trPr>
        <w:tc>
          <w:tcPr>
            <w:tcW w:w="8320" w:type="dxa"/>
            <w:vAlign w:val="bottom"/>
          </w:tcPr>
          <w:p>
            <w:pPr>
              <w:ind w:left="260"/>
              <w:spacing w:after="0"/>
              <w:rPr>
                <w:sz w:val="20"/>
                <w:szCs w:val="20"/>
                <w:color w:val="auto"/>
              </w:rPr>
            </w:pPr>
            <w:r>
              <w:rPr>
                <w:rFonts w:ascii="Arial" w:cs="Arial" w:eastAsia="Arial" w:hAnsi="Arial"/>
                <w:sz w:val="22"/>
                <w:szCs w:val="22"/>
                <w:color w:val="auto"/>
              </w:rPr>
              <w:t>Other current assets and liabilities, net</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(5,943)</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(3,318)</w:t>
            </w:r>
          </w:p>
        </w:tc>
      </w:tr>
      <w:tr>
        <w:trPr>
          <w:trHeight w:val="272"/>
        </w:trPr>
        <w:tc>
          <w:tcPr>
            <w:tcW w:w="8320" w:type="dxa"/>
            <w:vAlign w:val="bottom"/>
          </w:tcPr>
          <w:p>
            <w:pPr>
              <w:ind w:left="400"/>
              <w:spacing w:after="0"/>
              <w:rPr>
                <w:sz w:val="20"/>
                <w:szCs w:val="20"/>
                <w:color w:val="auto"/>
              </w:rPr>
            </w:pPr>
            <w:r>
              <w:rPr>
                <w:rFonts w:ascii="Arial" w:cs="Arial" w:eastAsia="Arial" w:hAnsi="Arial"/>
                <w:sz w:val="22"/>
                <w:szCs w:val="22"/>
                <w:color w:val="auto"/>
              </w:rPr>
              <w:t>Net cash flows provided by operating activities</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54,391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56,826</w:t>
            </w:r>
          </w:p>
        </w:tc>
      </w:tr>
      <w:tr>
        <w:trPr>
          <w:trHeight w:val="528"/>
        </w:trPr>
        <w:tc>
          <w:tcPr>
            <w:tcW w:w="8320" w:type="dxa"/>
            <w:vAlign w:val="bottom"/>
          </w:tcPr>
          <w:p>
            <w:pPr>
              <w:spacing w:after="0"/>
              <w:rPr>
                <w:sz w:val="20"/>
                <w:szCs w:val="20"/>
                <w:color w:val="auto"/>
              </w:rPr>
            </w:pPr>
            <w:r>
              <w:rPr>
                <w:rFonts w:ascii="Arial" w:cs="Arial" w:eastAsia="Arial" w:hAnsi="Arial"/>
                <w:sz w:val="22"/>
                <w:szCs w:val="22"/>
                <w:color w:val="auto"/>
              </w:rPr>
              <w:t>Cash flows from investing activities: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Payments related to acquisitions, net of cash acquired</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(171,337)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Capital expenditures, including capitalized interest</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(17,108)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(11,194)</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Proceeds from disposition of property, plant and equipment</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5,844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1,908</w:t>
            </w:r>
          </w:p>
        </w:tc>
      </w:tr>
      <w:tr>
        <w:trPr>
          <w:trHeight w:val="275"/>
        </w:trPr>
        <w:tc>
          <w:tcPr>
            <w:tcW w:w="8320" w:type="dxa"/>
            <w:vAlign w:val="bottom"/>
          </w:tcPr>
          <w:p>
            <w:pPr>
              <w:ind w:left="120"/>
              <w:spacing w:after="0"/>
              <w:rPr>
                <w:sz w:val="20"/>
                <w:szCs w:val="20"/>
                <w:color w:val="auto"/>
              </w:rPr>
            </w:pPr>
            <w:r>
              <w:rPr>
                <w:rFonts w:ascii="Arial" w:cs="Arial" w:eastAsia="Arial" w:hAnsi="Arial"/>
                <w:sz w:val="22"/>
                <w:szCs w:val="22"/>
                <w:color w:val="auto"/>
              </w:rPr>
              <w:t>Other, net</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654</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548</w:t>
            </w:r>
          </w:p>
        </w:tc>
      </w:tr>
      <w:tr>
        <w:trPr>
          <w:trHeight w:val="272"/>
        </w:trPr>
        <w:tc>
          <w:tcPr>
            <w:tcW w:w="8320" w:type="dxa"/>
            <w:vAlign w:val="bottom"/>
          </w:tcPr>
          <w:p>
            <w:pPr>
              <w:ind w:left="400"/>
              <w:spacing w:after="0"/>
              <w:rPr>
                <w:sz w:val="20"/>
                <w:szCs w:val="20"/>
                <w:color w:val="auto"/>
              </w:rPr>
            </w:pPr>
            <w:r>
              <w:rPr>
                <w:rFonts w:ascii="Arial" w:cs="Arial" w:eastAsia="Arial" w:hAnsi="Arial"/>
                <w:sz w:val="22"/>
                <w:szCs w:val="22"/>
                <w:color w:val="auto"/>
              </w:rPr>
              <w:t>Net cash flows used in investing activities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(181,947)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(8,738)</w:t>
            </w:r>
          </w:p>
        </w:tc>
      </w:tr>
      <w:tr>
        <w:trPr>
          <w:trHeight w:val="528"/>
        </w:trPr>
        <w:tc>
          <w:tcPr>
            <w:tcW w:w="8320" w:type="dxa"/>
            <w:vAlign w:val="bottom"/>
          </w:tcPr>
          <w:p>
            <w:pPr>
              <w:spacing w:after="0"/>
              <w:rPr>
                <w:sz w:val="20"/>
                <w:szCs w:val="20"/>
                <w:color w:val="auto"/>
              </w:rPr>
            </w:pPr>
            <w:r>
              <w:rPr>
                <w:rFonts w:ascii="Arial" w:cs="Arial" w:eastAsia="Arial" w:hAnsi="Arial"/>
                <w:sz w:val="22"/>
                <w:szCs w:val="22"/>
                <w:color w:val="auto"/>
              </w:rPr>
              <w:t>Cash flows from financing activities: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Proceeds from issuance of common shares, net</w:t>
            </w:r>
          </w:p>
        </w:tc>
        <w:tc>
          <w:tcPr>
            <w:tcW w:w="140" w:type="dxa"/>
            <w:vAlign w:val="bottom"/>
          </w:tcPr>
          <w:p>
            <w:pPr>
              <w:spacing w:after="0"/>
              <w:rPr>
                <w:sz w:val="23"/>
                <w:szCs w:val="23"/>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64,734</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Term loan repayments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(26,609)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(40,781)</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Revolving credit borrowings (repayments), net</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140,973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(39,937)</w:t>
            </w:r>
          </w:p>
        </w:tc>
      </w:tr>
      <w:tr>
        <w:trPr>
          <w:trHeight w:val="270"/>
        </w:trPr>
        <w:tc>
          <w:tcPr>
            <w:tcW w:w="8320" w:type="dxa"/>
            <w:vAlign w:val="bottom"/>
          </w:tcPr>
          <w:p>
            <w:pPr>
              <w:ind w:left="120"/>
              <w:spacing w:after="0"/>
              <w:rPr>
                <w:sz w:val="20"/>
                <w:szCs w:val="20"/>
                <w:color w:val="auto"/>
              </w:rPr>
            </w:pPr>
            <w:r>
              <w:rPr>
                <w:rFonts w:ascii="Arial" w:cs="Arial" w:eastAsia="Arial" w:hAnsi="Arial"/>
                <w:sz w:val="22"/>
                <w:szCs w:val="22"/>
                <w:color w:val="auto"/>
              </w:rPr>
              <w:t>Debt issuance costs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(4,009)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(1,795)</w:t>
            </w:r>
          </w:p>
        </w:tc>
      </w:tr>
      <w:tr>
        <w:trPr>
          <w:trHeight w:val="275"/>
        </w:trPr>
        <w:tc>
          <w:tcPr>
            <w:tcW w:w="8320" w:type="dxa"/>
            <w:vAlign w:val="bottom"/>
          </w:tcPr>
          <w:p>
            <w:pPr>
              <w:ind w:left="120"/>
              <w:spacing w:after="0"/>
              <w:rPr>
                <w:sz w:val="20"/>
                <w:szCs w:val="20"/>
                <w:color w:val="auto"/>
              </w:rPr>
            </w:pPr>
            <w:r>
              <w:rPr>
                <w:rFonts w:ascii="Arial" w:cs="Arial" w:eastAsia="Arial" w:hAnsi="Arial"/>
                <w:sz w:val="22"/>
                <w:szCs w:val="22"/>
                <w:color w:val="auto"/>
              </w:rPr>
              <w:t>Other, net</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(832)</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(293)</w:t>
            </w:r>
          </w:p>
        </w:tc>
      </w:tr>
      <w:tr>
        <w:trPr>
          <w:trHeight w:val="272"/>
        </w:trPr>
        <w:tc>
          <w:tcPr>
            <w:tcW w:w="8320" w:type="dxa"/>
            <w:vAlign w:val="bottom"/>
          </w:tcPr>
          <w:p>
            <w:pPr>
              <w:ind w:left="400"/>
              <w:spacing w:after="0"/>
              <w:rPr>
                <w:sz w:val="20"/>
                <w:szCs w:val="20"/>
                <w:color w:val="auto"/>
              </w:rPr>
            </w:pPr>
            <w:r>
              <w:rPr>
                <w:rFonts w:ascii="Arial" w:cs="Arial" w:eastAsia="Arial" w:hAnsi="Arial"/>
                <w:sz w:val="22"/>
                <w:szCs w:val="22"/>
                <w:color w:val="auto"/>
              </w:rPr>
              <w:t>Net cash flows provided by (used in) financing activities</w:t>
            </w:r>
          </w:p>
        </w:tc>
        <w:tc>
          <w:tcPr>
            <w:tcW w:w="1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109,523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(18,072)</w:t>
            </w:r>
          </w:p>
        </w:tc>
      </w:tr>
      <w:tr>
        <w:trPr>
          <w:trHeight w:val="532"/>
        </w:trPr>
        <w:tc>
          <w:tcPr>
            <w:tcW w:w="832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(2,242)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846</w:t>
            </w:r>
          </w:p>
        </w:tc>
      </w:tr>
      <w:tr>
        <w:trPr>
          <w:trHeight w:val="272"/>
        </w:trPr>
        <w:tc>
          <w:tcPr>
            <w:tcW w:w="8320" w:type="dxa"/>
            <w:vAlign w:val="bottom"/>
          </w:tcPr>
          <w:p>
            <w:pPr>
              <w:spacing w:after="0"/>
              <w:rPr>
                <w:sz w:val="20"/>
                <w:szCs w:val="20"/>
                <w:color w:val="auto"/>
              </w:rPr>
            </w:pPr>
            <w:r>
              <w:rPr>
                <w:rFonts w:ascii="Arial" w:cs="Arial" w:eastAsia="Arial" w:hAnsi="Arial"/>
                <w:sz w:val="22"/>
                <w:szCs w:val="22"/>
                <w:color w:val="auto"/>
              </w:rPr>
              <w:t>Net change in cash and cash equivalents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(20,275)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30,862</w:t>
            </w:r>
          </w:p>
        </w:tc>
      </w:tr>
      <w:tr>
        <w:trPr>
          <w:trHeight w:val="534"/>
        </w:trPr>
        <w:tc>
          <w:tcPr>
            <w:tcW w:w="832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32,647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1,785</w:t>
            </w:r>
          </w:p>
        </w:tc>
      </w:tr>
      <w:tr>
        <w:trPr>
          <w:trHeight w:val="265"/>
        </w:trPr>
        <w:tc>
          <w:tcPr>
            <w:tcW w:w="8320" w:type="dxa"/>
            <w:vAlign w:val="bottom"/>
          </w:tcPr>
          <w:p>
            <w:pPr>
              <w:spacing w:after="0"/>
              <w:rPr>
                <w:sz w:val="20"/>
                <w:szCs w:val="20"/>
                <w:color w:val="auto"/>
              </w:rPr>
            </w:pPr>
            <w:r>
              <w:rPr>
                <w:rFonts w:ascii="Arial" w:cs="Arial" w:eastAsia="Arial" w:hAnsi="Arial"/>
                <w:sz w:val="22"/>
                <w:szCs w:val="22"/>
                <w:color w:val="auto"/>
              </w:rPr>
              <w:t>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12,372</w:t>
            </w: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32,647</w:t>
            </w:r>
          </w:p>
        </w:tc>
      </w:tr>
      <w:tr>
        <w:trPr>
          <w:trHeight w:val="21"/>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SEGMENT DATA</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5"/>
          </w:tcPr>
          <w:p>
            <w:pPr>
              <w:ind w:left="12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3120" w:type="dxa"/>
            <w:vAlign w:val="bottom"/>
            <w:gridSpan w:val="4"/>
          </w:tcPr>
          <w:p>
            <w:pPr>
              <w:jc w:val="center"/>
              <w:ind w:right="92"/>
              <w:spacing w:after="0"/>
              <w:rPr>
                <w:sz w:val="20"/>
                <w:szCs w:val="20"/>
                <w:color w:val="auto"/>
              </w:rPr>
            </w:pPr>
            <w:r>
              <w:rPr>
                <w:rFonts w:ascii="Arial" w:cs="Arial" w:eastAsia="Arial" w:hAnsi="Arial"/>
                <w:sz w:val="22"/>
                <w:szCs w:val="22"/>
                <w:b w:val="1"/>
                <w:bCs w:val="1"/>
                <w:color w:val="auto"/>
                <w:w w:val="99"/>
              </w:rPr>
              <w:t>TWELVE MONTHS ENDED</w:t>
            </w:r>
          </w:p>
        </w:tc>
      </w:tr>
      <w:tr>
        <w:trPr>
          <w:trHeight w:val="270"/>
        </w:trPr>
        <w:tc>
          <w:tcPr>
            <w:tcW w:w="4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180" w:type="dxa"/>
            <w:vAlign w:val="bottom"/>
            <w:gridSpan w:val="5"/>
          </w:tcPr>
          <w:p>
            <w:pPr>
              <w:ind w:left="620"/>
              <w:spacing w:after="0"/>
              <w:rPr>
                <w:sz w:val="20"/>
                <w:szCs w:val="20"/>
                <w:color w:val="auto"/>
              </w:rPr>
            </w:pPr>
            <w:r>
              <w:rPr>
                <w:rFonts w:ascii="Arial" w:cs="Arial" w:eastAsia="Arial" w:hAnsi="Arial"/>
                <w:sz w:val="22"/>
                <w:szCs w:val="22"/>
                <w:b w:val="1"/>
                <w:bCs w:val="1"/>
                <w:color w:val="auto"/>
              </w:rPr>
              <w:t>DECEMBER 31,</w:t>
            </w:r>
          </w:p>
        </w:tc>
        <w:tc>
          <w:tcPr>
            <w:tcW w:w="200" w:type="dxa"/>
            <w:vAlign w:val="bottom"/>
          </w:tcPr>
          <w:p>
            <w:pPr>
              <w:spacing w:after="0"/>
              <w:rPr>
                <w:sz w:val="23"/>
                <w:szCs w:val="23"/>
                <w:color w:val="auto"/>
              </w:rPr>
            </w:pPr>
          </w:p>
        </w:tc>
        <w:tc>
          <w:tcPr>
            <w:tcW w:w="3120" w:type="dxa"/>
            <w:vAlign w:val="bottom"/>
            <w:gridSpan w:val="4"/>
          </w:tcPr>
          <w:p>
            <w:pPr>
              <w:jc w:val="center"/>
              <w:ind w:right="92"/>
              <w:spacing w:after="0"/>
              <w:rPr>
                <w:sz w:val="20"/>
                <w:szCs w:val="20"/>
                <w:color w:val="auto"/>
              </w:rPr>
            </w:pPr>
            <w:r>
              <w:rPr>
                <w:rFonts w:ascii="Arial" w:cs="Arial" w:eastAsia="Arial" w:hAnsi="Arial"/>
                <w:sz w:val="22"/>
                <w:szCs w:val="22"/>
                <w:b w:val="1"/>
                <w:bCs w:val="1"/>
                <w:color w:val="auto"/>
                <w:w w:val="95"/>
              </w:rPr>
              <w:t>DECEMBER 31,</w:t>
            </w:r>
          </w:p>
        </w:tc>
      </w:tr>
      <w:tr>
        <w:trPr>
          <w:trHeight w:val="281"/>
        </w:trPr>
        <w:tc>
          <w:tcPr>
            <w:tcW w:w="4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2017</w:t>
            </w:r>
          </w:p>
        </w:tc>
      </w:tr>
      <w:tr>
        <w:trPr>
          <w:trHeight w:val="259"/>
        </w:trPr>
        <w:tc>
          <w:tcPr>
            <w:tcW w:w="4640" w:type="dxa"/>
            <w:vAlign w:val="bottom"/>
          </w:tcPr>
          <w:p>
            <w:pPr>
              <w:jc w:val="right"/>
              <w:ind w:right="3692"/>
              <w:spacing w:after="0"/>
              <w:rPr>
                <w:sz w:val="20"/>
                <w:szCs w:val="20"/>
                <w:color w:val="auto"/>
              </w:rPr>
            </w:pPr>
            <w:r>
              <w:rPr>
                <w:rFonts w:ascii="Arial" w:cs="Arial" w:eastAsia="Arial" w:hAnsi="Arial"/>
                <w:sz w:val="22"/>
                <w:szCs w:val="22"/>
                <w:color w:val="auto"/>
                <w:w w:val="82"/>
              </w:rPr>
              <w:t>Revenues</w:t>
            </w: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5"/>
        </w:trPr>
        <w:tc>
          <w:tcPr>
            <w:tcW w:w="4640" w:type="dxa"/>
            <w:vAlign w:val="bottom"/>
          </w:tcPr>
          <w:p>
            <w:pPr>
              <w:jc w:val="right"/>
              <w:ind w:right="3692"/>
              <w:spacing w:after="0"/>
              <w:rPr>
                <w:sz w:val="20"/>
                <w:szCs w:val="20"/>
                <w:color w:val="auto"/>
              </w:rPr>
            </w:pPr>
            <w:r>
              <w:rPr>
                <w:rFonts w:ascii="Arial" w:cs="Arial" w:eastAsia="Arial" w:hAnsi="Arial"/>
                <w:sz w:val="22"/>
                <w:szCs w:val="22"/>
                <w:color w:val="auto"/>
              </w:rPr>
              <w:t>Canada</w:t>
            </w: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360" w:type="dxa"/>
            <w:vAlign w:val="bottom"/>
          </w:tcPr>
          <w:p>
            <w:pPr>
              <w:ind w:left="640"/>
              <w:spacing w:after="0"/>
              <w:rPr>
                <w:sz w:val="20"/>
                <w:szCs w:val="20"/>
                <w:color w:val="auto"/>
              </w:rPr>
            </w:pPr>
            <w:r>
              <w:rPr>
                <w:rFonts w:ascii="Arial" w:cs="Arial" w:eastAsia="Arial" w:hAnsi="Arial"/>
                <w:sz w:val="22"/>
                <w:szCs w:val="22"/>
                <w:color w:val="auto"/>
              </w:rPr>
              <w:t>69,351</w:t>
            </w:r>
          </w:p>
        </w:tc>
        <w:tc>
          <w:tcPr>
            <w:tcW w:w="10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63,589</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00" w:type="dxa"/>
            <w:vAlign w:val="bottom"/>
          </w:tcPr>
          <w:p>
            <w:pPr>
              <w:jc w:val="right"/>
              <w:ind w:right="12"/>
              <w:spacing w:after="0"/>
              <w:rPr>
                <w:sz w:val="20"/>
                <w:szCs w:val="20"/>
                <w:color w:val="auto"/>
              </w:rPr>
            </w:pPr>
            <w:r>
              <w:rPr>
                <w:rFonts w:ascii="Arial" w:cs="Arial" w:eastAsia="Arial" w:hAnsi="Arial"/>
                <w:sz w:val="22"/>
                <w:szCs w:val="22"/>
                <w:color w:val="auto"/>
              </w:rPr>
              <w:t>296,012</w:t>
            </w: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245,595</w:t>
            </w:r>
          </w:p>
        </w:tc>
      </w:tr>
    </w:tbl>
    <w:p>
      <w:pPr>
        <w:sectPr>
          <w:pgSz w:w="11900" w:h="16867" w:orient="portrait"/>
          <w:cols w:equalWidth="0" w:num="1">
            <w:col w:w="11400"/>
          </w:cols>
          <w:pgMar w:left="260" w:top="111" w:right="23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4640" w:type="dxa"/>
            <w:vAlign w:val="bottom"/>
          </w:tcPr>
          <w:p>
            <w:pPr>
              <w:ind w:left="200"/>
              <w:spacing w:after="0"/>
              <w:rPr>
                <w:sz w:val="20"/>
                <w:szCs w:val="20"/>
                <w:color w:val="auto"/>
              </w:rPr>
            </w:pPr>
            <w:r>
              <w:rPr>
                <w:rFonts w:ascii="Arial" w:cs="Arial" w:eastAsia="Arial" w:hAnsi="Arial"/>
                <w:sz w:val="22"/>
                <w:szCs w:val="22"/>
                <w:color w:val="auto"/>
              </w:rPr>
              <w:t>Australia</w:t>
            </w:r>
          </w:p>
        </w:tc>
        <w:tc>
          <w:tcPr>
            <w:tcW w:w="4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29,696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28,057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119,238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111,221</w:t>
            </w:r>
          </w:p>
        </w:tc>
        <w:tc>
          <w:tcPr>
            <w:tcW w:w="0" w:type="dxa"/>
            <w:vAlign w:val="bottom"/>
          </w:tcPr>
          <w:p>
            <w:pPr>
              <w:spacing w:after="0"/>
              <w:rPr>
                <w:sz w:val="1"/>
                <w:szCs w:val="1"/>
                <w:color w:val="auto"/>
              </w:rPr>
            </w:pPr>
          </w:p>
        </w:tc>
      </w:tr>
      <w:tr>
        <w:trPr>
          <w:trHeight w:val="276"/>
        </w:trPr>
        <w:tc>
          <w:tcPr>
            <w:tcW w:w="4640" w:type="dxa"/>
            <w:vAlign w:val="bottom"/>
          </w:tcPr>
          <w:p>
            <w:pPr>
              <w:ind w:left="200"/>
              <w:spacing w:after="0"/>
              <w:rPr>
                <w:sz w:val="20"/>
                <w:szCs w:val="20"/>
                <w:color w:val="auto"/>
              </w:rPr>
            </w:pPr>
            <w:r>
              <w:rPr>
                <w:rFonts w:ascii="Arial" w:cs="Arial" w:eastAsia="Arial" w:hAnsi="Arial"/>
                <w:sz w:val="22"/>
                <w:szCs w:val="22"/>
                <w:color w:val="auto"/>
              </w:rPr>
              <w:t>United States</w:t>
            </w: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15,473</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9,702</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51,442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25,460</w:t>
            </w:r>
          </w:p>
        </w:tc>
        <w:tc>
          <w:tcPr>
            <w:tcW w:w="0" w:type="dxa"/>
            <w:vAlign w:val="bottom"/>
          </w:tcPr>
          <w:p>
            <w:pPr>
              <w:spacing w:after="0"/>
              <w:rPr>
                <w:sz w:val="1"/>
                <w:szCs w:val="1"/>
                <w:color w:val="auto"/>
              </w:rPr>
            </w:pPr>
          </w:p>
        </w:tc>
      </w:tr>
      <w:tr>
        <w:trPr>
          <w:trHeight w:val="265"/>
        </w:trPr>
        <w:tc>
          <w:tcPr>
            <w:tcW w:w="4640" w:type="dxa"/>
            <w:vAlign w:val="bottom"/>
          </w:tcPr>
          <w:p>
            <w:pPr>
              <w:ind w:left="400"/>
              <w:spacing w:after="0"/>
              <w:rPr>
                <w:sz w:val="20"/>
                <w:szCs w:val="20"/>
                <w:color w:val="auto"/>
              </w:rPr>
            </w:pPr>
            <w:r>
              <w:rPr>
                <w:rFonts w:ascii="Arial" w:cs="Arial" w:eastAsia="Arial" w:hAnsi="Arial"/>
                <w:sz w:val="22"/>
                <w:szCs w:val="22"/>
                <w:color w:val="auto"/>
              </w:rPr>
              <w:t>Total revenues</w:t>
            </w: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114,520</w:t>
            </w:r>
          </w:p>
        </w:tc>
        <w:tc>
          <w:tcPr>
            <w:tcW w:w="100" w:type="dxa"/>
            <w:vAlign w:val="bottom"/>
          </w:tcPr>
          <w:p>
            <w:pPr>
              <w:spacing w:after="0"/>
              <w:rPr>
                <w:sz w:val="23"/>
                <w:szCs w:val="23"/>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101,348</w:t>
            </w: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466,692</w:t>
            </w:r>
          </w:p>
        </w:tc>
        <w:tc>
          <w:tcPr>
            <w:tcW w:w="120" w:type="dxa"/>
            <w:vAlign w:val="bottom"/>
          </w:tcPr>
          <w:p>
            <w:pPr>
              <w:spacing w:after="0"/>
              <w:rPr>
                <w:sz w:val="23"/>
                <w:szCs w:val="23"/>
                <w:color w:val="auto"/>
              </w:rPr>
            </w:pP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382,276</w:t>
            </w:r>
          </w:p>
        </w:tc>
        <w:tc>
          <w:tcPr>
            <w:tcW w:w="0" w:type="dxa"/>
            <w:vAlign w:val="bottom"/>
          </w:tcPr>
          <w:p>
            <w:pPr>
              <w:spacing w:after="0"/>
              <w:rPr>
                <w:sz w:val="1"/>
                <w:szCs w:val="1"/>
                <w:color w:val="auto"/>
              </w:rPr>
            </w:pPr>
          </w:p>
        </w:tc>
      </w:tr>
      <w:tr>
        <w:trPr>
          <w:trHeight w:val="21"/>
        </w:trPr>
        <w:tc>
          <w:tcPr>
            <w:tcW w:w="464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6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Canada</w:t>
            </w: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10,579</w:t>
            </w:r>
          </w:p>
        </w:tc>
        <w:tc>
          <w:tcPr>
            <w:tcW w:w="100" w:type="dxa"/>
            <w:vAlign w:val="bottom"/>
          </w:tcPr>
          <w:p>
            <w:pPr>
              <w:spacing w:after="0"/>
              <w:rPr>
                <w:sz w:val="23"/>
                <w:szCs w:val="23"/>
                <w:color w:val="auto"/>
              </w:rPr>
            </w:pP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(16,281)</w:t>
            </w:r>
          </w:p>
        </w:tc>
        <w:tc>
          <w:tcPr>
            <w:tcW w:w="120" w:type="dxa"/>
            <w:vAlign w:val="bottom"/>
          </w:tcPr>
          <w:p>
            <w:pPr>
              <w:spacing w:after="0"/>
              <w:rPr>
                <w:sz w:val="23"/>
                <w:szCs w:val="23"/>
                <w:color w:val="auto"/>
              </w:rPr>
            </w:pP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23,671</w:t>
            </w:r>
          </w:p>
        </w:tc>
        <w:tc>
          <w:tcPr>
            <w:tcW w:w="120" w:type="dxa"/>
            <w:vAlign w:val="bottom"/>
          </w:tcPr>
          <w:p>
            <w:pPr>
              <w:spacing w:after="0"/>
              <w:rPr>
                <w:sz w:val="23"/>
                <w:szCs w:val="23"/>
                <w:color w:val="auto"/>
              </w:rPr>
            </w:pPr>
          </w:p>
        </w:tc>
        <w:tc>
          <w:tcPr>
            <w:tcW w:w="440" w:type="dxa"/>
            <w:vAlign w:val="bottom"/>
          </w:tcPr>
          <w:p>
            <w:pPr>
              <w:jc w:val="right"/>
              <w:ind w:right="21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22,818</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Australia</w:t>
            </w:r>
          </w:p>
        </w:tc>
        <w:tc>
          <w:tcPr>
            <w:tcW w:w="4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11,759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10,294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44,821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41,398</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United States</w:t>
            </w:r>
          </w:p>
        </w:tc>
        <w:tc>
          <w:tcPr>
            <w:tcW w:w="4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1,908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(1,197)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5,566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(5,475)</w:t>
            </w:r>
          </w:p>
        </w:tc>
        <w:tc>
          <w:tcPr>
            <w:tcW w:w="0" w:type="dxa"/>
            <w:vAlign w:val="bottom"/>
          </w:tcPr>
          <w:p>
            <w:pPr>
              <w:spacing w:after="0"/>
              <w:rPr>
                <w:sz w:val="1"/>
                <w:szCs w:val="1"/>
                <w:color w:val="auto"/>
              </w:rPr>
            </w:pPr>
          </w:p>
        </w:tc>
      </w:tr>
      <w:tr>
        <w:trPr>
          <w:trHeight w:val="276"/>
        </w:trPr>
        <w:tc>
          <w:tcPr>
            <w:tcW w:w="4640" w:type="dxa"/>
            <w:vAlign w:val="bottom"/>
          </w:tcPr>
          <w:p>
            <w:pPr>
              <w:ind w:left="200"/>
              <w:spacing w:after="0"/>
              <w:rPr>
                <w:sz w:val="20"/>
                <w:szCs w:val="20"/>
                <w:color w:val="auto"/>
              </w:rPr>
            </w:pPr>
            <w:r>
              <w:rPr>
                <w:rFonts w:ascii="Arial" w:cs="Arial" w:eastAsia="Arial" w:hAnsi="Arial"/>
                <w:sz w:val="22"/>
                <w:szCs w:val="22"/>
                <w:color w:val="auto"/>
              </w:rPr>
              <w:t>Corporate and eliminations</w:t>
            </w: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(6,401)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(9,039)</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(35,040)</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(29,420)</w:t>
            </w:r>
          </w:p>
        </w:tc>
        <w:tc>
          <w:tcPr>
            <w:tcW w:w="0" w:type="dxa"/>
            <w:vAlign w:val="bottom"/>
          </w:tcPr>
          <w:p>
            <w:pPr>
              <w:spacing w:after="0"/>
              <w:rPr>
                <w:sz w:val="1"/>
                <w:szCs w:val="1"/>
                <w:color w:val="auto"/>
              </w:rPr>
            </w:pPr>
          </w:p>
        </w:tc>
      </w:tr>
      <w:tr>
        <w:trPr>
          <w:trHeight w:val="265"/>
        </w:trPr>
        <w:tc>
          <w:tcPr>
            <w:tcW w:w="4640" w:type="dxa"/>
            <w:vAlign w:val="bottom"/>
          </w:tcPr>
          <w:p>
            <w:pPr>
              <w:ind w:left="400"/>
              <w:spacing w:after="0"/>
              <w:rPr>
                <w:sz w:val="20"/>
                <w:szCs w:val="20"/>
                <w:color w:val="auto"/>
              </w:rPr>
            </w:pPr>
            <w:r>
              <w:rPr>
                <w:rFonts w:ascii="Arial" w:cs="Arial" w:eastAsia="Arial" w:hAnsi="Arial"/>
                <w:sz w:val="22"/>
                <w:szCs w:val="22"/>
                <w:color w:val="auto"/>
              </w:rPr>
              <w:t>Total EBITDA</w:t>
            </w: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17,845</w:t>
            </w:r>
          </w:p>
        </w:tc>
        <w:tc>
          <w:tcPr>
            <w:tcW w:w="100" w:type="dxa"/>
            <w:vAlign w:val="bottom"/>
          </w:tcPr>
          <w:p>
            <w:pPr>
              <w:spacing w:after="0"/>
              <w:rPr>
                <w:sz w:val="23"/>
                <w:szCs w:val="23"/>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(16,223)</w:t>
            </w: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39,018</w:t>
            </w:r>
          </w:p>
        </w:tc>
        <w:tc>
          <w:tcPr>
            <w:tcW w:w="120" w:type="dxa"/>
            <w:vAlign w:val="bottom"/>
          </w:tcPr>
          <w:p>
            <w:pPr>
              <w:spacing w:after="0"/>
              <w:rPr>
                <w:sz w:val="23"/>
                <w:szCs w:val="23"/>
                <w:color w:val="auto"/>
              </w:rPr>
            </w:pP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29,321</w:t>
            </w:r>
          </w:p>
        </w:tc>
        <w:tc>
          <w:tcPr>
            <w:tcW w:w="0" w:type="dxa"/>
            <w:vAlign w:val="bottom"/>
          </w:tcPr>
          <w:p>
            <w:pPr>
              <w:spacing w:after="0"/>
              <w:rPr>
                <w:sz w:val="1"/>
                <w:szCs w:val="1"/>
                <w:color w:val="auto"/>
              </w:rPr>
            </w:pPr>
          </w:p>
        </w:tc>
      </w:tr>
      <w:tr>
        <w:trPr>
          <w:trHeight w:val="21"/>
        </w:trPr>
        <w:tc>
          <w:tcPr>
            <w:tcW w:w="464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6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Canada</w:t>
            </w: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11,780</w:t>
            </w:r>
          </w:p>
        </w:tc>
        <w:tc>
          <w:tcPr>
            <w:tcW w:w="100" w:type="dxa"/>
            <w:vAlign w:val="bottom"/>
          </w:tcPr>
          <w:p>
            <w:pPr>
              <w:spacing w:after="0"/>
              <w:rPr>
                <w:sz w:val="23"/>
                <w:szCs w:val="23"/>
                <w:color w:val="auto"/>
              </w:rPr>
            </w:pP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11,356</w:t>
            </w:r>
          </w:p>
        </w:tc>
        <w:tc>
          <w:tcPr>
            <w:tcW w:w="120" w:type="dxa"/>
            <w:vAlign w:val="bottom"/>
          </w:tcPr>
          <w:p>
            <w:pPr>
              <w:spacing w:after="0"/>
              <w:rPr>
                <w:sz w:val="23"/>
                <w:szCs w:val="23"/>
                <w:color w:val="auto"/>
              </w:rPr>
            </w:pP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55,848</w:t>
            </w:r>
          </w:p>
        </w:tc>
        <w:tc>
          <w:tcPr>
            <w:tcW w:w="120" w:type="dxa"/>
            <w:vAlign w:val="bottom"/>
          </w:tcPr>
          <w:p>
            <w:pPr>
              <w:spacing w:after="0"/>
              <w:rPr>
                <w:sz w:val="23"/>
                <w:szCs w:val="23"/>
                <w:color w:val="auto"/>
              </w:rPr>
            </w:pPr>
          </w:p>
        </w:tc>
        <w:tc>
          <w:tcPr>
            <w:tcW w:w="440" w:type="dxa"/>
            <w:vAlign w:val="bottom"/>
          </w:tcPr>
          <w:p>
            <w:pPr>
              <w:jc w:val="right"/>
              <w:ind w:right="21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54,815</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Australia</w:t>
            </w:r>
          </w:p>
        </w:tc>
        <w:tc>
          <w:tcPr>
            <w:tcW w:w="4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11,759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10,294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44,821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41,398</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United States</w:t>
            </w:r>
          </w:p>
        </w:tc>
        <w:tc>
          <w:tcPr>
            <w:tcW w:w="4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1,908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(1,197)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5,566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(5,475)</w:t>
            </w:r>
          </w:p>
        </w:tc>
        <w:tc>
          <w:tcPr>
            <w:tcW w:w="0" w:type="dxa"/>
            <w:vAlign w:val="bottom"/>
          </w:tcPr>
          <w:p>
            <w:pPr>
              <w:spacing w:after="0"/>
              <w:rPr>
                <w:sz w:val="1"/>
                <w:szCs w:val="1"/>
                <w:color w:val="auto"/>
              </w:rPr>
            </w:pPr>
          </w:p>
        </w:tc>
      </w:tr>
      <w:tr>
        <w:trPr>
          <w:trHeight w:val="276"/>
        </w:trPr>
        <w:tc>
          <w:tcPr>
            <w:tcW w:w="4640" w:type="dxa"/>
            <w:vAlign w:val="bottom"/>
          </w:tcPr>
          <w:p>
            <w:pPr>
              <w:ind w:left="200"/>
              <w:spacing w:after="0"/>
              <w:rPr>
                <w:sz w:val="20"/>
                <w:szCs w:val="20"/>
                <w:color w:val="auto"/>
              </w:rPr>
            </w:pPr>
            <w:r>
              <w:rPr>
                <w:rFonts w:ascii="Arial" w:cs="Arial" w:eastAsia="Arial" w:hAnsi="Arial"/>
                <w:sz w:val="22"/>
                <w:szCs w:val="22"/>
                <w:color w:val="auto"/>
              </w:rPr>
              <w:t>Corporate and eliminations</w:t>
            </w: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(5,544)</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(7,154)</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(29,457)</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(27,535)</w:t>
            </w:r>
          </w:p>
        </w:tc>
        <w:tc>
          <w:tcPr>
            <w:tcW w:w="0" w:type="dxa"/>
            <w:vAlign w:val="bottom"/>
          </w:tcPr>
          <w:p>
            <w:pPr>
              <w:spacing w:after="0"/>
              <w:rPr>
                <w:sz w:val="1"/>
                <w:szCs w:val="1"/>
                <w:color w:val="auto"/>
              </w:rPr>
            </w:pPr>
          </w:p>
        </w:tc>
      </w:tr>
      <w:tr>
        <w:trPr>
          <w:trHeight w:val="265"/>
        </w:trPr>
        <w:tc>
          <w:tcPr>
            <w:tcW w:w="4640" w:type="dxa"/>
            <w:vAlign w:val="bottom"/>
          </w:tcPr>
          <w:p>
            <w:pPr>
              <w:ind w:left="400"/>
              <w:spacing w:after="0"/>
              <w:rPr>
                <w:sz w:val="20"/>
                <w:szCs w:val="20"/>
                <w:color w:val="auto"/>
              </w:rPr>
            </w:pPr>
            <w:r>
              <w:rPr>
                <w:rFonts w:ascii="Arial" w:cs="Arial" w:eastAsia="Arial" w:hAnsi="Arial"/>
                <w:sz w:val="22"/>
                <w:szCs w:val="22"/>
                <w:color w:val="auto"/>
              </w:rPr>
              <w:t>Total adjusted EBITDA</w:t>
            </w: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19,903</w:t>
            </w:r>
          </w:p>
        </w:tc>
        <w:tc>
          <w:tcPr>
            <w:tcW w:w="100" w:type="dxa"/>
            <w:vAlign w:val="bottom"/>
          </w:tcPr>
          <w:p>
            <w:pPr>
              <w:spacing w:after="0"/>
              <w:rPr>
                <w:sz w:val="23"/>
                <w:szCs w:val="23"/>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13,299</w:t>
            </w: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76,778</w:t>
            </w:r>
          </w:p>
        </w:tc>
        <w:tc>
          <w:tcPr>
            <w:tcW w:w="120" w:type="dxa"/>
            <w:vAlign w:val="bottom"/>
          </w:tcPr>
          <w:p>
            <w:pPr>
              <w:spacing w:after="0"/>
              <w:rPr>
                <w:sz w:val="23"/>
                <w:szCs w:val="23"/>
                <w:color w:val="auto"/>
              </w:rPr>
            </w:pP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63,203</w:t>
            </w:r>
          </w:p>
        </w:tc>
        <w:tc>
          <w:tcPr>
            <w:tcW w:w="0" w:type="dxa"/>
            <w:vAlign w:val="bottom"/>
          </w:tcPr>
          <w:p>
            <w:pPr>
              <w:spacing w:after="0"/>
              <w:rPr>
                <w:sz w:val="1"/>
                <w:szCs w:val="1"/>
                <w:color w:val="auto"/>
              </w:rPr>
            </w:pPr>
          </w:p>
        </w:tc>
      </w:tr>
      <w:tr>
        <w:trPr>
          <w:trHeight w:val="21"/>
        </w:trPr>
        <w:tc>
          <w:tcPr>
            <w:tcW w:w="464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6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Canada</w:t>
            </w: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(7,710)</w:t>
            </w:r>
          </w:p>
        </w:tc>
        <w:tc>
          <w:tcPr>
            <w:tcW w:w="100" w:type="dxa"/>
            <w:vAlign w:val="bottom"/>
          </w:tcPr>
          <w:p>
            <w:pPr>
              <w:spacing w:after="0"/>
              <w:rPr>
                <w:sz w:val="23"/>
                <w:szCs w:val="23"/>
                <w:color w:val="auto"/>
              </w:rPr>
            </w:pP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(36,928)</w:t>
            </w:r>
          </w:p>
        </w:tc>
        <w:tc>
          <w:tcPr>
            <w:tcW w:w="120" w:type="dxa"/>
            <w:vAlign w:val="bottom"/>
          </w:tcPr>
          <w:p>
            <w:pPr>
              <w:spacing w:after="0"/>
              <w:rPr>
                <w:sz w:val="23"/>
                <w:szCs w:val="23"/>
                <w:color w:val="auto"/>
              </w:rPr>
            </w:pP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(61,487)</w:t>
            </w:r>
          </w:p>
        </w:tc>
        <w:tc>
          <w:tcPr>
            <w:tcW w:w="120" w:type="dxa"/>
            <w:vAlign w:val="bottom"/>
          </w:tcPr>
          <w:p>
            <w:pPr>
              <w:spacing w:after="0"/>
              <w:rPr>
                <w:sz w:val="23"/>
                <w:szCs w:val="23"/>
                <w:color w:val="auto"/>
              </w:rPr>
            </w:pPr>
          </w:p>
        </w:tc>
        <w:tc>
          <w:tcPr>
            <w:tcW w:w="440" w:type="dxa"/>
            <w:vAlign w:val="bottom"/>
          </w:tcPr>
          <w:p>
            <w:pPr>
              <w:jc w:val="right"/>
              <w:ind w:right="212"/>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(63,211)</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Australia</w:t>
            </w:r>
          </w:p>
        </w:tc>
        <w:tc>
          <w:tcPr>
            <w:tcW w:w="4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1,843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(3,244)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(1,950)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(11,528)</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22"/>
                <w:szCs w:val="22"/>
                <w:color w:val="auto"/>
              </w:rPr>
              <w:t>United States</w:t>
            </w:r>
          </w:p>
        </w:tc>
        <w:tc>
          <w:tcPr>
            <w:tcW w:w="4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(2,195)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(4,079)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(8,640)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(14,426)</w:t>
            </w:r>
          </w:p>
        </w:tc>
        <w:tc>
          <w:tcPr>
            <w:tcW w:w="0" w:type="dxa"/>
            <w:vAlign w:val="bottom"/>
          </w:tcPr>
          <w:p>
            <w:pPr>
              <w:spacing w:after="0"/>
              <w:rPr>
                <w:sz w:val="1"/>
                <w:szCs w:val="1"/>
                <w:color w:val="auto"/>
              </w:rPr>
            </w:pPr>
          </w:p>
        </w:tc>
      </w:tr>
      <w:tr>
        <w:trPr>
          <w:trHeight w:val="276"/>
        </w:trPr>
        <w:tc>
          <w:tcPr>
            <w:tcW w:w="4640" w:type="dxa"/>
            <w:vAlign w:val="bottom"/>
          </w:tcPr>
          <w:p>
            <w:pPr>
              <w:ind w:left="200"/>
              <w:spacing w:after="0"/>
              <w:rPr>
                <w:sz w:val="20"/>
                <w:szCs w:val="20"/>
                <w:color w:val="auto"/>
              </w:rPr>
            </w:pPr>
            <w:r>
              <w:rPr>
                <w:rFonts w:ascii="Arial" w:cs="Arial" w:eastAsia="Arial" w:hAnsi="Arial"/>
                <w:sz w:val="22"/>
                <w:szCs w:val="22"/>
                <w:color w:val="auto"/>
              </w:rPr>
              <w:t>Corporate and eliminations</w:t>
            </w: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918</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(15,978)</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(8,806)</w:t>
            </w:r>
          </w:p>
        </w:tc>
        <w:tc>
          <w:tcPr>
            <w:tcW w:w="0" w:type="dxa"/>
            <w:vAlign w:val="bottom"/>
          </w:tcPr>
          <w:p>
            <w:pPr>
              <w:spacing w:after="0"/>
              <w:rPr>
                <w:sz w:val="1"/>
                <w:szCs w:val="1"/>
                <w:color w:val="auto"/>
              </w:rPr>
            </w:pPr>
          </w:p>
        </w:tc>
      </w:tr>
      <w:tr>
        <w:trPr>
          <w:trHeight w:val="265"/>
        </w:trPr>
        <w:tc>
          <w:tcPr>
            <w:tcW w:w="4640" w:type="dxa"/>
            <w:vAlign w:val="bottom"/>
          </w:tcPr>
          <w:p>
            <w:pPr>
              <w:ind w:left="400"/>
              <w:spacing w:after="0"/>
              <w:rPr>
                <w:sz w:val="20"/>
                <w:szCs w:val="20"/>
                <w:color w:val="auto"/>
              </w:rPr>
            </w:pPr>
            <w:r>
              <w:rPr>
                <w:rFonts w:ascii="Arial" w:cs="Arial" w:eastAsia="Arial" w:hAnsi="Arial"/>
                <w:sz w:val="22"/>
                <w:szCs w:val="22"/>
                <w:color w:val="auto"/>
              </w:rPr>
              <w:t>Total operating loss</w:t>
            </w: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(7,144)</w:t>
            </w:r>
          </w:p>
        </w:tc>
        <w:tc>
          <w:tcPr>
            <w:tcW w:w="100" w:type="dxa"/>
            <w:vAlign w:val="bottom"/>
          </w:tcPr>
          <w:p>
            <w:pPr>
              <w:spacing w:after="0"/>
              <w:rPr>
                <w:sz w:val="23"/>
                <w:szCs w:val="23"/>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(45,528)</w:t>
            </w: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(88,055)</w:t>
            </w:r>
          </w:p>
        </w:tc>
        <w:tc>
          <w:tcPr>
            <w:tcW w:w="120" w:type="dxa"/>
            <w:vAlign w:val="bottom"/>
          </w:tcPr>
          <w:p>
            <w:pPr>
              <w:spacing w:after="0"/>
              <w:rPr>
                <w:sz w:val="23"/>
                <w:szCs w:val="23"/>
                <w:color w:val="auto"/>
              </w:rPr>
            </w:pP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(97,971)</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 Please see Non-GAAP Reconciliation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NON-GAAP RECONCILIATIONS</w:t>
      </w:r>
    </w:p>
    <w:p>
      <w:pPr>
        <w:jc w:val="center"/>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0" w:type="dxa"/>
            <w:vAlign w:val="bottom"/>
            <w:gridSpan w:val="4"/>
          </w:tcPr>
          <w:p>
            <w:pPr>
              <w:jc w:val="center"/>
              <w:ind w:right="272"/>
              <w:spacing w:after="0"/>
              <w:rPr>
                <w:sz w:val="20"/>
                <w:szCs w:val="20"/>
                <w:color w:val="auto"/>
              </w:rPr>
            </w:pPr>
            <w:r>
              <w:rPr>
                <w:rFonts w:ascii="Arial" w:cs="Arial" w:eastAsia="Arial" w:hAnsi="Arial"/>
                <w:sz w:val="22"/>
                <w:szCs w:val="22"/>
                <w:b w:val="1"/>
                <w:bCs w:val="1"/>
                <w:color w:val="auto"/>
              </w:rPr>
              <w:t>TWELVE MONTHS</w:t>
            </w:r>
          </w:p>
        </w:tc>
      </w:tr>
      <w:tr>
        <w:trPr>
          <w:trHeight w:val="243"/>
        </w:trPr>
        <w:tc>
          <w:tcPr>
            <w:tcW w:w="5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40" w:type="dxa"/>
            <w:vAlign w:val="bottom"/>
            <w:gridSpan w:val="5"/>
          </w:tcPr>
          <w:p>
            <w:pPr>
              <w:spacing w:after="0" w:line="243" w:lineRule="exact"/>
              <w:rPr>
                <w:sz w:val="20"/>
                <w:szCs w:val="20"/>
                <w:color w:val="auto"/>
              </w:rPr>
            </w:pPr>
            <w:r>
              <w:rPr>
                <w:rFonts w:ascii="Arial" w:cs="Arial" w:eastAsia="Arial" w:hAnsi="Arial"/>
                <w:sz w:val="22"/>
                <w:szCs w:val="22"/>
                <w:b w:val="1"/>
                <w:bCs w:val="1"/>
                <w:color w:val="auto"/>
              </w:rPr>
              <w:t>THREE MONTHS ENDED</w:t>
            </w:r>
          </w:p>
        </w:tc>
        <w:tc>
          <w:tcPr>
            <w:tcW w:w="260" w:type="dxa"/>
            <w:vAlign w:val="bottom"/>
          </w:tcPr>
          <w:p>
            <w:pPr>
              <w:spacing w:after="0"/>
              <w:rPr>
                <w:sz w:val="21"/>
                <w:szCs w:val="21"/>
                <w:color w:val="auto"/>
              </w:rPr>
            </w:pPr>
          </w:p>
        </w:tc>
        <w:tc>
          <w:tcPr>
            <w:tcW w:w="1600" w:type="dxa"/>
            <w:vAlign w:val="bottom"/>
            <w:gridSpan w:val="3"/>
          </w:tcPr>
          <w:p>
            <w:pPr>
              <w:jc w:val="center"/>
              <w:ind w:left="532"/>
              <w:spacing w:after="0" w:line="243" w:lineRule="exact"/>
              <w:rPr>
                <w:sz w:val="20"/>
                <w:szCs w:val="20"/>
                <w:color w:val="auto"/>
              </w:rPr>
            </w:pPr>
            <w:r>
              <w:rPr>
                <w:rFonts w:ascii="Arial" w:cs="Arial" w:eastAsia="Arial" w:hAnsi="Arial"/>
                <w:sz w:val="22"/>
                <w:szCs w:val="22"/>
                <w:b w:val="1"/>
                <w:bCs w:val="1"/>
                <w:color w:val="auto"/>
                <w:w w:val="98"/>
              </w:rPr>
              <w:t>ENDED</w:t>
            </w:r>
          </w:p>
        </w:tc>
        <w:tc>
          <w:tcPr>
            <w:tcW w:w="1000" w:type="dxa"/>
            <w:vAlign w:val="bottom"/>
          </w:tcPr>
          <w:p>
            <w:pPr>
              <w:spacing w:after="0"/>
              <w:rPr>
                <w:sz w:val="21"/>
                <w:szCs w:val="21"/>
                <w:color w:val="auto"/>
              </w:rPr>
            </w:pPr>
          </w:p>
        </w:tc>
      </w:tr>
      <w:tr>
        <w:trPr>
          <w:trHeight w:val="270"/>
        </w:trPr>
        <w:tc>
          <w:tcPr>
            <w:tcW w:w="5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40" w:type="dxa"/>
            <w:vAlign w:val="bottom"/>
            <w:gridSpan w:val="5"/>
          </w:tcPr>
          <w:p>
            <w:pPr>
              <w:ind w:left="520"/>
              <w:spacing w:after="0"/>
              <w:rPr>
                <w:sz w:val="20"/>
                <w:szCs w:val="20"/>
                <w:color w:val="auto"/>
              </w:rPr>
            </w:pPr>
            <w:r>
              <w:rPr>
                <w:rFonts w:ascii="Arial" w:cs="Arial" w:eastAsia="Arial" w:hAnsi="Arial"/>
                <w:sz w:val="22"/>
                <w:szCs w:val="22"/>
                <w:b w:val="1"/>
                <w:bCs w:val="1"/>
                <w:color w:val="auto"/>
              </w:rPr>
              <w:t>DECEMBER 31,</w:t>
            </w:r>
          </w:p>
        </w:tc>
        <w:tc>
          <w:tcPr>
            <w:tcW w:w="260" w:type="dxa"/>
            <w:vAlign w:val="bottom"/>
          </w:tcPr>
          <w:p>
            <w:pPr>
              <w:spacing w:after="0"/>
              <w:rPr>
                <w:sz w:val="23"/>
                <w:szCs w:val="23"/>
                <w:color w:val="auto"/>
              </w:rPr>
            </w:pPr>
          </w:p>
        </w:tc>
        <w:tc>
          <w:tcPr>
            <w:tcW w:w="2600" w:type="dxa"/>
            <w:vAlign w:val="bottom"/>
            <w:gridSpan w:val="4"/>
          </w:tcPr>
          <w:p>
            <w:pPr>
              <w:jc w:val="center"/>
              <w:ind w:right="272"/>
              <w:spacing w:after="0"/>
              <w:rPr>
                <w:sz w:val="20"/>
                <w:szCs w:val="20"/>
                <w:color w:val="auto"/>
              </w:rPr>
            </w:pPr>
            <w:r>
              <w:rPr>
                <w:rFonts w:ascii="Arial" w:cs="Arial" w:eastAsia="Arial" w:hAnsi="Arial"/>
                <w:sz w:val="22"/>
                <w:szCs w:val="22"/>
                <w:b w:val="1"/>
                <w:bCs w:val="1"/>
                <w:color w:val="auto"/>
                <w:w w:val="97"/>
              </w:rPr>
              <w:t>DECEMBER 31,</w:t>
            </w:r>
          </w:p>
        </w:tc>
      </w:tr>
      <w:tr>
        <w:trPr>
          <w:trHeight w:val="282"/>
        </w:trPr>
        <w:tc>
          <w:tcPr>
            <w:tcW w:w="5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r>
      <w:tr>
        <w:trPr>
          <w:trHeight w:val="528"/>
        </w:trPr>
        <w:tc>
          <w:tcPr>
            <w:tcW w:w="5560" w:type="dxa"/>
            <w:vAlign w:val="bottom"/>
          </w:tcPr>
          <w:p>
            <w:pPr>
              <w:spacing w:after="0"/>
              <w:rPr>
                <w:sz w:val="20"/>
                <w:szCs w:val="20"/>
                <w:color w:val="auto"/>
              </w:rPr>
            </w:pPr>
            <w:r>
              <w:rPr>
                <w:rFonts w:ascii="Arial" w:cs="Arial" w:eastAsia="Arial" w:hAnsi="Arial"/>
                <w:sz w:val="22"/>
                <w:szCs w:val="22"/>
                <w:color w:val="auto"/>
              </w:rPr>
              <w:t>EBITDA (1)</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Pr>
          <w:p>
            <w:pPr>
              <w:ind w:left="520"/>
              <w:spacing w:after="0"/>
              <w:rPr>
                <w:sz w:val="20"/>
                <w:szCs w:val="20"/>
                <w:color w:val="auto"/>
              </w:rPr>
            </w:pPr>
            <w:r>
              <w:rPr>
                <w:rFonts w:ascii="Arial" w:cs="Arial" w:eastAsia="Arial" w:hAnsi="Arial"/>
                <w:sz w:val="22"/>
                <w:szCs w:val="22"/>
                <w:color w:val="auto"/>
              </w:rPr>
              <w:t>17,845</w:t>
            </w: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(16,223)</w:t>
            </w:r>
          </w:p>
        </w:tc>
        <w:tc>
          <w:tcPr>
            <w:tcW w:w="1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39,018</w:t>
            </w:r>
          </w:p>
        </w:tc>
        <w:tc>
          <w:tcPr>
            <w:tcW w:w="100" w:type="dxa"/>
            <w:vAlign w:val="bottom"/>
          </w:tcPr>
          <w:p>
            <w:pPr>
              <w:spacing w:after="0"/>
              <w:rPr>
                <w:sz w:val="24"/>
                <w:szCs w:val="24"/>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29,321</w:t>
            </w:r>
          </w:p>
        </w:tc>
      </w:tr>
      <w:tr>
        <w:trPr>
          <w:trHeight w:val="270"/>
        </w:trPr>
        <w:tc>
          <w:tcPr>
            <w:tcW w:w="5560" w:type="dxa"/>
            <w:vAlign w:val="bottom"/>
          </w:tcPr>
          <w:p>
            <w:pPr>
              <w:spacing w:after="0"/>
              <w:rPr>
                <w:sz w:val="20"/>
                <w:szCs w:val="20"/>
                <w:color w:val="auto"/>
              </w:rPr>
            </w:pPr>
            <w:r>
              <w:rPr>
                <w:rFonts w:ascii="Arial" w:cs="Arial" w:eastAsia="Arial" w:hAnsi="Arial"/>
                <w:sz w:val="22"/>
                <w:szCs w:val="22"/>
                <w:color w:val="auto"/>
              </w:rPr>
              <w:t>Adjusted EBITDA (1)</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Pr>
          <w:p>
            <w:pPr>
              <w:ind w:left="520"/>
              <w:spacing w:after="0"/>
              <w:rPr>
                <w:sz w:val="20"/>
                <w:szCs w:val="20"/>
                <w:color w:val="auto"/>
              </w:rPr>
            </w:pPr>
            <w:r>
              <w:rPr>
                <w:rFonts w:ascii="Arial" w:cs="Arial" w:eastAsia="Arial" w:hAnsi="Arial"/>
                <w:sz w:val="22"/>
                <w:szCs w:val="22"/>
                <w:color w:val="auto"/>
              </w:rPr>
              <w:t>19,903</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13,299</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76,778</w:t>
            </w:r>
          </w:p>
        </w:tc>
        <w:tc>
          <w:tcPr>
            <w:tcW w:w="10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63,203</w:t>
            </w:r>
          </w:p>
        </w:tc>
      </w:tr>
      <w:tr>
        <w:trPr>
          <w:trHeight w:val="275"/>
        </w:trPr>
        <w:tc>
          <w:tcPr>
            <w:tcW w:w="5560" w:type="dxa"/>
            <w:vAlign w:val="bottom"/>
          </w:tcPr>
          <w:p>
            <w:pPr>
              <w:spacing w:after="0"/>
              <w:rPr>
                <w:sz w:val="20"/>
                <w:szCs w:val="20"/>
                <w:color w:val="auto"/>
              </w:rPr>
            </w:pPr>
            <w:r>
              <w:rPr>
                <w:rFonts w:ascii="Arial" w:cs="Arial" w:eastAsia="Arial" w:hAnsi="Arial"/>
                <w:sz w:val="22"/>
                <w:szCs w:val="22"/>
                <w:color w:val="auto"/>
              </w:rPr>
              <w:t>Free Cash Flow (2)</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Pr>
          <w:p>
            <w:pPr>
              <w:ind w:left="520"/>
              <w:spacing w:after="0"/>
              <w:rPr>
                <w:sz w:val="20"/>
                <w:szCs w:val="20"/>
                <w:color w:val="auto"/>
              </w:rPr>
            </w:pPr>
            <w:r>
              <w:rPr>
                <w:rFonts w:ascii="Arial" w:cs="Arial" w:eastAsia="Arial" w:hAnsi="Arial"/>
                <w:sz w:val="22"/>
                <w:szCs w:val="22"/>
                <w:color w:val="auto"/>
              </w:rPr>
              <w:t>21,893</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8,410</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43,127</w:t>
            </w:r>
          </w:p>
        </w:tc>
        <w:tc>
          <w:tcPr>
            <w:tcW w:w="10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47,540</w:t>
            </w:r>
          </w:p>
        </w:tc>
      </w:tr>
    </w:tbl>
    <w:p>
      <w:pPr>
        <w:spacing w:after="0" w:line="198" w:lineRule="exact"/>
        <w:rPr>
          <w:sz w:val="20"/>
          <w:szCs w:val="20"/>
          <w:color w:val="auto"/>
        </w:rPr>
      </w:pPr>
    </w:p>
    <w:p>
      <w:pPr>
        <w:ind w:right="80" w:firstLine="8"/>
        <w:spacing w:after="0" w:line="272" w:lineRule="auto"/>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term EBITDA is defined as net income (loss) attributable to Civeo Corporation plus interest, taxes, depreciation and amortization. The term Adjusted EBITDA is defined as EBITDA adjusted to exclude impairment charges and certain costs associated with Civeo's acquisition of Noralta.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162"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64" w:lineRule="exact"/>
        <w:rPr>
          <w:sz w:val="20"/>
          <w:szCs w:val="20"/>
          <w:color w:val="auto"/>
        </w:rPr>
      </w:pPr>
    </w:p>
    <w:p>
      <w:pPr>
        <w:ind w:left="5720"/>
        <w:spacing w:after="0"/>
        <w:tabs>
          <w:tab w:leader="none" w:pos="8600" w:val="left"/>
        </w:tabs>
        <w:rPr>
          <w:sz w:val="20"/>
          <w:szCs w:val="20"/>
          <w:color w:val="auto"/>
        </w:rPr>
      </w:pPr>
      <w:r>
        <w:rPr>
          <w:rFonts w:ascii="Arial" w:cs="Arial" w:eastAsia="Arial" w:hAnsi="Arial"/>
          <w:sz w:val="22"/>
          <w:szCs w:val="22"/>
          <w:b w:val="1"/>
          <w:bCs w:val="1"/>
          <w:color w:val="auto"/>
        </w:rPr>
        <w:t>THREE MONTHS ENDED</w:t>
      </w:r>
      <w:r>
        <w:rPr>
          <w:sz w:val="20"/>
          <w:szCs w:val="20"/>
          <w:color w:val="auto"/>
        </w:rPr>
        <w:tab/>
      </w:r>
      <w:r>
        <w:rPr>
          <w:rFonts w:ascii="Arial" w:cs="Arial" w:eastAsia="Arial" w:hAnsi="Arial"/>
          <w:sz w:val="21"/>
          <w:szCs w:val="21"/>
          <w:b w:val="1"/>
          <w:bCs w:val="1"/>
          <w:color w:val="auto"/>
        </w:rPr>
        <w:t>TWELVE MONTHS ENDED</w:t>
      </w:r>
    </w:p>
    <w:p>
      <w:pPr>
        <w:sectPr>
          <w:pgSz w:w="11900" w:h="16838" w:orient="portrait"/>
          <w:cols w:equalWidth="0" w:num="1">
            <w:col w:w="11420"/>
          </w:cols>
          <w:pgMar w:left="240" w:top="118" w:right="239" w:bottom="0" w:gutter="0" w:footer="0" w:header="0"/>
          <w:type w:val="continuous"/>
        </w:sectPr>
      </w:pPr>
    </w:p>
    <w:bookmarkStart w:id="9" w:name="page10"/>
    <w:bookmarkEnd w:id="9"/>
    <w:tbl>
      <w:tblPr>
        <w:tblLayout w:type="fixed"/>
        <w:tblInd w:w="20" w:type="dxa"/>
        <w:tblCellMar>
          <w:top w:w="0" w:type="dxa"/>
          <w:left w:w="0" w:type="dxa"/>
          <w:bottom w:w="0" w:type="dxa"/>
          <w:right w:w="0" w:type="dxa"/>
        </w:tblCellMar>
      </w:tblPr>
      <w:tr>
        <w:trPr>
          <w:trHeight w:val="271"/>
        </w:trPr>
        <w:tc>
          <w:tcPr>
            <w:tcW w:w="5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80" w:type="dxa"/>
            <w:vAlign w:val="bottom"/>
            <w:gridSpan w:val="5"/>
          </w:tcPr>
          <w:p>
            <w:pPr>
              <w:ind w:left="360"/>
              <w:spacing w:after="0"/>
              <w:rPr>
                <w:sz w:val="20"/>
                <w:szCs w:val="20"/>
                <w:color w:val="auto"/>
              </w:rPr>
            </w:pPr>
            <w:r>
              <w:rPr>
                <w:rFonts w:ascii="Arial" w:cs="Arial" w:eastAsia="Arial" w:hAnsi="Arial"/>
                <w:sz w:val="22"/>
                <w:szCs w:val="22"/>
                <w:b w:val="1"/>
                <w:bCs w:val="1"/>
                <w:color w:val="auto"/>
              </w:rPr>
              <w:t>DECEMBER 31,</w:t>
            </w:r>
          </w:p>
        </w:tc>
        <w:tc>
          <w:tcPr>
            <w:tcW w:w="300" w:type="dxa"/>
            <w:vAlign w:val="bottom"/>
          </w:tcPr>
          <w:p>
            <w:pPr>
              <w:spacing w:after="0"/>
              <w:rPr>
                <w:sz w:val="23"/>
                <w:szCs w:val="23"/>
                <w:color w:val="auto"/>
              </w:rPr>
            </w:pPr>
          </w:p>
        </w:tc>
        <w:tc>
          <w:tcPr>
            <w:tcW w:w="2560" w:type="dxa"/>
            <w:vAlign w:val="bottom"/>
            <w:gridSpan w:val="4"/>
          </w:tcPr>
          <w:p>
            <w:pPr>
              <w:jc w:val="right"/>
              <w:ind w:right="532"/>
              <w:spacing w:after="0"/>
              <w:rPr>
                <w:sz w:val="20"/>
                <w:szCs w:val="20"/>
                <w:color w:val="auto"/>
              </w:rPr>
            </w:pPr>
            <w:r>
              <w:rPr>
                <w:rFonts w:ascii="Arial" w:cs="Arial" w:eastAsia="Arial" w:hAnsi="Arial"/>
                <w:sz w:val="22"/>
                <w:szCs w:val="22"/>
                <w:b w:val="1"/>
                <w:bCs w:val="1"/>
                <w:color w:val="auto"/>
              </w:rPr>
              <w:t>DECEMBER 31,</w:t>
            </w:r>
          </w:p>
        </w:tc>
      </w:tr>
      <w:tr>
        <w:trPr>
          <w:trHeight w:val="282"/>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r>
      <w:tr>
        <w:trPr>
          <w:trHeight w:val="528"/>
        </w:trPr>
        <w:tc>
          <w:tcPr>
            <w:tcW w:w="5560" w:type="dxa"/>
            <w:vAlign w:val="bottom"/>
          </w:tcPr>
          <w:p>
            <w:pPr>
              <w:spacing w:after="0"/>
              <w:rPr>
                <w:sz w:val="20"/>
                <w:szCs w:val="20"/>
                <w:color w:val="auto"/>
              </w:rPr>
            </w:pPr>
            <w:r>
              <w:rPr>
                <w:rFonts w:ascii="Arial" w:cs="Arial" w:eastAsia="Arial" w:hAnsi="Arial"/>
                <w:sz w:val="22"/>
                <w:szCs w:val="22"/>
                <w:color w:val="auto"/>
              </w:rPr>
              <w:t>Net income (loss) attributable to Civeo Corporation</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(13,315)</w:t>
            </w: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(47,579)</w:t>
            </w:r>
          </w:p>
        </w:tc>
        <w:tc>
          <w:tcPr>
            <w:tcW w:w="120" w:type="dxa"/>
            <w:vAlign w:val="bottom"/>
          </w:tcPr>
          <w:p>
            <w:pPr>
              <w:spacing w:after="0"/>
              <w:rPr>
                <w:sz w:val="24"/>
                <w:szCs w:val="24"/>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(82,243)</w:t>
            </w:r>
          </w:p>
        </w:tc>
        <w:tc>
          <w:tcPr>
            <w:tcW w:w="100" w:type="dxa"/>
            <w:vAlign w:val="bottom"/>
          </w:tcPr>
          <w:p>
            <w:pPr>
              <w:spacing w:after="0"/>
              <w:rPr>
                <w:sz w:val="24"/>
                <w:szCs w:val="24"/>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(105,713)</w:t>
            </w:r>
          </w:p>
        </w:tc>
      </w:tr>
      <w:tr>
        <w:trPr>
          <w:trHeight w:val="270"/>
        </w:trPr>
        <w:tc>
          <w:tcPr>
            <w:tcW w:w="556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(1,979)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(3,615)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(31,365)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(13,490)</w:t>
            </w:r>
          </w:p>
        </w:tc>
      </w:tr>
      <w:tr>
        <w:trPr>
          <w:trHeight w:val="270"/>
        </w:trPr>
        <w:tc>
          <w:tcPr>
            <w:tcW w:w="55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26,344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29,360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125,846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126,443</w:t>
            </w:r>
          </w:p>
        </w:tc>
      </w:tr>
      <w:tr>
        <w:trPr>
          <w:trHeight w:val="270"/>
        </w:trPr>
        <w:tc>
          <w:tcPr>
            <w:tcW w:w="5560" w:type="dxa"/>
            <w:vAlign w:val="bottom"/>
          </w:tcPr>
          <w:p>
            <w:pPr>
              <w:spacing w:after="0"/>
              <w:rPr>
                <w:sz w:val="20"/>
                <w:szCs w:val="20"/>
                <w:color w:val="auto"/>
              </w:rPr>
            </w:pPr>
            <w:r>
              <w:rPr>
                <w:rFonts w:ascii="Arial" w:cs="Arial" w:eastAsia="Arial" w:hAnsi="Arial"/>
                <w:sz w:val="22"/>
                <w:szCs w:val="22"/>
                <w:color w:val="auto"/>
              </w:rPr>
              <w:t>Interest income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(200)</w:t>
            </w:r>
          </w:p>
        </w:tc>
      </w:tr>
      <w:tr>
        <w:trPr>
          <w:trHeight w:val="270"/>
        </w:trPr>
        <w:tc>
          <w:tcPr>
            <w:tcW w:w="556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748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842</w:t>
            </w:r>
          </w:p>
        </w:tc>
      </w:tr>
      <w:tr>
        <w:trPr>
          <w:trHeight w:val="275"/>
        </w:trPr>
        <w:tc>
          <w:tcPr>
            <w:tcW w:w="5560" w:type="dxa"/>
            <w:vAlign w:val="bottom"/>
          </w:tcPr>
          <w:p>
            <w:pPr>
              <w:spacing w:after="0"/>
              <w:rPr>
                <w:sz w:val="20"/>
                <w:szCs w:val="20"/>
                <w:color w:val="auto"/>
              </w:rPr>
            </w:pPr>
            <w:r>
              <w:rPr>
                <w:rFonts w:ascii="Arial" w:cs="Arial" w:eastAsia="Arial" w:hAnsi="Arial"/>
                <w:sz w:val="22"/>
                <w:szCs w:val="22"/>
                <w:color w:val="auto"/>
              </w:rPr>
              <w:t>Interest expense</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6,929</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5,742</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26,258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21,439</w:t>
            </w:r>
          </w:p>
        </w:tc>
      </w:tr>
      <w:tr>
        <w:trPr>
          <w:trHeight w:val="267"/>
        </w:trPr>
        <w:tc>
          <w:tcPr>
            <w:tcW w:w="5560" w:type="dxa"/>
            <w:vAlign w:val="bottom"/>
          </w:tcPr>
          <w:p>
            <w:pPr>
              <w:ind w:left="200"/>
              <w:spacing w:after="0"/>
              <w:rPr>
                <w:sz w:val="20"/>
                <w:szCs w:val="20"/>
                <w:color w:val="auto"/>
              </w:rPr>
            </w:pPr>
            <w:r>
              <w:rPr>
                <w:rFonts w:ascii="Arial" w:cs="Arial" w:eastAsia="Arial" w:hAnsi="Arial"/>
                <w:sz w:val="22"/>
                <w:szCs w:val="22"/>
                <w:color w:val="auto"/>
              </w:rPr>
              <w:t>EBITDA</w:t>
            </w: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17,845</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(16,223)</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39,018</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29,321</w:t>
            </w:r>
          </w:p>
        </w:tc>
      </w:tr>
      <w:tr>
        <w:trPr>
          <w:trHeight w:val="256"/>
        </w:trPr>
        <w:tc>
          <w:tcPr>
            <w:tcW w:w="5560" w:type="dxa"/>
            <w:vAlign w:val="bottom"/>
          </w:tcPr>
          <w:p>
            <w:pPr>
              <w:spacing w:after="0"/>
              <w:rPr>
                <w:sz w:val="20"/>
                <w:szCs w:val="20"/>
                <w:color w:val="auto"/>
              </w:rPr>
            </w:pPr>
            <w:r>
              <w:rPr>
                <w:rFonts w:ascii="Arial" w:cs="Arial" w:eastAsia="Arial" w:hAnsi="Arial"/>
                <w:sz w:val="22"/>
                <w:szCs w:val="22"/>
                <w:color w:val="auto"/>
              </w:rPr>
              <w:t>Adjustments to EBITDA</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0"/>
        </w:trPr>
        <w:tc>
          <w:tcPr>
            <w:tcW w:w="5560" w:type="dxa"/>
            <w:vAlign w:val="bottom"/>
          </w:tcPr>
          <w:p>
            <w:pPr>
              <w:ind w:left="200"/>
              <w:spacing w:after="0"/>
              <w:rPr>
                <w:sz w:val="20"/>
                <w:szCs w:val="20"/>
                <w:color w:val="auto"/>
              </w:rPr>
            </w:pPr>
            <w:r>
              <w:rPr>
                <w:rFonts w:ascii="Arial" w:cs="Arial" w:eastAsia="Arial" w:hAnsi="Arial"/>
                <w:sz w:val="22"/>
                <w:szCs w:val="22"/>
                <w:color w:val="auto"/>
              </w:rPr>
              <w:t>Impairment expense (a)</w:t>
            </w:r>
          </w:p>
        </w:tc>
        <w:tc>
          <w:tcPr>
            <w:tcW w:w="30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27,244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28,661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31,604</w:t>
            </w:r>
          </w:p>
        </w:tc>
      </w:tr>
      <w:tr>
        <w:trPr>
          <w:trHeight w:val="276"/>
        </w:trPr>
        <w:tc>
          <w:tcPr>
            <w:tcW w:w="5560" w:type="dxa"/>
            <w:vAlign w:val="bottom"/>
          </w:tcPr>
          <w:p>
            <w:pPr>
              <w:ind w:left="200"/>
              <w:spacing w:after="0"/>
              <w:rPr>
                <w:sz w:val="20"/>
                <w:szCs w:val="20"/>
                <w:color w:val="auto"/>
              </w:rPr>
            </w:pPr>
            <w:r>
              <w:rPr>
                <w:rFonts w:ascii="Arial" w:cs="Arial" w:eastAsia="Arial" w:hAnsi="Arial"/>
                <w:sz w:val="22"/>
                <w:szCs w:val="22"/>
                <w:color w:val="auto"/>
              </w:rPr>
              <w:t>Noralta transaction costs (b)</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2,058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2,278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9,099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2,278</w:t>
            </w:r>
          </w:p>
        </w:tc>
      </w:tr>
      <w:tr>
        <w:trPr>
          <w:trHeight w:val="265"/>
        </w:trPr>
        <w:tc>
          <w:tcPr>
            <w:tcW w:w="5560" w:type="dxa"/>
            <w:vAlign w:val="bottom"/>
          </w:tcPr>
          <w:p>
            <w:pPr>
              <w:ind w:left="400"/>
              <w:spacing w:after="0"/>
              <w:rPr>
                <w:sz w:val="20"/>
                <w:szCs w:val="20"/>
                <w:color w:val="auto"/>
              </w:rPr>
            </w:pPr>
            <w:r>
              <w:rPr>
                <w:rFonts w:ascii="Arial" w:cs="Arial" w:eastAsia="Arial" w:hAnsi="Arial"/>
                <w:sz w:val="22"/>
                <w:szCs w:val="22"/>
                <w:color w:val="auto"/>
              </w:rPr>
              <w:t>Adjusted EBITDA</w:t>
            </w: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19,903</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13,299</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76,778</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63,203</w:t>
            </w:r>
          </w:p>
        </w:tc>
      </w:tr>
      <w:tr>
        <w:trPr>
          <w:trHeight w:val="21"/>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right="20" w:firstLine="8"/>
        <w:spacing w:after="0" w:line="248" w:lineRule="auto"/>
        <w:tabs>
          <w:tab w:leader="none" w:pos="294" w:val="left"/>
        </w:tabs>
        <w:numPr>
          <w:ilvl w:val="0"/>
          <w:numId w:val="3"/>
        </w:numPr>
        <w:rPr>
          <w:rFonts w:ascii="Arial" w:cs="Arial" w:eastAsia="Arial" w:hAnsi="Arial"/>
          <w:sz w:val="21"/>
          <w:szCs w:val="21"/>
          <w:color w:val="auto"/>
        </w:rPr>
      </w:pPr>
      <w:r>
        <w:rPr>
          <w:rFonts w:ascii="Arial" w:cs="Arial" w:eastAsia="Arial" w:hAnsi="Arial"/>
          <w:sz w:val="21"/>
          <w:szCs w:val="21"/>
          <w:color w:val="auto"/>
        </w:rPr>
        <w:t>Relates to the impairment of assets in Canada and the United States. During the first quarter 2018, we recorded a pre-tax loss of $28.7 million ($20.9 million after-tax, or 0.13 per diluted share), which is included in Impairment expense on the unaudited statements of operations. During the fourth quarter 2017, we recorded a pre-tax loss of $27.2 million ($19.9 million after-tax, or 0.15 per diluted share), which is included in Impairment expense on the unaudited statements of operations. During the third quarter 2017, we recorded a pre-tax loss of $4.4 million ($3.2 million after-tax, or $0.02 per diluted share), which is included in Impairment expense on the unaudited statements of operations.</w:t>
      </w:r>
    </w:p>
    <w:p>
      <w:pPr>
        <w:spacing w:after="0" w:line="177" w:lineRule="exact"/>
        <w:rPr>
          <w:rFonts w:ascii="Arial" w:cs="Arial" w:eastAsia="Arial" w:hAnsi="Arial"/>
          <w:sz w:val="21"/>
          <w:szCs w:val="21"/>
          <w:color w:val="auto"/>
        </w:rPr>
      </w:pPr>
    </w:p>
    <w:p>
      <w:pPr>
        <w:ind w:right="80" w:firstLine="8"/>
        <w:spacing w:after="0" w:line="273" w:lineRule="auto"/>
        <w:tabs>
          <w:tab w:leader="none" w:pos="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Relates to costs incurred associated with Civeo's acquisition of Noralta. For the twelve month period ended December 31, 2018, the $9.1 million of costs in 2018 ($8.0 million after-tax, or 0.05 per diluted share), are reflected in the Canada ($3.5 million) and Corporate and eliminations ($5.6 million) reportable segments and are included in Costs of sales and services ($1.0 million), Selling, general and administrative expenses ($7.2 million) and Other income (expense) ($0.9 million) on the unaudited statements of operations. For the three month period ended December 31, 2018, the $2.1 million of costs in 2018 ($1.7 million after-tax, or 0.01, per diluted share), are reflected in the Canada ($1.2 million) and Corporate and eliminations ($0.9 million) reportable segments and are included in Costs of sales and services ($0.6 million), Selling, general and administrative expenses ($0.6 million) and Other income (expense) ($0.9 million) on the unaudited statements of operations. The $2.3 million of costs in 2017 ($2.2 million after-tax, or $0.02 per diluted share), which are primarily corporate in nature, are included in Selling, general and administrative expenses on the unaudited statements of operations.</w:t>
      </w:r>
    </w:p>
    <w:p>
      <w:pPr>
        <w:spacing w:after="0" w:line="162" w:lineRule="exact"/>
        <w:rPr>
          <w:sz w:val="20"/>
          <w:szCs w:val="20"/>
          <w:color w:val="auto"/>
        </w:rPr>
      </w:pPr>
    </w:p>
    <w:p>
      <w:pPr>
        <w:ind w:right="40" w:firstLine="8"/>
        <w:spacing w:after="0" w:line="245" w:lineRule="auto"/>
        <w:tabs>
          <w:tab w:leader="none" w:pos="306"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pacing w:after="0" w:line="18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22"/>
                <w:szCs w:val="22"/>
                <w:b w:val="1"/>
                <w:bCs w:val="1"/>
                <w:color w:val="auto"/>
                <w:w w:val="99"/>
              </w:rPr>
              <w:t>THREE MONTHS ENDED</w:t>
            </w:r>
          </w:p>
        </w:tc>
        <w:tc>
          <w:tcPr>
            <w:tcW w:w="2860" w:type="dxa"/>
            <w:vAlign w:val="bottom"/>
            <w:gridSpan w:val="5"/>
          </w:tcPr>
          <w:p>
            <w:pPr>
              <w:jc w:val="right"/>
              <w:spacing w:after="0"/>
              <w:rPr>
                <w:sz w:val="20"/>
                <w:szCs w:val="20"/>
                <w:color w:val="auto"/>
              </w:rPr>
            </w:pPr>
            <w:r>
              <w:rPr>
                <w:rFonts w:ascii="Arial" w:cs="Arial" w:eastAsia="Arial" w:hAnsi="Arial"/>
                <w:sz w:val="22"/>
                <w:szCs w:val="22"/>
                <w:b w:val="1"/>
                <w:bCs w:val="1"/>
                <w:color w:val="auto"/>
              </w:rPr>
              <w:t>TWELVE MONTHS ENDED</w:t>
            </w:r>
          </w:p>
        </w:tc>
      </w:tr>
      <w:tr>
        <w:trPr>
          <w:trHeight w:val="270"/>
        </w:trPr>
        <w:tc>
          <w:tcPr>
            <w:tcW w:w="5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40" w:type="dxa"/>
            <w:vAlign w:val="bottom"/>
            <w:gridSpan w:val="5"/>
          </w:tcPr>
          <w:p>
            <w:pPr>
              <w:jc w:val="center"/>
              <w:ind w:right="240"/>
              <w:spacing w:after="0"/>
              <w:rPr>
                <w:sz w:val="20"/>
                <w:szCs w:val="20"/>
                <w:color w:val="auto"/>
              </w:rPr>
            </w:pPr>
            <w:r>
              <w:rPr>
                <w:rFonts w:ascii="Arial" w:cs="Arial" w:eastAsia="Arial" w:hAnsi="Arial"/>
                <w:sz w:val="22"/>
                <w:szCs w:val="22"/>
                <w:b w:val="1"/>
                <w:bCs w:val="1"/>
                <w:color w:val="auto"/>
                <w:w w:val="95"/>
              </w:rPr>
              <w:t>DECEMBER 31,</w:t>
            </w:r>
          </w:p>
        </w:tc>
        <w:tc>
          <w:tcPr>
            <w:tcW w:w="300" w:type="dxa"/>
            <w:vAlign w:val="bottom"/>
          </w:tcPr>
          <w:p>
            <w:pPr>
              <w:spacing w:after="0"/>
              <w:rPr>
                <w:sz w:val="23"/>
                <w:szCs w:val="23"/>
                <w:color w:val="auto"/>
              </w:rPr>
            </w:pPr>
          </w:p>
        </w:tc>
        <w:tc>
          <w:tcPr>
            <w:tcW w:w="2560" w:type="dxa"/>
            <w:vAlign w:val="bottom"/>
            <w:gridSpan w:val="4"/>
          </w:tcPr>
          <w:p>
            <w:pPr>
              <w:jc w:val="right"/>
              <w:ind w:right="532"/>
              <w:spacing w:after="0"/>
              <w:rPr>
                <w:sz w:val="20"/>
                <w:szCs w:val="20"/>
                <w:color w:val="auto"/>
              </w:rPr>
            </w:pPr>
            <w:r>
              <w:rPr>
                <w:rFonts w:ascii="Arial" w:cs="Arial" w:eastAsia="Arial" w:hAnsi="Arial"/>
                <w:sz w:val="22"/>
                <w:szCs w:val="22"/>
                <w:b w:val="1"/>
                <w:bCs w:val="1"/>
                <w:color w:val="auto"/>
              </w:rPr>
              <w:t>DECEMBER 31,</w:t>
            </w:r>
          </w:p>
        </w:tc>
      </w:tr>
      <w:tr>
        <w:trPr>
          <w:trHeight w:val="282"/>
        </w:trPr>
        <w:tc>
          <w:tcPr>
            <w:tcW w:w="5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r>
      <w:tr>
        <w:trPr>
          <w:trHeight w:val="528"/>
        </w:trPr>
        <w:tc>
          <w:tcPr>
            <w:tcW w:w="556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28,529</w:t>
            </w: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11,301</w:t>
            </w:r>
          </w:p>
        </w:tc>
        <w:tc>
          <w:tcPr>
            <w:tcW w:w="120" w:type="dxa"/>
            <w:vAlign w:val="bottom"/>
          </w:tcPr>
          <w:p>
            <w:pPr>
              <w:spacing w:after="0"/>
              <w:rPr>
                <w:sz w:val="24"/>
                <w:szCs w:val="24"/>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54,391</w:t>
            </w:r>
          </w:p>
        </w:tc>
        <w:tc>
          <w:tcPr>
            <w:tcW w:w="100" w:type="dxa"/>
            <w:vAlign w:val="bottom"/>
          </w:tcPr>
          <w:p>
            <w:pPr>
              <w:spacing w:after="0"/>
              <w:rPr>
                <w:sz w:val="24"/>
                <w:szCs w:val="24"/>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56,826</w:t>
            </w:r>
          </w:p>
        </w:tc>
      </w:tr>
      <w:tr>
        <w:trPr>
          <w:trHeight w:val="270"/>
        </w:trPr>
        <w:tc>
          <w:tcPr>
            <w:tcW w:w="5560" w:type="dxa"/>
            <w:vAlign w:val="bottom"/>
          </w:tcPr>
          <w:p>
            <w:pPr>
              <w:ind w:left="200"/>
              <w:spacing w:after="0"/>
              <w:rPr>
                <w:sz w:val="20"/>
                <w:szCs w:val="20"/>
                <w:color w:val="auto"/>
              </w:rPr>
            </w:pPr>
            <w:r>
              <w:rPr>
                <w:rFonts w:ascii="Arial" w:cs="Arial" w:eastAsia="Arial" w:hAnsi="Arial"/>
                <w:sz w:val="22"/>
                <w:szCs w:val="22"/>
                <w:color w:val="auto"/>
              </w:rPr>
              <w:t>Capital expenditures, including capitalized interest</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(8,442)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(3,174)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(17,108)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(11,194)</w:t>
            </w:r>
          </w:p>
        </w:tc>
      </w:tr>
      <w:tr>
        <w:trPr>
          <w:trHeight w:val="276"/>
        </w:trPr>
        <w:tc>
          <w:tcPr>
            <w:tcW w:w="5560" w:type="dxa"/>
            <w:vAlign w:val="bottom"/>
          </w:tcPr>
          <w:p>
            <w:pPr>
              <w:ind w:left="200"/>
              <w:spacing w:after="0"/>
              <w:rPr>
                <w:sz w:val="20"/>
                <w:szCs w:val="20"/>
                <w:color w:val="auto"/>
              </w:rPr>
            </w:pPr>
            <w:r>
              <w:rPr>
                <w:rFonts w:ascii="Arial" w:cs="Arial" w:eastAsia="Arial" w:hAnsi="Arial"/>
                <w:sz w:val="22"/>
                <w:szCs w:val="22"/>
                <w:color w:val="auto"/>
                <w:w w:val="92"/>
              </w:rPr>
              <w:t>Proceeds from disposition of property, plant and equipment</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1,806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5,844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1,908</w:t>
            </w:r>
          </w:p>
        </w:tc>
      </w:tr>
      <w:tr>
        <w:trPr>
          <w:trHeight w:val="265"/>
        </w:trPr>
        <w:tc>
          <w:tcPr>
            <w:tcW w:w="5560" w:type="dxa"/>
            <w:vAlign w:val="bottom"/>
          </w:tcPr>
          <w:p>
            <w:pPr>
              <w:ind w:left="200"/>
              <w:spacing w:after="0"/>
              <w:rPr>
                <w:sz w:val="20"/>
                <w:szCs w:val="20"/>
                <w:color w:val="auto"/>
              </w:rPr>
            </w:pPr>
            <w:r>
              <w:rPr>
                <w:rFonts w:ascii="Arial" w:cs="Arial" w:eastAsia="Arial" w:hAnsi="Arial"/>
                <w:sz w:val="22"/>
                <w:szCs w:val="22"/>
                <w:color w:val="auto"/>
              </w:rPr>
              <w:t>Free Cash Flow</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21,893</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8,410</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43,127</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47,540</w:t>
            </w: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NON-GAAP RECONCILIATIONS - GUIDANCE</w:t>
      </w:r>
    </w:p>
    <w:p>
      <w:pPr>
        <w:ind w:left="5160"/>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420"/>
          </w:cols>
          <w:pgMar w:left="240" w:top="111" w:right="239" w:bottom="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9"/>
          <w:szCs w:val="19"/>
          <w:color w:val="auto"/>
        </w:rPr>
        <w:t>EBITDA Range (1)</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THREE MONTHS ENDING</w:t>
      </w:r>
    </w:p>
    <w:p>
      <w:pPr>
        <w:spacing w:after="0" w:line="14"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auto"/>
        </w:rPr>
        <w:t>MARCH 31, 2019</w:t>
      </w:r>
    </w:p>
    <w:p>
      <w:pPr>
        <w:spacing w:after="0" w:line="4" w:lineRule="exact"/>
        <w:rPr>
          <w:sz w:val="20"/>
          <w:szCs w:val="20"/>
          <w:color w:val="auto"/>
        </w:rPr>
      </w:pPr>
    </w:p>
    <w:p>
      <w:pPr>
        <w:spacing w:after="0"/>
        <w:tabs>
          <w:tab w:leader="none" w:pos="840" w:val="left"/>
          <w:tab w:leader="none" w:pos="1460" w:val="left"/>
          <w:tab w:leader="none" w:pos="23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13.0</w:t>
        <w:tab/>
        <w:t>$</w:t>
      </w:r>
      <w:r>
        <w:rPr>
          <w:sz w:val="20"/>
          <w:szCs w:val="20"/>
          <w:color w:val="auto"/>
        </w:rPr>
        <w:tab/>
      </w:r>
      <w:r>
        <w:rPr>
          <w:rFonts w:ascii="Arial" w:cs="Arial" w:eastAsia="Arial" w:hAnsi="Arial"/>
          <w:sz w:val="19"/>
          <w:szCs w:val="19"/>
          <w:color w:val="auto"/>
        </w:rPr>
        <w:t>16.0</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120"/>
        <w:spacing w:after="0" w:line="256" w:lineRule="auto"/>
        <w:rPr>
          <w:sz w:val="20"/>
          <w:szCs w:val="20"/>
          <w:color w:val="auto"/>
        </w:rPr>
      </w:pPr>
      <w:r>
        <w:rPr>
          <w:rFonts w:ascii="Arial" w:cs="Arial" w:eastAsia="Arial" w:hAnsi="Arial"/>
          <w:sz w:val="22"/>
          <w:szCs w:val="22"/>
          <w:b w:val="1"/>
          <w:bCs w:val="1"/>
          <w:color w:val="auto"/>
        </w:rPr>
        <w:t xml:space="preserve">YEAR ENDING DECEMBER 31, 2019 </w:t>
      </w:r>
      <w:r>
        <w:rPr>
          <w:rFonts w:ascii="Arial" w:cs="Arial" w:eastAsia="Arial" w:hAnsi="Arial"/>
          <w:sz w:val="22"/>
          <w:szCs w:val="22"/>
          <w:color w:val="auto"/>
        </w:rPr>
        <w:t>$       95.0  $      105.0</w:t>
      </w:r>
    </w:p>
    <w:p>
      <w:pPr>
        <w:spacing w:after="0" w:line="182" w:lineRule="exact"/>
        <w:rPr>
          <w:sz w:val="20"/>
          <w:szCs w:val="20"/>
          <w:color w:val="auto"/>
        </w:rPr>
      </w:pPr>
    </w:p>
    <w:p>
      <w:pPr>
        <w:sectPr>
          <w:pgSz w:w="11900" w:h="16921" w:orient="portrait"/>
          <w:cols w:equalWidth="0" w:num="3">
            <w:col w:w="4880" w:space="720"/>
            <w:col w:w="2760" w:space="220"/>
            <w:col w:w="2840"/>
          </w:cols>
          <w:pgMar w:left="240" w:top="382" w:right="239" w:bottom="0" w:gutter="0" w:footer="0" w:header="0"/>
        </w:sectPr>
      </w:pPr>
    </w:p>
    <w:p>
      <w:pPr>
        <w:ind w:right="140" w:firstLine="8"/>
        <w:spacing w:after="0" w:line="328" w:lineRule="auto"/>
        <w:tabs>
          <w:tab w:leader="none" w:pos="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60" w:type="dxa"/>
            <w:vAlign w:val="bottom"/>
          </w:tcPr>
          <w:p>
            <w:pPr>
              <w:spacing w:after="0"/>
              <w:rPr>
                <w:sz w:val="21"/>
                <w:szCs w:val="21"/>
                <w:color w:val="auto"/>
              </w:rPr>
            </w:pPr>
          </w:p>
        </w:tc>
        <w:tc>
          <w:tcPr>
            <w:tcW w:w="2980" w:type="dxa"/>
            <w:vAlign w:val="bottom"/>
            <w:gridSpan w:val="6"/>
          </w:tcPr>
          <w:p>
            <w:pPr>
              <w:jc w:val="center"/>
              <w:ind w:right="100"/>
              <w:spacing w:after="0"/>
              <w:rPr>
                <w:sz w:val="20"/>
                <w:szCs w:val="20"/>
                <w:color w:val="auto"/>
              </w:rPr>
            </w:pPr>
            <w:r>
              <w:rPr>
                <w:rFonts w:ascii="Arial" w:cs="Arial" w:eastAsia="Arial" w:hAnsi="Arial"/>
                <w:sz w:val="22"/>
                <w:szCs w:val="22"/>
                <w:b w:val="1"/>
                <w:bCs w:val="1"/>
                <w:color w:val="auto"/>
              </w:rPr>
              <w:t>THREE MONTHS ENDING</w:t>
            </w:r>
          </w:p>
        </w:tc>
        <w:tc>
          <w:tcPr>
            <w:tcW w:w="260" w:type="dxa"/>
            <w:vAlign w:val="bottom"/>
          </w:tcPr>
          <w:p>
            <w:pPr>
              <w:spacing w:after="0"/>
              <w:rPr>
                <w:sz w:val="21"/>
                <w:szCs w:val="21"/>
                <w:color w:val="auto"/>
              </w:rPr>
            </w:pPr>
          </w:p>
        </w:tc>
        <w:tc>
          <w:tcPr>
            <w:tcW w:w="196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rPr>
              <w:t>YEAR ENDING</w:t>
            </w:r>
          </w:p>
        </w:tc>
        <w:tc>
          <w:tcPr>
            <w:tcW w:w="640" w:type="dxa"/>
            <w:vAlign w:val="bottom"/>
          </w:tcPr>
          <w:p>
            <w:pPr>
              <w:spacing w:after="0"/>
              <w:rPr>
                <w:sz w:val="21"/>
                <w:szCs w:val="21"/>
                <w:color w:val="auto"/>
              </w:rPr>
            </w:pPr>
          </w:p>
        </w:tc>
      </w:tr>
      <w:tr>
        <w:trPr>
          <w:trHeight w:val="270"/>
        </w:trPr>
        <w:tc>
          <w:tcPr>
            <w:tcW w:w="5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2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4"/>
              </w:rPr>
              <w:t>MARCH 31, 2019</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0" w:type="dxa"/>
            <w:vAlign w:val="bottom"/>
            <w:gridSpan w:val="4"/>
          </w:tcPr>
          <w:p>
            <w:pPr>
              <w:jc w:val="center"/>
              <w:ind w:right="152"/>
              <w:spacing w:after="0"/>
              <w:rPr>
                <w:sz w:val="20"/>
                <w:szCs w:val="20"/>
                <w:color w:val="auto"/>
              </w:rPr>
            </w:pPr>
            <w:r>
              <w:rPr>
                <w:rFonts w:ascii="Arial" w:cs="Arial" w:eastAsia="Arial" w:hAnsi="Arial"/>
                <w:sz w:val="22"/>
                <w:szCs w:val="22"/>
                <w:b w:val="1"/>
                <w:bCs w:val="1"/>
                <w:color w:val="auto"/>
                <w:w w:val="94"/>
              </w:rPr>
              <w:t>DECEMBER 31, 2019</w:t>
            </w:r>
          </w:p>
        </w:tc>
      </w:tr>
      <w:tr>
        <w:trPr>
          <w:trHeight w:val="281"/>
        </w:trPr>
        <w:tc>
          <w:tcPr>
            <w:tcW w:w="5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88"/>
              </w:rPr>
              <w:t>(estimated)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86"/>
              </w:rPr>
              <w:t>(estimated)</w:t>
            </w:r>
          </w:p>
        </w:tc>
        <w:tc>
          <w:tcPr>
            <w:tcW w:w="640" w:type="dxa"/>
            <w:vAlign w:val="bottom"/>
          </w:tcPr>
          <w:p>
            <w:pPr>
              <w:spacing w:after="0"/>
              <w:rPr>
                <w:sz w:val="24"/>
                <w:szCs w:val="24"/>
                <w:color w:val="auto"/>
              </w:rPr>
            </w:pPr>
          </w:p>
        </w:tc>
      </w:tr>
      <w:tr>
        <w:trPr>
          <w:trHeight w:val="536"/>
        </w:trPr>
        <w:tc>
          <w:tcPr>
            <w:tcW w:w="5560" w:type="dxa"/>
            <w:vAlign w:val="bottom"/>
          </w:tcPr>
          <w:p>
            <w:pPr>
              <w:spacing w:after="0"/>
              <w:rPr>
                <w:sz w:val="20"/>
                <w:szCs w:val="20"/>
                <w:color w:val="auto"/>
              </w:rPr>
            </w:pPr>
            <w:r>
              <w:rPr>
                <w:rFonts w:ascii="Arial" w:cs="Arial" w:eastAsia="Arial" w:hAnsi="Arial"/>
                <w:sz w:val="22"/>
                <w:szCs w:val="22"/>
                <w:color w:val="auto"/>
              </w:rPr>
              <w:t>Net loss</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(23.5)</w:t>
            </w:r>
          </w:p>
        </w:tc>
        <w:tc>
          <w:tcPr>
            <w:tcW w:w="120" w:type="dxa"/>
            <w:vAlign w:val="bottom"/>
          </w:tcPr>
          <w:p>
            <w:pPr>
              <w:spacing w:after="0"/>
              <w:rPr>
                <w:sz w:val="24"/>
                <w:szCs w:val="24"/>
                <w:color w:val="auto"/>
              </w:rPr>
            </w:pPr>
          </w:p>
        </w:tc>
        <w:tc>
          <w:tcPr>
            <w:tcW w:w="780" w:type="dxa"/>
            <w:vAlign w:val="bottom"/>
          </w:tcPr>
          <w:p>
            <w:pPr>
              <w:jc w:val="right"/>
              <w:ind w:right="552"/>
              <w:spacing w:after="0"/>
              <w:rPr>
                <w:sz w:val="20"/>
                <w:szCs w:val="20"/>
                <w:color w:val="auto"/>
              </w:rPr>
            </w:pPr>
            <w:r>
              <w:rPr>
                <w:rFonts w:ascii="Arial" w:cs="Arial" w:eastAsia="Arial" w:hAnsi="Arial"/>
                <w:sz w:val="22"/>
                <w:szCs w:val="22"/>
                <w:color w:val="auto"/>
                <w:w w:val="81"/>
              </w:rPr>
              <w:t>$</w:t>
            </w:r>
          </w:p>
        </w:tc>
        <w:tc>
          <w:tcPr>
            <w:tcW w:w="580" w:type="dxa"/>
            <w:vAlign w:val="bottom"/>
          </w:tcPr>
          <w:p>
            <w:pPr>
              <w:jc w:val="right"/>
              <w:spacing w:after="0"/>
              <w:rPr>
                <w:sz w:val="20"/>
                <w:szCs w:val="20"/>
                <w:color w:val="auto"/>
              </w:rPr>
            </w:pPr>
            <w:r>
              <w:rPr>
                <w:rFonts w:ascii="Arial" w:cs="Arial" w:eastAsia="Arial" w:hAnsi="Arial"/>
                <w:sz w:val="22"/>
                <w:szCs w:val="22"/>
                <w:color w:val="auto"/>
                <w:w w:val="93"/>
              </w:rPr>
              <w:t>(21.5)</w:t>
            </w:r>
          </w:p>
        </w:tc>
        <w:tc>
          <w:tcPr>
            <w:tcW w:w="1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(58.0)</w:t>
            </w:r>
          </w:p>
        </w:tc>
        <w:tc>
          <w:tcPr>
            <w:tcW w:w="100" w:type="dxa"/>
            <w:vAlign w:val="bottom"/>
          </w:tcPr>
          <w:p>
            <w:pPr>
              <w:spacing w:after="0"/>
              <w:rPr>
                <w:sz w:val="24"/>
                <w:szCs w:val="24"/>
                <w:color w:val="auto"/>
              </w:rPr>
            </w:pPr>
          </w:p>
        </w:tc>
        <w:tc>
          <w:tcPr>
            <w:tcW w:w="740" w:type="dxa"/>
            <w:vAlign w:val="bottom"/>
          </w:tcPr>
          <w:p>
            <w:pPr>
              <w:jc w:val="right"/>
              <w:ind w:right="512"/>
              <w:spacing w:after="0"/>
              <w:rPr>
                <w:sz w:val="20"/>
                <w:szCs w:val="20"/>
                <w:color w:val="auto"/>
              </w:rPr>
            </w:pPr>
            <w:r>
              <w:rPr>
                <w:rFonts w:ascii="Arial" w:cs="Arial" w:eastAsia="Arial" w:hAnsi="Arial"/>
                <w:sz w:val="22"/>
                <w:szCs w:val="22"/>
                <w:color w:val="auto"/>
                <w:w w:val="81"/>
              </w:rPr>
              <w:t>$</w:t>
            </w:r>
          </w:p>
        </w:tc>
        <w:tc>
          <w:tcPr>
            <w:tcW w:w="640" w:type="dxa"/>
            <w:vAlign w:val="bottom"/>
          </w:tcPr>
          <w:p>
            <w:pPr>
              <w:jc w:val="right"/>
              <w:spacing w:after="0"/>
              <w:rPr>
                <w:sz w:val="20"/>
                <w:szCs w:val="20"/>
                <w:color w:val="auto"/>
              </w:rPr>
            </w:pPr>
            <w:r>
              <w:rPr>
                <w:rFonts w:ascii="Arial" w:cs="Arial" w:eastAsia="Arial" w:hAnsi="Arial"/>
                <w:sz w:val="22"/>
                <w:szCs w:val="22"/>
                <w:color w:val="auto"/>
              </w:rPr>
              <w:t>(50.0)</w:t>
            </w:r>
          </w:p>
        </w:tc>
      </w:tr>
      <w:tr>
        <w:trPr>
          <w:trHeight w:val="270"/>
        </w:trPr>
        <w:tc>
          <w:tcPr>
            <w:tcW w:w="556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(3.5)</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2"/>
                <w:szCs w:val="22"/>
                <w:color w:val="auto"/>
              </w:rPr>
              <w:t>(2.5)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(7.0)</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70"/>
        </w:trPr>
        <w:tc>
          <w:tcPr>
            <w:tcW w:w="55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33.5</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22"/>
                <w:szCs w:val="22"/>
                <w:color w:val="auto"/>
              </w:rPr>
              <w:t>33.5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135.0</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22"/>
                <w:szCs w:val="22"/>
                <w:color w:val="auto"/>
                <w:w w:val="90"/>
              </w:rPr>
              <w:t>135.0</w:t>
            </w:r>
          </w:p>
        </w:tc>
      </w:tr>
      <w:tr>
        <w:trPr>
          <w:trHeight w:val="276"/>
        </w:trPr>
        <w:tc>
          <w:tcPr>
            <w:tcW w:w="5560" w:type="dxa"/>
            <w:vAlign w:val="bottom"/>
          </w:tcPr>
          <w:p>
            <w:pPr>
              <w:spacing w:after="0"/>
              <w:rPr>
                <w:sz w:val="20"/>
                <w:szCs w:val="20"/>
                <w:color w:val="auto"/>
              </w:rPr>
            </w:pPr>
            <w:r>
              <w:rPr>
                <w:rFonts w:ascii="Arial" w:cs="Arial" w:eastAsia="Arial" w:hAnsi="Arial"/>
                <w:sz w:val="22"/>
                <w:szCs w:val="22"/>
                <w:color w:val="auto"/>
              </w:rPr>
              <w:t>Interest expense</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6.5</w:t>
            </w: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25.0</w:t>
            </w:r>
          </w:p>
        </w:tc>
        <w:tc>
          <w:tcPr>
            <w:tcW w:w="1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25.0</w:t>
            </w:r>
          </w:p>
        </w:tc>
      </w:tr>
      <w:tr>
        <w:trPr>
          <w:trHeight w:val="265"/>
        </w:trPr>
        <w:tc>
          <w:tcPr>
            <w:tcW w:w="5560" w:type="dxa"/>
            <w:vAlign w:val="bottom"/>
          </w:tcPr>
          <w:p>
            <w:pPr>
              <w:ind w:left="200"/>
              <w:spacing w:after="0"/>
              <w:rPr>
                <w:sz w:val="20"/>
                <w:szCs w:val="20"/>
                <w:color w:val="auto"/>
              </w:rPr>
            </w:pPr>
            <w:r>
              <w:rPr>
                <w:rFonts w:ascii="Arial" w:cs="Arial" w:eastAsia="Arial" w:hAnsi="Arial"/>
                <w:sz w:val="22"/>
                <w:szCs w:val="22"/>
                <w:color w:val="auto"/>
              </w:rPr>
              <w:t>EBITDA</w:t>
            </w: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13.0</w:t>
            </w:r>
          </w:p>
        </w:tc>
        <w:tc>
          <w:tcPr>
            <w:tcW w:w="120" w:type="dxa"/>
            <w:vAlign w:val="bottom"/>
          </w:tcPr>
          <w:p>
            <w:pPr>
              <w:spacing w:after="0"/>
              <w:rPr>
                <w:sz w:val="23"/>
                <w:szCs w:val="23"/>
                <w:color w:val="auto"/>
              </w:rPr>
            </w:pPr>
          </w:p>
        </w:tc>
        <w:tc>
          <w:tcPr>
            <w:tcW w:w="78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color w:val="auto"/>
                <w:w w:val="81"/>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16.0</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95.0</w:t>
            </w:r>
          </w:p>
        </w:tc>
        <w:tc>
          <w:tcPr>
            <w:tcW w:w="100" w:type="dxa"/>
            <w:vAlign w:val="bottom"/>
          </w:tcPr>
          <w:p>
            <w:pPr>
              <w:spacing w:after="0"/>
              <w:rPr>
                <w:sz w:val="23"/>
                <w:szCs w:val="23"/>
                <w:color w:val="auto"/>
              </w:rPr>
            </w:pPr>
          </w:p>
        </w:tc>
        <w:tc>
          <w:tcPr>
            <w:tcW w:w="74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color w:val="auto"/>
                <w:w w:val="81"/>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0"/>
              </w:rPr>
              <w:t>105.0</w:t>
            </w:r>
          </w:p>
        </w:tc>
      </w:tr>
      <w:tr>
        <w:trPr>
          <w:trHeight w:val="21"/>
        </w:trPr>
        <w:tc>
          <w:tcPr>
            <w:tcW w:w="5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spacing w:after="0" w:line="234" w:lineRule="auto"/>
        <w:rPr>
          <w:sz w:val="20"/>
          <w:szCs w:val="20"/>
          <w:color w:val="auto"/>
        </w:rPr>
      </w:pPr>
      <w:r>
        <w:rPr>
          <w:rFonts w:ascii="Arial" w:cs="Arial" w:eastAsia="Arial" w:hAnsi="Arial"/>
          <w:sz w:val="22"/>
          <w:szCs w:val="22"/>
          <w:b w:val="1"/>
          <w:bCs w:val="1"/>
          <w:color w:val="auto"/>
        </w:rPr>
        <w:t>SUPPLEMENTAL QUARTERLY SEGMENT AND OPERATING DATA (U.S. dollars in thousands, except for room counts and average daily rates) (unaudited)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22"/>
                <w:szCs w:val="22"/>
                <w:b w:val="1"/>
                <w:bCs w:val="1"/>
                <w:color w:val="auto"/>
                <w:w w:val="99"/>
              </w:rPr>
              <w:t>THREE MONTHS ENDED</w:t>
            </w:r>
          </w:p>
        </w:tc>
        <w:tc>
          <w:tcPr>
            <w:tcW w:w="2860" w:type="dxa"/>
            <w:vAlign w:val="bottom"/>
            <w:gridSpan w:val="5"/>
          </w:tcPr>
          <w:p>
            <w:pPr>
              <w:jc w:val="right"/>
              <w:spacing w:after="0"/>
              <w:rPr>
                <w:sz w:val="20"/>
                <w:szCs w:val="20"/>
                <w:color w:val="auto"/>
              </w:rPr>
            </w:pPr>
            <w:r>
              <w:rPr>
                <w:rFonts w:ascii="Arial" w:cs="Arial" w:eastAsia="Arial" w:hAnsi="Arial"/>
                <w:sz w:val="22"/>
                <w:szCs w:val="22"/>
                <w:b w:val="1"/>
                <w:bCs w:val="1"/>
                <w:color w:val="auto"/>
              </w:rPr>
              <w:t>TWELVE MONTHS ENDED</w:t>
            </w:r>
          </w:p>
        </w:tc>
      </w:tr>
      <w:tr>
        <w:trPr>
          <w:trHeight w:val="270"/>
        </w:trPr>
        <w:tc>
          <w:tcPr>
            <w:tcW w:w="5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40" w:type="dxa"/>
            <w:vAlign w:val="bottom"/>
            <w:gridSpan w:val="5"/>
          </w:tcPr>
          <w:p>
            <w:pPr>
              <w:jc w:val="center"/>
              <w:ind w:right="240"/>
              <w:spacing w:after="0"/>
              <w:rPr>
                <w:sz w:val="20"/>
                <w:szCs w:val="20"/>
                <w:color w:val="auto"/>
              </w:rPr>
            </w:pPr>
            <w:r>
              <w:rPr>
                <w:rFonts w:ascii="Arial" w:cs="Arial" w:eastAsia="Arial" w:hAnsi="Arial"/>
                <w:sz w:val="22"/>
                <w:szCs w:val="22"/>
                <w:b w:val="1"/>
                <w:bCs w:val="1"/>
                <w:color w:val="auto"/>
                <w:w w:val="95"/>
              </w:rPr>
              <w:t>DECEMBER 31,</w:t>
            </w:r>
          </w:p>
        </w:tc>
        <w:tc>
          <w:tcPr>
            <w:tcW w:w="260" w:type="dxa"/>
            <w:vAlign w:val="bottom"/>
          </w:tcPr>
          <w:p>
            <w:pPr>
              <w:spacing w:after="0"/>
              <w:rPr>
                <w:sz w:val="23"/>
                <w:szCs w:val="23"/>
                <w:color w:val="auto"/>
              </w:rPr>
            </w:pPr>
          </w:p>
        </w:tc>
        <w:tc>
          <w:tcPr>
            <w:tcW w:w="2600" w:type="dxa"/>
            <w:vAlign w:val="bottom"/>
            <w:gridSpan w:val="4"/>
          </w:tcPr>
          <w:p>
            <w:pPr>
              <w:jc w:val="right"/>
              <w:ind w:right="532"/>
              <w:spacing w:after="0"/>
              <w:rPr>
                <w:sz w:val="20"/>
                <w:szCs w:val="20"/>
                <w:color w:val="auto"/>
              </w:rPr>
            </w:pPr>
            <w:r>
              <w:rPr>
                <w:rFonts w:ascii="Arial" w:cs="Arial" w:eastAsia="Arial" w:hAnsi="Arial"/>
                <w:sz w:val="22"/>
                <w:szCs w:val="22"/>
                <w:b w:val="1"/>
                <w:bCs w:val="1"/>
                <w:color w:val="auto"/>
              </w:rPr>
              <w:t>DECEMBER 31,</w:t>
            </w:r>
          </w:p>
        </w:tc>
      </w:tr>
      <w:tr>
        <w:trPr>
          <w:trHeight w:val="281"/>
        </w:trPr>
        <w:tc>
          <w:tcPr>
            <w:tcW w:w="5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r>
      <w:tr>
        <w:trPr>
          <w:trHeight w:val="529"/>
        </w:trPr>
        <w:tc>
          <w:tcPr>
            <w:tcW w:w="5560" w:type="dxa"/>
            <w:vAlign w:val="bottom"/>
          </w:tcPr>
          <w:p>
            <w:pPr>
              <w:spacing w:after="0"/>
              <w:rPr>
                <w:sz w:val="20"/>
                <w:szCs w:val="20"/>
                <w:color w:val="auto"/>
              </w:rPr>
            </w:pPr>
            <w:r>
              <w:rPr>
                <w:rFonts w:ascii="Arial" w:cs="Arial" w:eastAsia="Arial" w:hAnsi="Arial"/>
                <w:sz w:val="22"/>
                <w:szCs w:val="22"/>
                <w:color w:val="auto"/>
              </w:rPr>
              <w:t>Supplemental Operating Data - Canadian Segment</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60" w:type="dxa"/>
            <w:vAlign w:val="bottom"/>
          </w:tcPr>
          <w:p>
            <w:pPr>
              <w:ind w:left="120"/>
              <w:spacing w:after="0"/>
              <w:rPr>
                <w:sz w:val="20"/>
                <w:szCs w:val="20"/>
                <w:color w:val="auto"/>
              </w:rPr>
            </w:pPr>
            <w:r>
              <w:rPr>
                <w:rFonts w:ascii="Arial" w:cs="Arial" w:eastAsia="Arial" w:hAnsi="Arial"/>
                <w:sz w:val="22"/>
                <w:szCs w:val="22"/>
                <w:color w:val="auto"/>
              </w:rPr>
              <w:t>Revenues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560" w:type="dxa"/>
            <w:vAlign w:val="bottom"/>
          </w:tcPr>
          <w:p>
            <w:pPr>
              <w:ind w:left="260"/>
              <w:spacing w:after="0"/>
              <w:rPr>
                <w:sz w:val="20"/>
                <w:szCs w:val="20"/>
                <w:color w:val="auto"/>
              </w:rPr>
            </w:pPr>
            <w:r>
              <w:rPr>
                <w:rFonts w:ascii="Arial" w:cs="Arial" w:eastAsia="Arial" w:hAnsi="Arial"/>
                <w:sz w:val="22"/>
                <w:szCs w:val="22"/>
                <w:color w:val="auto"/>
              </w:rPr>
              <w:t>Accommodation revenue (1)</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62,641</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58,171</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266,899</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228,062</w:t>
            </w:r>
          </w:p>
        </w:tc>
      </w:tr>
      <w:tr>
        <w:trPr>
          <w:trHeight w:val="270"/>
        </w:trPr>
        <w:tc>
          <w:tcPr>
            <w:tcW w:w="5560" w:type="dxa"/>
            <w:vAlign w:val="bottom"/>
          </w:tcPr>
          <w:p>
            <w:pPr>
              <w:ind w:left="260"/>
              <w:spacing w:after="0"/>
              <w:rPr>
                <w:sz w:val="20"/>
                <w:szCs w:val="20"/>
                <w:color w:val="auto"/>
              </w:rPr>
            </w:pPr>
            <w:r>
              <w:rPr>
                <w:rFonts w:ascii="Arial" w:cs="Arial" w:eastAsia="Arial" w:hAnsi="Arial"/>
                <w:sz w:val="22"/>
                <w:szCs w:val="22"/>
                <w:color w:val="auto"/>
              </w:rPr>
              <w:t>Mobile facility rental revenue (2)</w:t>
            </w:r>
          </w:p>
        </w:tc>
        <w:tc>
          <w:tcPr>
            <w:tcW w:w="1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2,555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9,316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3,935</w:t>
            </w:r>
          </w:p>
        </w:tc>
      </w:tr>
      <w:tr>
        <w:trPr>
          <w:trHeight w:val="270"/>
        </w:trPr>
        <w:tc>
          <w:tcPr>
            <w:tcW w:w="5560" w:type="dxa"/>
            <w:vAlign w:val="bottom"/>
          </w:tcPr>
          <w:p>
            <w:pPr>
              <w:ind w:left="260"/>
              <w:spacing w:after="0"/>
              <w:rPr>
                <w:sz w:val="20"/>
                <w:szCs w:val="20"/>
                <w:color w:val="auto"/>
              </w:rPr>
            </w:pPr>
            <w:r>
              <w:rPr>
                <w:rFonts w:ascii="Arial" w:cs="Arial" w:eastAsia="Arial" w:hAnsi="Arial"/>
                <w:sz w:val="22"/>
                <w:szCs w:val="22"/>
                <w:color w:val="auto"/>
              </w:rPr>
              <w:t>Food and other services revenue (3)</w:t>
            </w:r>
          </w:p>
        </w:tc>
        <w:tc>
          <w:tcPr>
            <w:tcW w:w="1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4,519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2,770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15,601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11,891</w:t>
            </w:r>
          </w:p>
        </w:tc>
      </w:tr>
      <w:tr>
        <w:trPr>
          <w:trHeight w:val="275"/>
        </w:trPr>
        <w:tc>
          <w:tcPr>
            <w:tcW w:w="5560" w:type="dxa"/>
            <w:vAlign w:val="bottom"/>
          </w:tcPr>
          <w:p>
            <w:pPr>
              <w:ind w:left="260"/>
              <w:spacing w:after="0"/>
              <w:rPr>
                <w:sz w:val="20"/>
                <w:szCs w:val="20"/>
                <w:color w:val="auto"/>
              </w:rPr>
            </w:pPr>
            <w:r>
              <w:rPr>
                <w:rFonts w:ascii="Arial" w:cs="Arial" w:eastAsia="Arial" w:hAnsi="Arial"/>
                <w:sz w:val="22"/>
                <w:szCs w:val="22"/>
                <w:color w:val="auto"/>
              </w:rPr>
              <w:t>Manufacturing revenue (4)</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2,158</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93</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4,196</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1,707</w:t>
            </w:r>
          </w:p>
        </w:tc>
      </w:tr>
      <w:tr>
        <w:trPr>
          <w:trHeight w:val="272"/>
        </w:trPr>
        <w:tc>
          <w:tcPr>
            <w:tcW w:w="5560" w:type="dxa"/>
            <w:vAlign w:val="bottom"/>
          </w:tcPr>
          <w:p>
            <w:pPr>
              <w:ind w:left="400"/>
              <w:spacing w:after="0"/>
              <w:rPr>
                <w:sz w:val="20"/>
                <w:szCs w:val="20"/>
                <w:color w:val="auto"/>
              </w:rPr>
            </w:pPr>
            <w:r>
              <w:rPr>
                <w:rFonts w:ascii="Arial" w:cs="Arial" w:eastAsia="Arial" w:hAnsi="Arial"/>
                <w:sz w:val="22"/>
                <w:szCs w:val="22"/>
                <w:color w:val="auto"/>
              </w:rPr>
              <w:t>Total Canadian revenues</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69,351</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63,589</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296,012</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245,595</w:t>
            </w:r>
          </w:p>
        </w:tc>
      </w:tr>
      <w:tr>
        <w:trPr>
          <w:trHeight w:val="528"/>
        </w:trPr>
        <w:tc>
          <w:tcPr>
            <w:tcW w:w="5560" w:type="dxa"/>
            <w:vAlign w:val="bottom"/>
          </w:tcPr>
          <w:p>
            <w:pPr>
              <w:ind w:left="120"/>
              <w:spacing w:after="0"/>
              <w:rPr>
                <w:sz w:val="20"/>
                <w:szCs w:val="20"/>
                <w:color w:val="auto"/>
              </w:rPr>
            </w:pPr>
            <w:r>
              <w:rPr>
                <w:rFonts w:ascii="Arial" w:cs="Arial" w:eastAsia="Arial" w:hAnsi="Arial"/>
                <w:sz w:val="22"/>
                <w:szCs w:val="22"/>
                <w:color w:val="auto"/>
              </w:rPr>
              <w:t>Costs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60" w:type="dxa"/>
            <w:vAlign w:val="bottom"/>
          </w:tcPr>
          <w:p>
            <w:pPr>
              <w:ind w:left="260"/>
              <w:spacing w:after="0"/>
              <w:rPr>
                <w:sz w:val="20"/>
                <w:szCs w:val="20"/>
                <w:color w:val="auto"/>
              </w:rPr>
            </w:pPr>
            <w:r>
              <w:rPr>
                <w:rFonts w:ascii="Arial" w:cs="Arial" w:eastAsia="Arial" w:hAnsi="Arial"/>
                <w:sz w:val="22"/>
                <w:szCs w:val="22"/>
                <w:color w:val="auto"/>
              </w:rPr>
              <w:t>Accommodation cost</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42,868</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36,304</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180,355</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141,901</w:t>
            </w:r>
          </w:p>
        </w:tc>
      </w:tr>
      <w:tr>
        <w:trPr>
          <w:trHeight w:val="270"/>
        </w:trPr>
        <w:tc>
          <w:tcPr>
            <w:tcW w:w="5560" w:type="dxa"/>
            <w:vAlign w:val="bottom"/>
          </w:tcPr>
          <w:p>
            <w:pPr>
              <w:ind w:left="260"/>
              <w:spacing w:after="0"/>
              <w:rPr>
                <w:sz w:val="20"/>
                <w:szCs w:val="20"/>
                <w:color w:val="auto"/>
              </w:rPr>
            </w:pPr>
            <w:r>
              <w:rPr>
                <w:rFonts w:ascii="Arial" w:cs="Arial" w:eastAsia="Arial" w:hAnsi="Arial"/>
                <w:sz w:val="22"/>
                <w:szCs w:val="22"/>
                <w:color w:val="auto"/>
              </w:rPr>
              <w:t>Mobile facility rental cost</w:t>
            </w:r>
          </w:p>
        </w:tc>
        <w:tc>
          <w:tcPr>
            <w:tcW w:w="1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248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3,142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9,985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4,200</w:t>
            </w:r>
          </w:p>
        </w:tc>
      </w:tr>
      <w:tr>
        <w:trPr>
          <w:trHeight w:val="270"/>
        </w:trPr>
        <w:tc>
          <w:tcPr>
            <w:tcW w:w="5560" w:type="dxa"/>
            <w:vAlign w:val="bottom"/>
          </w:tcPr>
          <w:p>
            <w:pPr>
              <w:ind w:left="260"/>
              <w:spacing w:after="0"/>
              <w:rPr>
                <w:sz w:val="20"/>
                <w:szCs w:val="20"/>
                <w:color w:val="auto"/>
              </w:rPr>
            </w:pPr>
            <w:r>
              <w:rPr>
                <w:rFonts w:ascii="Arial" w:cs="Arial" w:eastAsia="Arial" w:hAnsi="Arial"/>
                <w:sz w:val="22"/>
                <w:szCs w:val="22"/>
                <w:color w:val="auto"/>
              </w:rPr>
              <w:t>Food and other services cost</w:t>
            </w:r>
          </w:p>
        </w:tc>
        <w:tc>
          <w:tcPr>
            <w:tcW w:w="1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4,435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2,532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14,756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9,229</w:t>
            </w:r>
          </w:p>
        </w:tc>
      </w:tr>
      <w:tr>
        <w:trPr>
          <w:trHeight w:val="270"/>
        </w:trPr>
        <w:tc>
          <w:tcPr>
            <w:tcW w:w="5560" w:type="dxa"/>
            <w:vAlign w:val="bottom"/>
          </w:tcPr>
          <w:p>
            <w:pPr>
              <w:ind w:left="260"/>
              <w:spacing w:after="0"/>
              <w:rPr>
                <w:sz w:val="20"/>
                <w:szCs w:val="20"/>
                <w:color w:val="auto"/>
              </w:rPr>
            </w:pPr>
            <w:r>
              <w:rPr>
                <w:rFonts w:ascii="Arial" w:cs="Arial" w:eastAsia="Arial" w:hAnsi="Arial"/>
                <w:sz w:val="22"/>
                <w:szCs w:val="22"/>
                <w:color w:val="auto"/>
              </w:rPr>
              <w:t>Manufacturing cost</w:t>
            </w:r>
          </w:p>
        </w:tc>
        <w:tc>
          <w:tcPr>
            <w:tcW w:w="1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2,622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819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4,995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4,478</w:t>
            </w:r>
          </w:p>
        </w:tc>
      </w:tr>
      <w:tr>
        <w:trPr>
          <w:trHeight w:val="275"/>
        </w:trPr>
        <w:tc>
          <w:tcPr>
            <w:tcW w:w="5560" w:type="dxa"/>
            <w:vAlign w:val="bottom"/>
          </w:tcPr>
          <w:p>
            <w:pPr>
              <w:ind w:left="260"/>
              <w:spacing w:after="0"/>
              <w:rPr>
                <w:sz w:val="20"/>
                <w:szCs w:val="20"/>
                <w:color w:val="auto"/>
              </w:rPr>
            </w:pPr>
            <w:r>
              <w:rPr>
                <w:rFonts w:ascii="Arial" w:cs="Arial" w:eastAsia="Arial" w:hAnsi="Arial"/>
                <w:sz w:val="22"/>
                <w:szCs w:val="22"/>
                <w:color w:val="auto"/>
              </w:rPr>
              <w:t>Indirect other cost</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4,345</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3,431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15,134</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11,869</w:t>
            </w:r>
          </w:p>
        </w:tc>
      </w:tr>
      <w:tr>
        <w:trPr>
          <w:trHeight w:val="272"/>
        </w:trPr>
        <w:tc>
          <w:tcPr>
            <w:tcW w:w="5560" w:type="dxa"/>
            <w:vAlign w:val="bottom"/>
          </w:tcPr>
          <w:p>
            <w:pPr>
              <w:ind w:left="400"/>
              <w:spacing w:after="0"/>
              <w:rPr>
                <w:sz w:val="20"/>
                <w:szCs w:val="20"/>
                <w:color w:val="auto"/>
              </w:rPr>
            </w:pPr>
            <w:r>
              <w:rPr>
                <w:rFonts w:ascii="Arial" w:cs="Arial" w:eastAsia="Arial" w:hAnsi="Arial"/>
                <w:sz w:val="22"/>
                <w:szCs w:val="22"/>
                <w:color w:val="auto"/>
              </w:rPr>
              <w:t>Total Canadian cost of sales and services</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54,518</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46,228</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225,225</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171,677</w:t>
            </w:r>
          </w:p>
        </w:tc>
      </w:tr>
      <w:tr>
        <w:trPr>
          <w:trHeight w:val="532"/>
        </w:trPr>
        <w:tc>
          <w:tcPr>
            <w:tcW w:w="5560" w:type="dxa"/>
            <w:vAlign w:val="bottom"/>
          </w:tcPr>
          <w:p>
            <w:pPr>
              <w:ind w:left="120"/>
              <w:spacing w:after="0"/>
              <w:rPr>
                <w:sz w:val="20"/>
                <w:szCs w:val="20"/>
                <w:color w:val="auto"/>
              </w:rPr>
            </w:pPr>
            <w:r>
              <w:rPr>
                <w:rFonts w:ascii="Arial" w:cs="Arial" w:eastAsia="Arial" w:hAnsi="Arial"/>
                <w:sz w:val="22"/>
                <w:szCs w:val="22"/>
                <w:color w:val="auto"/>
              </w:rPr>
              <w:t>Average daily rates (5)</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91</w:t>
            </w: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90</w:t>
            </w:r>
          </w:p>
        </w:tc>
        <w:tc>
          <w:tcPr>
            <w:tcW w:w="1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89</w:t>
            </w:r>
          </w:p>
        </w:tc>
        <w:tc>
          <w:tcPr>
            <w:tcW w:w="10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92</w:t>
            </w:r>
          </w:p>
        </w:tc>
      </w:tr>
      <w:tr>
        <w:trPr>
          <w:trHeight w:val="540"/>
        </w:trPr>
        <w:tc>
          <w:tcPr>
            <w:tcW w:w="5560" w:type="dxa"/>
            <w:vAlign w:val="bottom"/>
          </w:tcPr>
          <w:p>
            <w:pPr>
              <w:ind w:left="120"/>
              <w:spacing w:after="0"/>
              <w:rPr>
                <w:sz w:val="20"/>
                <w:szCs w:val="20"/>
                <w:color w:val="auto"/>
              </w:rPr>
            </w:pPr>
            <w:r>
              <w:rPr>
                <w:rFonts w:ascii="Arial" w:cs="Arial" w:eastAsia="Arial" w:hAnsi="Arial"/>
                <w:sz w:val="22"/>
                <w:szCs w:val="22"/>
                <w:color w:val="auto"/>
              </w:rPr>
              <w:t>Billed rooms (6)</w:t>
            </w:r>
          </w:p>
        </w:tc>
        <w:tc>
          <w:tcPr>
            <w:tcW w:w="14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687,217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647,282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3,007,229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2,469,899</w:t>
            </w:r>
          </w:p>
        </w:tc>
      </w:tr>
      <w:tr>
        <w:trPr>
          <w:trHeight w:val="540"/>
        </w:trPr>
        <w:tc>
          <w:tcPr>
            <w:tcW w:w="5560" w:type="dxa"/>
            <w:vAlign w:val="bottom"/>
          </w:tcPr>
          <w:p>
            <w:pPr>
              <w:ind w:left="120"/>
              <w:spacing w:after="0"/>
              <w:rPr>
                <w:sz w:val="20"/>
                <w:szCs w:val="20"/>
                <w:color w:val="auto"/>
              </w:rPr>
            </w:pPr>
            <w:r>
              <w:rPr>
                <w:rFonts w:ascii="Arial" w:cs="Arial" w:eastAsia="Arial" w:hAnsi="Arial"/>
                <w:sz w:val="22"/>
                <w:szCs w:val="22"/>
                <w:color w:val="auto"/>
              </w:rPr>
              <w:t>Canadian dollar to U.S. dollar</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0.757</w:t>
            </w: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0.787</w:t>
            </w:r>
          </w:p>
        </w:tc>
        <w:tc>
          <w:tcPr>
            <w:tcW w:w="1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0.772</w:t>
            </w:r>
          </w:p>
        </w:tc>
        <w:tc>
          <w:tcPr>
            <w:tcW w:w="10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0.771</w:t>
            </w:r>
          </w:p>
        </w:tc>
      </w:tr>
      <w:tr>
        <w:trPr>
          <w:trHeight w:val="536"/>
        </w:trPr>
        <w:tc>
          <w:tcPr>
            <w:tcW w:w="5560" w:type="dxa"/>
            <w:vAlign w:val="bottom"/>
          </w:tcPr>
          <w:p>
            <w:pPr>
              <w:spacing w:after="0"/>
              <w:rPr>
                <w:sz w:val="20"/>
                <w:szCs w:val="20"/>
                <w:color w:val="auto"/>
              </w:rPr>
            </w:pPr>
            <w:r>
              <w:rPr>
                <w:rFonts w:ascii="Arial" w:cs="Arial" w:eastAsia="Arial" w:hAnsi="Arial"/>
                <w:sz w:val="22"/>
                <w:szCs w:val="22"/>
                <w:color w:val="auto"/>
              </w:rPr>
              <w:t>Supplemental Operating Data - Australian Segment</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60" w:type="dxa"/>
            <w:vAlign w:val="bottom"/>
          </w:tcPr>
          <w:p>
            <w:pPr>
              <w:ind w:left="260"/>
              <w:spacing w:after="0"/>
              <w:rPr>
                <w:sz w:val="20"/>
                <w:szCs w:val="20"/>
                <w:color w:val="auto"/>
              </w:rPr>
            </w:pPr>
            <w:r>
              <w:rPr>
                <w:rFonts w:ascii="Arial" w:cs="Arial" w:eastAsia="Arial" w:hAnsi="Arial"/>
                <w:sz w:val="22"/>
                <w:szCs w:val="22"/>
                <w:color w:val="auto"/>
              </w:rPr>
              <w:t>Accommodation revenue (1)</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29,553</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28,057</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117,896</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111,221</w:t>
            </w:r>
          </w:p>
        </w:tc>
      </w:tr>
      <w:tr>
        <w:trPr>
          <w:trHeight w:val="275"/>
        </w:trPr>
        <w:tc>
          <w:tcPr>
            <w:tcW w:w="5560" w:type="dxa"/>
            <w:vAlign w:val="bottom"/>
          </w:tcPr>
          <w:p>
            <w:pPr>
              <w:ind w:left="260"/>
              <w:spacing w:after="0"/>
              <w:rPr>
                <w:sz w:val="20"/>
                <w:szCs w:val="20"/>
                <w:color w:val="auto"/>
              </w:rPr>
            </w:pPr>
            <w:r>
              <w:rPr>
                <w:rFonts w:ascii="Arial" w:cs="Arial" w:eastAsia="Arial" w:hAnsi="Arial"/>
                <w:sz w:val="22"/>
                <w:szCs w:val="22"/>
                <w:color w:val="auto"/>
              </w:rPr>
              <w:t>Food and other services revenue (3)</w:t>
            </w:r>
          </w:p>
        </w:tc>
        <w:tc>
          <w:tcPr>
            <w:tcW w:w="1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143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1,342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w:t>
            </w:r>
          </w:p>
        </w:tc>
      </w:tr>
      <w:tr>
        <w:trPr>
          <w:trHeight w:val="272"/>
        </w:trPr>
        <w:tc>
          <w:tcPr>
            <w:tcW w:w="5560" w:type="dxa"/>
            <w:vAlign w:val="bottom"/>
          </w:tcPr>
          <w:p>
            <w:pPr>
              <w:ind w:left="400"/>
              <w:spacing w:after="0"/>
              <w:rPr>
                <w:sz w:val="20"/>
                <w:szCs w:val="20"/>
                <w:color w:val="auto"/>
              </w:rPr>
            </w:pPr>
            <w:r>
              <w:rPr>
                <w:rFonts w:ascii="Arial" w:cs="Arial" w:eastAsia="Arial" w:hAnsi="Arial"/>
                <w:sz w:val="22"/>
                <w:szCs w:val="22"/>
                <w:color w:val="auto"/>
              </w:rPr>
              <w:t>Total Australian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29,696</w:t>
            </w:r>
          </w:p>
        </w:tc>
        <w:tc>
          <w:tcPr>
            <w:tcW w:w="120" w:type="dxa"/>
            <w:vAlign w:val="bottom"/>
          </w:tcPr>
          <w:p>
            <w:pPr>
              <w:spacing w:after="0"/>
              <w:rPr>
                <w:sz w:val="23"/>
                <w:szCs w:val="23"/>
                <w:color w:val="auto"/>
              </w:rPr>
            </w:pPr>
          </w:p>
        </w:tc>
        <w:tc>
          <w:tcPr>
            <w:tcW w:w="280" w:type="dxa"/>
            <w:vAlign w:val="bottom"/>
            <w:tcBorders>
              <w:top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28,057</w:t>
            </w:r>
          </w:p>
        </w:tc>
        <w:tc>
          <w:tcPr>
            <w:tcW w:w="120" w:type="dxa"/>
            <w:vAlign w:val="bottom"/>
          </w:tcPr>
          <w:p>
            <w:pPr>
              <w:spacing w:after="0"/>
              <w:rPr>
                <w:sz w:val="23"/>
                <w:szCs w:val="23"/>
                <w:color w:val="auto"/>
              </w:rPr>
            </w:pPr>
          </w:p>
        </w:tc>
        <w:tc>
          <w:tcPr>
            <w:tcW w:w="26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119,238</w:t>
            </w:r>
          </w:p>
        </w:tc>
        <w:tc>
          <w:tcPr>
            <w:tcW w:w="100" w:type="dxa"/>
            <w:vAlign w:val="bottom"/>
          </w:tcPr>
          <w:p>
            <w:pPr>
              <w:spacing w:after="0"/>
              <w:rPr>
                <w:sz w:val="23"/>
                <w:szCs w:val="23"/>
                <w:color w:val="auto"/>
              </w:rPr>
            </w:pPr>
          </w:p>
        </w:tc>
        <w:tc>
          <w:tcPr>
            <w:tcW w:w="26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111,221</w:t>
            </w:r>
          </w:p>
        </w:tc>
      </w:tr>
      <w:tr>
        <w:trPr>
          <w:trHeight w:val="528"/>
        </w:trPr>
        <w:tc>
          <w:tcPr>
            <w:tcW w:w="5560" w:type="dxa"/>
            <w:vAlign w:val="bottom"/>
          </w:tcPr>
          <w:p>
            <w:pPr>
              <w:ind w:left="120"/>
              <w:spacing w:after="0"/>
              <w:rPr>
                <w:sz w:val="20"/>
                <w:szCs w:val="20"/>
                <w:color w:val="auto"/>
              </w:rPr>
            </w:pPr>
            <w:r>
              <w:rPr>
                <w:rFonts w:ascii="Arial" w:cs="Arial" w:eastAsia="Arial" w:hAnsi="Arial"/>
                <w:sz w:val="22"/>
                <w:szCs w:val="22"/>
                <w:color w:val="auto"/>
              </w:rPr>
              <w:t>Costs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60" w:type="dxa"/>
            <w:vAlign w:val="bottom"/>
          </w:tcPr>
          <w:p>
            <w:pPr>
              <w:ind w:left="260"/>
              <w:spacing w:after="0"/>
              <w:rPr>
                <w:sz w:val="20"/>
                <w:szCs w:val="20"/>
                <w:color w:val="auto"/>
              </w:rPr>
            </w:pPr>
            <w:r>
              <w:rPr>
                <w:rFonts w:ascii="Arial" w:cs="Arial" w:eastAsia="Arial" w:hAnsi="Arial"/>
                <w:sz w:val="22"/>
                <w:szCs w:val="22"/>
                <w:color w:val="auto"/>
              </w:rPr>
              <w:t>Accommodation cost</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14,424</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13,442</w:t>
            </w:r>
          </w:p>
        </w:tc>
        <w:tc>
          <w:tcPr>
            <w:tcW w:w="12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57,366</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53,406</w:t>
            </w:r>
          </w:p>
        </w:tc>
      </w:tr>
      <w:tr>
        <w:trPr>
          <w:trHeight w:val="270"/>
        </w:trPr>
        <w:tc>
          <w:tcPr>
            <w:tcW w:w="5560" w:type="dxa"/>
            <w:vAlign w:val="bottom"/>
          </w:tcPr>
          <w:p>
            <w:pPr>
              <w:ind w:left="260"/>
              <w:spacing w:after="0"/>
              <w:rPr>
                <w:sz w:val="20"/>
                <w:szCs w:val="20"/>
                <w:color w:val="auto"/>
              </w:rPr>
            </w:pPr>
            <w:r>
              <w:rPr>
                <w:rFonts w:ascii="Arial" w:cs="Arial" w:eastAsia="Arial" w:hAnsi="Arial"/>
                <w:sz w:val="22"/>
                <w:szCs w:val="22"/>
                <w:color w:val="auto"/>
              </w:rPr>
              <w:t>Food and other services cost</w:t>
            </w:r>
          </w:p>
        </w:tc>
        <w:tc>
          <w:tcPr>
            <w:tcW w:w="1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125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1,150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w:t>
            </w:r>
          </w:p>
        </w:tc>
      </w:tr>
      <w:tr>
        <w:trPr>
          <w:trHeight w:val="275"/>
        </w:trPr>
        <w:tc>
          <w:tcPr>
            <w:tcW w:w="5560" w:type="dxa"/>
            <w:vAlign w:val="bottom"/>
          </w:tcPr>
          <w:p>
            <w:pPr>
              <w:ind w:left="260"/>
              <w:spacing w:after="0"/>
              <w:rPr>
                <w:sz w:val="20"/>
                <w:szCs w:val="20"/>
                <w:color w:val="auto"/>
              </w:rPr>
            </w:pPr>
            <w:r>
              <w:rPr>
                <w:rFonts w:ascii="Arial" w:cs="Arial" w:eastAsia="Arial" w:hAnsi="Arial"/>
                <w:sz w:val="22"/>
                <w:szCs w:val="22"/>
                <w:color w:val="auto"/>
              </w:rPr>
              <w:t>Indirect other cost</w:t>
            </w:r>
          </w:p>
        </w:tc>
        <w:tc>
          <w:tcPr>
            <w:tcW w:w="1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630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527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2,552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2,316</w:t>
            </w:r>
          </w:p>
        </w:tc>
      </w:tr>
    </w:tbl>
    <w:p>
      <w:pPr>
        <w:sectPr>
          <w:pgSz w:w="11900" w:h="16921" w:orient="portrait"/>
          <w:cols w:equalWidth="0" w:num="1">
            <w:col w:w="11420"/>
          </w:cols>
          <w:pgMar w:left="240" w:top="382" w:right="239" w:bottom="0" w:gutter="0" w:footer="0" w:header="0"/>
          <w:type w:val="continuous"/>
        </w:sectPr>
      </w:pPr>
    </w:p>
    <w:bookmarkStart w:id="11" w:name="page12"/>
    <w:bookmarkEnd w:id="11"/>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88"/>
        </w:trPr>
        <w:tc>
          <w:tcPr>
            <w:tcW w:w="5440" w:type="dxa"/>
            <w:vAlign w:val="bottom"/>
          </w:tcPr>
          <w:p>
            <w:pPr>
              <w:ind w:left="280"/>
              <w:spacing w:after="0"/>
              <w:rPr>
                <w:sz w:val="20"/>
                <w:szCs w:val="20"/>
                <w:color w:val="auto"/>
              </w:rPr>
            </w:pPr>
            <w:r>
              <w:rPr>
                <w:rFonts w:ascii="Arial" w:cs="Arial" w:eastAsia="Arial" w:hAnsi="Arial"/>
                <w:sz w:val="22"/>
                <w:szCs w:val="22"/>
                <w:color w:val="auto"/>
              </w:rPr>
              <w:t>Total Australian cost of sales and services</w:t>
            </w:r>
          </w:p>
        </w:tc>
        <w:tc>
          <w:tcPr>
            <w:tcW w:w="340" w:type="dxa"/>
            <w:vAlign w:val="bottom"/>
            <w:tcBorders>
              <w:top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15,179</w:t>
            </w:r>
          </w:p>
        </w:tc>
        <w:tc>
          <w:tcPr>
            <w:tcW w:w="120" w:type="dxa"/>
            <w:vAlign w:val="bottom"/>
          </w:tcPr>
          <w:p>
            <w:pPr>
              <w:spacing w:after="0"/>
              <w:rPr>
                <w:sz w:val="24"/>
                <w:szCs w:val="24"/>
                <w:color w:val="auto"/>
              </w:rPr>
            </w:pPr>
          </w:p>
        </w:tc>
        <w:tc>
          <w:tcPr>
            <w:tcW w:w="320" w:type="dxa"/>
            <w:vAlign w:val="bottom"/>
            <w:tcBorders>
              <w:top w:val="single" w:sz="8" w:color="auto"/>
            </w:tcBorders>
          </w:tcPr>
          <w:p>
            <w:pPr>
              <w:jc w:val="right"/>
              <w:ind w:right="92"/>
              <w:spacing w:after="0"/>
              <w:rPr>
                <w:sz w:val="20"/>
                <w:szCs w:val="20"/>
                <w:color w:val="auto"/>
              </w:rPr>
            </w:pPr>
            <w:r>
              <w:rPr>
                <w:rFonts w:ascii="Arial" w:cs="Arial" w:eastAsia="Arial" w:hAnsi="Arial"/>
                <w:sz w:val="22"/>
                <w:szCs w:val="22"/>
                <w:color w:val="auto"/>
                <w:w w:val="81"/>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13,969</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61,068</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55,722</w:t>
            </w:r>
          </w:p>
        </w:tc>
      </w:tr>
      <w:tr>
        <w:trPr>
          <w:trHeight w:val="532"/>
        </w:trPr>
        <w:tc>
          <w:tcPr>
            <w:tcW w:w="5440" w:type="dxa"/>
            <w:vAlign w:val="bottom"/>
          </w:tcPr>
          <w:p>
            <w:pPr>
              <w:spacing w:after="0"/>
              <w:rPr>
                <w:sz w:val="20"/>
                <w:szCs w:val="20"/>
                <w:color w:val="auto"/>
              </w:rPr>
            </w:pPr>
            <w:r>
              <w:rPr>
                <w:rFonts w:ascii="Arial" w:cs="Arial" w:eastAsia="Arial" w:hAnsi="Arial"/>
                <w:sz w:val="22"/>
                <w:szCs w:val="22"/>
                <w:color w:val="auto"/>
              </w:rPr>
              <w:t>Average daily rates (5)</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74</w:t>
            </w:r>
          </w:p>
        </w:tc>
        <w:tc>
          <w:tcPr>
            <w:tcW w:w="12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79</w:t>
            </w:r>
          </w:p>
        </w:tc>
        <w:tc>
          <w:tcPr>
            <w:tcW w:w="1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78</w:t>
            </w:r>
          </w:p>
        </w:tc>
        <w:tc>
          <w:tcPr>
            <w:tcW w:w="10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80</w:t>
            </w:r>
          </w:p>
        </w:tc>
      </w:tr>
      <w:tr>
        <w:trPr>
          <w:trHeight w:val="540"/>
        </w:trPr>
        <w:tc>
          <w:tcPr>
            <w:tcW w:w="5440" w:type="dxa"/>
            <w:vAlign w:val="bottom"/>
          </w:tcPr>
          <w:p>
            <w:pPr>
              <w:spacing w:after="0"/>
              <w:rPr>
                <w:sz w:val="20"/>
                <w:szCs w:val="20"/>
                <w:color w:val="auto"/>
              </w:rPr>
            </w:pPr>
            <w:r>
              <w:rPr>
                <w:rFonts w:ascii="Arial" w:cs="Arial" w:eastAsia="Arial" w:hAnsi="Arial"/>
                <w:sz w:val="22"/>
                <w:szCs w:val="22"/>
                <w:color w:val="auto"/>
              </w:rPr>
              <w:t>Billed rooms (6)</w:t>
            </w:r>
          </w:p>
        </w:tc>
        <w:tc>
          <w:tcPr>
            <w:tcW w:w="3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397,335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355,019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1,512,030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1,385,087</w:t>
            </w:r>
          </w:p>
        </w:tc>
      </w:tr>
      <w:tr>
        <w:trPr>
          <w:trHeight w:val="540"/>
        </w:trPr>
        <w:tc>
          <w:tcPr>
            <w:tcW w:w="5440" w:type="dxa"/>
            <w:vAlign w:val="bottom"/>
          </w:tcPr>
          <w:p>
            <w:pPr>
              <w:spacing w:after="0"/>
              <w:rPr>
                <w:sz w:val="20"/>
                <w:szCs w:val="20"/>
                <w:color w:val="auto"/>
              </w:rPr>
            </w:pPr>
            <w:r>
              <w:rPr>
                <w:rFonts w:ascii="Arial" w:cs="Arial" w:eastAsia="Arial" w:hAnsi="Arial"/>
                <w:sz w:val="22"/>
                <w:szCs w:val="22"/>
                <w:color w:val="auto"/>
              </w:rPr>
              <w:t>Australian dollar to U.S. dollar</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0.718</w:t>
            </w:r>
          </w:p>
        </w:tc>
        <w:tc>
          <w:tcPr>
            <w:tcW w:w="12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0.768</w:t>
            </w:r>
          </w:p>
        </w:tc>
        <w:tc>
          <w:tcPr>
            <w:tcW w:w="1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0.748</w:t>
            </w:r>
          </w:p>
        </w:tc>
        <w:tc>
          <w:tcPr>
            <w:tcW w:w="10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0.767</w:t>
            </w:r>
          </w:p>
        </w:tc>
      </w:tr>
    </w:tbl>
    <w:p>
      <w:pPr>
        <w:spacing w:after="0" w:line="198"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9"/>
          <w:szCs w:val="19"/>
          <w:color w:val="auto"/>
        </w:rPr>
      </w:pPr>
      <w:r>
        <w:rPr>
          <w:rFonts w:ascii="Arial" w:cs="Arial" w:eastAsia="Arial" w:hAnsi="Arial"/>
          <w:sz w:val="19"/>
          <w:szCs w:val="19"/>
          <w:color w:val="auto"/>
        </w:rPr>
        <w:t>Includes revenues related to lodge and village rooms and hospitality services for owned rooms for the periods presented.</w:t>
      </w:r>
    </w:p>
    <w:p>
      <w:pPr>
        <w:spacing w:after="0" w:line="42" w:lineRule="exact"/>
        <w:rPr>
          <w:rFonts w:ascii="Arial" w:cs="Arial" w:eastAsia="Arial" w:hAnsi="Arial"/>
          <w:sz w:val="19"/>
          <w:szCs w:val="19"/>
          <w:color w:val="auto"/>
        </w:rPr>
      </w:pPr>
    </w:p>
    <w:p>
      <w:pPr>
        <w:ind w:left="360" w:hanging="352"/>
        <w:spacing w:after="0" w:line="230" w:lineRule="auto"/>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Includes revenues related to mobile camps for the periods presented.</w:t>
      </w:r>
    </w:p>
    <w:p>
      <w:pPr>
        <w:ind w:left="360" w:hanging="352"/>
        <w:spacing w:after="0"/>
        <w:tabs>
          <w:tab w:leader="none" w:pos="360" w:val="left"/>
        </w:tabs>
        <w:numPr>
          <w:ilvl w:val="0"/>
          <w:numId w:val="6"/>
        </w:numPr>
        <w:rPr>
          <w:rFonts w:ascii="Arial" w:cs="Arial" w:eastAsia="Arial" w:hAnsi="Arial"/>
          <w:sz w:val="19"/>
          <w:szCs w:val="19"/>
          <w:color w:val="auto"/>
        </w:rPr>
      </w:pPr>
      <w:r>
        <w:rPr>
          <w:rFonts w:ascii="Arial" w:cs="Arial" w:eastAsia="Arial" w:hAnsi="Arial"/>
          <w:sz w:val="19"/>
          <w:szCs w:val="19"/>
          <w:color w:val="auto"/>
        </w:rPr>
        <w:t>Includes revenues related to food service, laundry and water and wastewater treatment services for the periods presented.</w:t>
      </w:r>
    </w:p>
    <w:p>
      <w:pPr>
        <w:spacing w:after="0" w:line="24" w:lineRule="exact"/>
        <w:rPr>
          <w:rFonts w:ascii="Arial" w:cs="Arial" w:eastAsia="Arial" w:hAnsi="Arial"/>
          <w:sz w:val="19"/>
          <w:szCs w:val="19"/>
          <w:color w:val="auto"/>
        </w:rPr>
      </w:pPr>
    </w:p>
    <w:p>
      <w:pPr>
        <w:ind w:left="360" w:hanging="352"/>
        <w:spacing w:after="0" w:line="230" w:lineRule="auto"/>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Includes revenues related to modular construction and offshore manufacturing services for the periods presented.</w:t>
      </w:r>
    </w:p>
    <w:p>
      <w:pPr>
        <w:ind w:left="360" w:hanging="352"/>
        <w:spacing w:after="0" w:line="230" w:lineRule="auto"/>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Average daily rate is based on billed rooms and accommodation revenue.</w:t>
      </w:r>
    </w:p>
    <w:p>
      <w:pPr>
        <w:ind w:left="360" w:hanging="352"/>
        <w:spacing w:after="0"/>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Billed rooms represents total billed days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230" w:lineRule="auto"/>
        <w:rPr>
          <w:sz w:val="20"/>
          <w:szCs w:val="20"/>
          <w:color w:val="auto"/>
        </w:rPr>
      </w:pPr>
      <w:r>
        <w:rPr>
          <w:rFonts w:ascii="Arial" w:cs="Arial" w:eastAsia="Arial" w:hAnsi="Arial"/>
          <w:sz w:val="22"/>
          <w:szCs w:val="22"/>
          <w:color w:val="auto"/>
        </w:rPr>
        <w:t>Executive Vice President &amp;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Jeffrey Spittel</w:t>
      </w:r>
    </w:p>
    <w:p>
      <w:pPr>
        <w:spacing w:after="0" w:line="238" w:lineRule="auto"/>
        <w:rPr>
          <w:sz w:val="20"/>
          <w:szCs w:val="20"/>
          <w:color w:val="auto"/>
        </w:rPr>
      </w:pPr>
      <w:r>
        <w:rPr>
          <w:rFonts w:ascii="Arial" w:cs="Arial" w:eastAsia="Arial" w:hAnsi="Arial"/>
          <w:sz w:val="22"/>
          <w:szCs w:val="22"/>
          <w:color w:val="auto"/>
        </w:rPr>
        <w:t>FTI Consulting</w:t>
      </w:r>
    </w:p>
    <w:p>
      <w:pPr>
        <w:spacing w:after="0"/>
        <w:rPr>
          <w:sz w:val="20"/>
          <w:szCs w:val="20"/>
          <w:color w:val="auto"/>
        </w:rPr>
      </w:pPr>
      <w:r>
        <w:rPr>
          <w:rFonts w:ascii="Arial" w:cs="Arial" w:eastAsia="Arial" w:hAnsi="Arial"/>
          <w:sz w:val="22"/>
          <w:szCs w:val="22"/>
          <w:color w:val="auto"/>
        </w:rPr>
        <w:t>713-353-5407</w:t>
      </w:r>
    </w:p>
    <w:sectPr>
      <w:pgSz w:w="11900" w:h="16838" w:orient="portrait"/>
      <w:cols w:equalWidth="0" w:num="1">
        <w:col w:w="11420"/>
      </w:cols>
      <w:pgMar w:left="240" w:top="1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2019-12-28T16:01:47Z</dcterms:created>
  <dcterms:modified xsi:type="dcterms:W3CDTF">2019-12-28T16:01:47Z</dcterms:modified>
</cp:coreProperties>
</file>