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860" w:right="1880" w:hanging="811"/>
        <w:spacing w:after="0" w:line="328"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33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97155</wp:posOffset>
            </wp:positionV>
            <wp:extent cx="1380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80" w:type="dxa"/>
            <w:vAlign w:val="bottom"/>
            <w:gridSpan w:val="5"/>
          </w:tcPr>
          <w:p>
            <w:pPr>
              <w:jc w:val="right"/>
              <w:ind w:right="92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3240" w:type="dxa"/>
            <w:vAlign w:val="bottom"/>
            <w:gridSpan w:val="5"/>
          </w:tcPr>
          <w:p>
            <w:pPr>
              <w:jc w:val="center"/>
              <w:ind w:left="193"/>
              <w:spacing w:after="0"/>
              <w:rPr>
                <w:sz w:val="20"/>
                <w:szCs w:val="20"/>
                <w:color w:val="auto"/>
              </w:rPr>
            </w:pPr>
            <w:r>
              <w:rPr>
                <w:rFonts w:ascii="Arial" w:cs="Arial" w:eastAsia="Arial" w:hAnsi="Arial"/>
                <w:sz w:val="18"/>
                <w:szCs w:val="18"/>
                <w:color w:val="auto"/>
                <w:w w:val="92"/>
              </w:rPr>
              <w:t>(State or other jurisdiction of</w:t>
            </w:r>
          </w:p>
        </w:tc>
        <w:tc>
          <w:tcPr>
            <w:tcW w:w="2280" w:type="dxa"/>
            <w:vAlign w:val="bottom"/>
          </w:tcPr>
          <w:p>
            <w:pPr>
              <w:spacing w:after="0"/>
              <w:rPr>
                <w:sz w:val="24"/>
                <w:szCs w:val="24"/>
                <w:color w:val="auto"/>
              </w:rPr>
            </w:pPr>
          </w:p>
        </w:tc>
        <w:tc>
          <w:tcPr>
            <w:tcW w:w="3280" w:type="dxa"/>
            <w:vAlign w:val="bottom"/>
            <w:gridSpan w:val="5"/>
          </w:tcPr>
          <w:p>
            <w:pPr>
              <w:jc w:val="center"/>
              <w:ind w:left="494"/>
              <w:spacing w:after="0"/>
              <w:rPr>
                <w:sz w:val="20"/>
                <w:szCs w:val="20"/>
                <w:color w:val="auto"/>
              </w:rPr>
            </w:pPr>
            <w:r>
              <w:rPr>
                <w:rFonts w:ascii="Arial" w:cs="Arial" w:eastAsia="Arial" w:hAnsi="Arial"/>
                <w:sz w:val="18"/>
                <w:szCs w:val="18"/>
                <w:color w:val="auto"/>
                <w:w w:val="92"/>
              </w:rPr>
              <w:t>(I.R.S. Employer</w:t>
            </w:r>
          </w:p>
        </w:tc>
      </w:tr>
      <w:tr>
        <w:trPr>
          <w:trHeight w:val="270"/>
        </w:trPr>
        <w:tc>
          <w:tcPr>
            <w:tcW w:w="3240" w:type="dxa"/>
            <w:vAlign w:val="bottom"/>
            <w:gridSpan w:val="5"/>
          </w:tcPr>
          <w:p>
            <w:pPr>
              <w:jc w:val="center"/>
              <w:ind w:left="193"/>
              <w:spacing w:after="0"/>
              <w:rPr>
                <w:sz w:val="20"/>
                <w:szCs w:val="20"/>
                <w:color w:val="auto"/>
              </w:rPr>
            </w:pPr>
            <w:r>
              <w:rPr>
                <w:rFonts w:ascii="Arial" w:cs="Arial" w:eastAsia="Arial" w:hAnsi="Arial"/>
                <w:sz w:val="18"/>
                <w:szCs w:val="18"/>
                <w:color w:val="auto"/>
                <w:w w:val="92"/>
              </w:rPr>
              <w:t>incorporation or organization)</w:t>
            </w:r>
          </w:p>
        </w:tc>
        <w:tc>
          <w:tcPr>
            <w:tcW w:w="2280" w:type="dxa"/>
            <w:vAlign w:val="bottom"/>
          </w:tcPr>
          <w:p>
            <w:pPr>
              <w:spacing w:after="0"/>
              <w:rPr>
                <w:sz w:val="23"/>
                <w:szCs w:val="23"/>
                <w:color w:val="auto"/>
              </w:rPr>
            </w:pPr>
          </w:p>
        </w:tc>
        <w:tc>
          <w:tcPr>
            <w:tcW w:w="3280" w:type="dxa"/>
            <w:vAlign w:val="bottom"/>
            <w:gridSpan w:val="5"/>
          </w:tcPr>
          <w:p>
            <w:pPr>
              <w:jc w:val="center"/>
              <w:ind w:left="494"/>
              <w:spacing w:after="0"/>
              <w:rPr>
                <w:sz w:val="20"/>
                <w:szCs w:val="20"/>
                <w:color w:val="auto"/>
              </w:rPr>
            </w:pPr>
            <w:r>
              <w:rPr>
                <w:rFonts w:ascii="Arial" w:cs="Arial" w:eastAsia="Arial" w:hAnsi="Arial"/>
                <w:sz w:val="18"/>
                <w:szCs w:val="18"/>
                <w:color w:val="auto"/>
                <w:w w:val="95"/>
              </w:rPr>
              <w:t>Identification No.)</w:t>
            </w:r>
          </w:p>
        </w:tc>
      </w:tr>
      <w:tr>
        <w:trPr>
          <w:trHeight w:val="500"/>
        </w:trPr>
        <w:tc>
          <w:tcPr>
            <w:tcW w:w="5520" w:type="dxa"/>
            <w:vAlign w:val="bottom"/>
            <w:gridSpan w:val="6"/>
          </w:tcPr>
          <w:p>
            <w:pPr>
              <w:jc w:val="center"/>
              <w:ind w:right="1936"/>
              <w:spacing w:after="0"/>
              <w:rPr>
                <w:sz w:val="20"/>
                <w:szCs w:val="20"/>
                <w:color w:val="auto"/>
              </w:rPr>
            </w:pPr>
            <w:r>
              <w:rPr>
                <w:rFonts w:ascii="Arial" w:cs="Arial" w:eastAsia="Arial" w:hAnsi="Arial"/>
                <w:sz w:val="18"/>
                <w:szCs w:val="18"/>
                <w:color w:val="auto"/>
                <w:w w:val="90"/>
              </w:rPr>
              <w:t>Three Allen Center, 333 Clay Street, Suite 4980,</w:t>
            </w:r>
          </w:p>
        </w:tc>
        <w:tc>
          <w:tcPr>
            <w:tcW w:w="170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20" w:type="dxa"/>
            <w:vAlign w:val="bottom"/>
          </w:tcPr>
          <w:p>
            <w:pPr>
              <w:spacing w:after="0"/>
              <w:rPr>
                <w:sz w:val="21"/>
                <w:szCs w:val="21"/>
                <w:color w:val="auto"/>
              </w:rPr>
            </w:pPr>
          </w:p>
        </w:tc>
        <w:tc>
          <w:tcPr>
            <w:tcW w:w="2420" w:type="dxa"/>
            <w:vAlign w:val="bottom"/>
            <w:gridSpan w:val="4"/>
          </w:tcPr>
          <w:p>
            <w:pPr>
              <w:jc w:val="center"/>
              <w:ind w:right="450"/>
              <w:spacing w:after="0"/>
              <w:rPr>
                <w:sz w:val="20"/>
                <w:szCs w:val="20"/>
                <w:color w:val="auto"/>
              </w:rPr>
            </w:pPr>
            <w:r>
              <w:rPr>
                <w:rFonts w:ascii="Arial" w:cs="Arial" w:eastAsia="Arial" w:hAnsi="Arial"/>
                <w:sz w:val="18"/>
                <w:szCs w:val="18"/>
                <w:color w:val="auto"/>
                <w:w w:val="88"/>
              </w:rPr>
              <w:t>Houston, Texas</w:t>
            </w:r>
          </w:p>
        </w:tc>
        <w:tc>
          <w:tcPr>
            <w:tcW w:w="2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(Zip Code)</w:t>
            </w:r>
          </w:p>
        </w:tc>
      </w:tr>
      <w:tr>
        <w:trPr>
          <w:trHeight w:val="20"/>
        </w:trPr>
        <w:tc>
          <w:tcPr>
            <w:tcW w:w="1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3240" w:type="dxa"/>
            <w:vAlign w:val="bottom"/>
            <w:gridSpan w:val="5"/>
          </w:tcPr>
          <w:p>
            <w:pPr>
              <w:jc w:val="center"/>
              <w:ind w:left="173"/>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jc w:val="right"/>
              <w:ind w:right="196"/>
              <w:spacing w:after="0"/>
              <w:rPr>
                <w:sz w:val="20"/>
                <w:szCs w:val="20"/>
                <w:color w:val="auto"/>
              </w:rPr>
            </w:pPr>
            <w:r>
              <w:rPr>
                <w:rFonts w:ascii="Arial" w:cs="Arial" w:eastAsia="Arial" w:hAnsi="Arial"/>
                <w:sz w:val="18"/>
                <w:szCs w:val="18"/>
                <w:color w:val="auto"/>
              </w:rPr>
              <w:t>(713) 510-2400</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00" w:type="dxa"/>
            <w:vAlign w:val="bottom"/>
            <w:gridSpan w:val="7"/>
          </w:tcPr>
          <w:p>
            <w:pPr>
              <w:jc w:val="center"/>
              <w:ind w:right="21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9"/>
        </w:trPr>
        <w:tc>
          <w:tcPr>
            <w:tcW w:w="3240" w:type="dxa"/>
            <w:vAlign w:val="bottom"/>
            <w:gridSpan w:val="5"/>
          </w:tcPr>
          <w:p>
            <w:pPr>
              <w:jc w:val="center"/>
              <w:ind w:right="870"/>
              <w:spacing w:after="0"/>
              <w:rPr>
                <w:sz w:val="20"/>
                <w:szCs w:val="20"/>
                <w:color w:val="auto"/>
              </w:rPr>
            </w:pPr>
            <w:r>
              <w:rPr>
                <w:rFonts w:ascii="Arial" w:cs="Arial" w:eastAsia="Arial" w:hAnsi="Arial"/>
                <w:sz w:val="16"/>
                <w:szCs w:val="16"/>
                <w:color w:val="auto"/>
                <w:w w:val="92"/>
              </w:rPr>
              <w:t>Title of Each Class</w:t>
            </w:r>
          </w:p>
        </w:tc>
        <w:tc>
          <w:tcPr>
            <w:tcW w:w="2280" w:type="dxa"/>
            <w:vAlign w:val="bottom"/>
          </w:tcPr>
          <w:p>
            <w:pPr>
              <w:jc w:val="center"/>
              <w:ind w:right="1036"/>
              <w:spacing w:after="0"/>
              <w:rPr>
                <w:sz w:val="20"/>
                <w:szCs w:val="20"/>
                <w:color w:val="auto"/>
              </w:rPr>
            </w:pPr>
            <w:r>
              <w:rPr>
                <w:rFonts w:ascii="Arial" w:cs="Arial" w:eastAsia="Arial" w:hAnsi="Arial"/>
                <w:sz w:val="16"/>
                <w:szCs w:val="16"/>
                <w:color w:val="auto"/>
                <w:w w:val="92"/>
              </w:rPr>
              <w:t>Trading Symbol</w:t>
            </w:r>
          </w:p>
        </w:tc>
        <w:tc>
          <w:tcPr>
            <w:tcW w:w="3280" w:type="dxa"/>
            <w:vAlign w:val="bottom"/>
            <w:gridSpan w:val="5"/>
          </w:tcPr>
          <w:p>
            <w:pPr>
              <w:jc w:val="center"/>
              <w:ind w:left="174"/>
              <w:spacing w:after="0"/>
              <w:rPr>
                <w:sz w:val="20"/>
                <w:szCs w:val="20"/>
                <w:color w:val="auto"/>
              </w:rPr>
            </w:pPr>
            <w:r>
              <w:rPr>
                <w:rFonts w:ascii="Arial" w:cs="Arial" w:eastAsia="Arial" w:hAnsi="Arial"/>
                <w:sz w:val="16"/>
                <w:szCs w:val="16"/>
                <w:color w:val="auto"/>
                <w:w w:val="91"/>
              </w:rPr>
              <w:t>Name of Each Exchange on Which Registered</w:t>
            </w:r>
          </w:p>
        </w:tc>
      </w:tr>
      <w:tr>
        <w:trPr>
          <w:trHeight w:val="257"/>
        </w:trPr>
        <w:tc>
          <w:tcPr>
            <w:tcW w:w="3240" w:type="dxa"/>
            <w:vAlign w:val="bottom"/>
            <w:gridSpan w:val="5"/>
          </w:tcPr>
          <w:p>
            <w:pPr>
              <w:jc w:val="center"/>
              <w:ind w:right="870"/>
              <w:spacing w:after="0"/>
              <w:rPr>
                <w:sz w:val="20"/>
                <w:szCs w:val="20"/>
                <w:color w:val="auto"/>
              </w:rPr>
            </w:pPr>
            <w:r>
              <w:rPr>
                <w:rFonts w:ascii="Arial" w:cs="Arial" w:eastAsia="Arial" w:hAnsi="Arial"/>
                <w:sz w:val="16"/>
                <w:szCs w:val="16"/>
                <w:color w:val="auto"/>
                <w:w w:val="90"/>
              </w:rPr>
              <w:t>Common Shares, no par value</w:t>
            </w:r>
          </w:p>
        </w:tc>
        <w:tc>
          <w:tcPr>
            <w:tcW w:w="2280" w:type="dxa"/>
            <w:vAlign w:val="bottom"/>
          </w:tcPr>
          <w:p>
            <w:pPr>
              <w:jc w:val="center"/>
              <w:ind w:right="1036"/>
              <w:spacing w:after="0"/>
              <w:rPr>
                <w:sz w:val="20"/>
                <w:szCs w:val="20"/>
                <w:color w:val="auto"/>
              </w:rPr>
            </w:pPr>
            <w:r>
              <w:rPr>
                <w:rFonts w:ascii="Arial" w:cs="Arial" w:eastAsia="Arial" w:hAnsi="Arial"/>
                <w:sz w:val="16"/>
                <w:szCs w:val="16"/>
                <w:color w:val="auto"/>
                <w:w w:val="96"/>
              </w:rPr>
              <w:t>CVEO</w:t>
            </w:r>
          </w:p>
        </w:tc>
        <w:tc>
          <w:tcPr>
            <w:tcW w:w="3280" w:type="dxa"/>
            <w:vAlign w:val="bottom"/>
            <w:gridSpan w:val="5"/>
          </w:tcPr>
          <w:p>
            <w:pPr>
              <w:jc w:val="center"/>
              <w:ind w:left="174"/>
              <w:spacing w:after="0"/>
              <w:rPr>
                <w:sz w:val="20"/>
                <w:szCs w:val="20"/>
                <w:color w:val="auto"/>
              </w:rPr>
            </w:pPr>
            <w:r>
              <w:rPr>
                <w:rFonts w:ascii="Arial" w:cs="Arial" w:eastAsia="Arial" w:hAnsi="Arial"/>
                <w:sz w:val="16"/>
                <w:szCs w:val="16"/>
                <w:color w:val="auto"/>
                <w:w w:val="91"/>
              </w:rPr>
              <w:t>New York Stock Exchange</w:t>
            </w:r>
          </w:p>
        </w:tc>
      </w:tr>
    </w:tbl>
    <w:p>
      <w:pPr>
        <w:spacing w:after="0" w:line="122"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0" w:lineRule="exact"/>
        <w:rPr>
          <w:sz w:val="24"/>
          <w:szCs w:val="24"/>
          <w:color w:val="auto"/>
        </w:rPr>
      </w:pPr>
    </w:p>
    <w:p>
      <w:pPr>
        <w:ind w:left="3580"/>
        <w:spacing w:after="0"/>
        <w:tabs>
          <w:tab w:leader="none" w:pos="83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3580"/>
        <w:spacing w:after="0"/>
        <w:tabs>
          <w:tab w:leader="none" w:pos="83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 ]</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 ]</w:t>
      </w:r>
    </w:p>
    <w:p>
      <w:pPr>
        <w:spacing w:after="0" w:line="200" w:lineRule="exact"/>
        <w:rPr>
          <w:sz w:val="24"/>
          <w:szCs w:val="24"/>
          <w:color w:val="auto"/>
        </w:rPr>
      </w:pPr>
    </w:p>
    <w:p>
      <w:pPr>
        <w:sectPr>
          <w:pgSz w:w="11900" w:h="16838" w:orient="portrait"/>
          <w:cols w:equalWidth="0" w:num="3">
            <w:col w:w="4680" w:space="720"/>
            <w:col w:w="2340" w:space="720"/>
            <w:col w:w="2960"/>
          </w:cols>
          <w:pgMar w:left="240" w:top="233" w:right="23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160"/>
        <w:spacing w:after="0"/>
        <w:rPr>
          <w:sz w:val="20"/>
          <w:szCs w:val="20"/>
          <w:color w:val="auto"/>
        </w:rPr>
      </w:pPr>
      <w:r>
        <w:rPr>
          <w:rFonts w:ascii="Arial" w:cs="Arial" w:eastAsia="Arial" w:hAnsi="Arial"/>
          <w:sz w:val="13"/>
          <w:szCs w:val="13"/>
          <w:color w:val="auto"/>
        </w:rPr>
        <w:t>Smaller Reporting Company [ ]</w:t>
      </w:r>
    </w:p>
    <w:p>
      <w:pPr>
        <w:spacing w:after="0" w:line="188" w:lineRule="exact"/>
        <w:rPr>
          <w:sz w:val="24"/>
          <w:szCs w:val="24"/>
          <w:color w:val="auto"/>
        </w:rPr>
      </w:pPr>
    </w:p>
    <w:p>
      <w:pPr>
        <w:sectPr>
          <w:pgSz w:w="11900" w:h="16838" w:orient="portrait"/>
          <w:cols w:equalWidth="0" w:num="2">
            <w:col w:w="4680" w:space="720"/>
            <w:col w:w="6020"/>
          </w:cols>
          <w:pgMar w:left="240" w:top="233" w:right="239" w:bottom="1440" w:gutter="0" w:footer="0" w:header="0"/>
          <w:type w:val="continuous"/>
        </w:sect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63" w:lineRule="exact"/>
        <w:rPr>
          <w:sz w:val="24"/>
          <w:szCs w:val="24"/>
          <w:color w:val="auto"/>
        </w:rPr>
      </w:pPr>
    </w:p>
    <w:p>
      <w:pPr>
        <w:ind w:left="3600"/>
        <w:spacing w:after="0"/>
        <w:tabs>
          <w:tab w:leader="none" w:pos="830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NO [X ]</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The Registrant had 169,549,135 common shares outstanding as of October 21, 2019.</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w:t>
      </w:r>
    </w:p>
    <w:p>
      <w:pPr>
        <w:spacing w:after="0" w:line="271" w:lineRule="exact"/>
        <w:rPr>
          <w:sz w:val="20"/>
          <w:szCs w:val="20"/>
          <w:color w:val="auto"/>
        </w:rPr>
      </w:pPr>
    </w:p>
    <w:p>
      <w:pPr>
        <w:ind w:left="10620"/>
        <w:spacing w:after="0"/>
        <w:rPr>
          <w:sz w:val="20"/>
          <w:szCs w:val="20"/>
          <w:color w:val="auto"/>
        </w:rPr>
      </w:pPr>
      <w:r>
        <w:rPr>
          <w:rFonts w:ascii="Arial" w:cs="Arial" w:eastAsia="Arial" w:hAnsi="Arial"/>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7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Consolidated Financial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0720" w:type="dxa"/>
            <w:vAlign w:val="bottom"/>
          </w:tcPr>
          <w:p>
            <w:pPr>
              <w:ind w:left="320"/>
              <w:spacing w:after="0"/>
              <w:rPr>
                <w:sz w:val="20"/>
                <w:szCs w:val="20"/>
                <w:color w:val="auto"/>
              </w:rPr>
            </w:pPr>
            <w:r>
              <w:rPr>
                <w:rFonts w:ascii="Arial" w:cs="Arial" w:eastAsia="Arial" w:hAnsi="Arial"/>
                <w:sz w:val="14"/>
                <w:szCs w:val="14"/>
                <w:color w:val="auto"/>
              </w:rPr>
              <w:t>Unaudited Consolidated Statements of Operations for the Three and Nine Months Ended September 30, 2019 and 2018</w:t>
            </w:r>
          </w:p>
        </w:tc>
        <w:tc>
          <w:tcPr>
            <w:tcW w:w="140" w:type="dxa"/>
            <w:vAlign w:val="bottom"/>
            <w:gridSpan w:val="2"/>
          </w:tcPr>
          <w:p>
            <w:pPr>
              <w:jc w:val="right"/>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0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Comprehensive Loss for the Three and Nine Months Ended September 30, 2019 and 2018</w:t>
            </w:r>
          </w:p>
        </w:tc>
        <w:tc>
          <w:tcPr>
            <w:tcW w:w="140" w:type="dxa"/>
            <w:vAlign w:val="bottom"/>
            <w:gridSpan w:val="2"/>
            <w:shd w:val="clear" w:color="auto" w:fill="CCEEFF"/>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c>
          <w:tcPr>
            <w:tcW w:w="40" w:type="dxa"/>
            <w:vAlign w:val="bottom"/>
            <w:shd w:val="clear" w:color="auto" w:fill="CCEEFF"/>
          </w:tcPr>
          <w:p>
            <w:pPr>
              <w:spacing w:after="0"/>
              <w:rPr>
                <w:sz w:val="14"/>
                <w:szCs w:val="14"/>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0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500" w:type="dxa"/>
            <w:vAlign w:val="bottom"/>
          </w:tcPr>
          <w:p>
            <w:pPr>
              <w:spacing w:after="0"/>
              <w:rPr>
                <w:sz w:val="14"/>
                <w:szCs w:val="14"/>
                <w:color w:val="auto"/>
              </w:rPr>
            </w:pPr>
          </w:p>
        </w:tc>
        <w:tc>
          <w:tcPr>
            <w:tcW w:w="10720" w:type="dxa"/>
            <w:vAlign w:val="bottom"/>
          </w:tcPr>
          <w:p>
            <w:pPr>
              <w:ind w:left="320"/>
              <w:spacing w:after="0"/>
              <w:rPr>
                <w:sz w:val="20"/>
                <w:szCs w:val="20"/>
                <w:color w:val="auto"/>
              </w:rPr>
            </w:pPr>
            <w:r>
              <w:rPr>
                <w:rFonts w:ascii="Arial" w:cs="Arial" w:eastAsia="Arial" w:hAnsi="Arial"/>
                <w:sz w:val="14"/>
                <w:szCs w:val="14"/>
                <w:color w:val="auto"/>
              </w:rPr>
              <w:t>Consolidated Balance Sheets – as of September 30, 2019 (unaudited) and December 31, 2018</w:t>
            </w:r>
          </w:p>
        </w:tc>
        <w:tc>
          <w:tcPr>
            <w:tcW w:w="140" w:type="dxa"/>
            <w:vAlign w:val="bottom"/>
            <w:gridSpan w:val="2"/>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0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Changes in Shareholders’ Equity for the Three and Nine Months Ended September 30, 2019 and 2018</w:t>
            </w:r>
          </w:p>
        </w:tc>
        <w:tc>
          <w:tcPr>
            <w:tcW w:w="140" w:type="dxa"/>
            <w:vAlign w:val="bottom"/>
            <w:gridSpan w:val="2"/>
            <w:shd w:val="clear" w:color="auto" w:fill="CCEEFF"/>
          </w:tcPr>
          <w:p>
            <w:pPr>
              <w:jc w:val="right"/>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40" w:type="dxa"/>
            <w:vAlign w:val="bottom"/>
            <w:shd w:val="clear" w:color="auto" w:fill="CCEEFF"/>
          </w:tcPr>
          <w:p>
            <w:pPr>
              <w:spacing w:after="0"/>
              <w:rPr>
                <w:sz w:val="14"/>
                <w:szCs w:val="14"/>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0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500" w:type="dxa"/>
            <w:vAlign w:val="bottom"/>
          </w:tcPr>
          <w:p>
            <w:pPr>
              <w:spacing w:after="0"/>
              <w:rPr>
                <w:sz w:val="14"/>
                <w:szCs w:val="14"/>
                <w:color w:val="auto"/>
              </w:rPr>
            </w:pPr>
          </w:p>
        </w:tc>
        <w:tc>
          <w:tcPr>
            <w:tcW w:w="10720" w:type="dxa"/>
            <w:vAlign w:val="bottom"/>
          </w:tcPr>
          <w:p>
            <w:pPr>
              <w:ind w:left="320"/>
              <w:spacing w:after="0"/>
              <w:rPr>
                <w:sz w:val="20"/>
                <w:szCs w:val="20"/>
                <w:color w:val="auto"/>
              </w:rPr>
            </w:pPr>
            <w:r>
              <w:rPr>
                <w:rFonts w:ascii="Arial" w:cs="Arial" w:eastAsia="Arial" w:hAnsi="Arial"/>
                <w:sz w:val="14"/>
                <w:szCs w:val="14"/>
                <w:color w:val="auto"/>
              </w:rPr>
              <w:t>Unaudited Consolidated Statements of Cash Flows for the Nine Months Ended September 30, 2019 and 2018</w:t>
            </w:r>
          </w:p>
        </w:tc>
        <w:tc>
          <w:tcPr>
            <w:tcW w:w="140" w:type="dxa"/>
            <w:vAlign w:val="bottom"/>
            <w:gridSpan w:val="2"/>
          </w:tcPr>
          <w:p>
            <w:pPr>
              <w:jc w:val="right"/>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00" w:type="dxa"/>
            <w:vAlign w:val="bottom"/>
            <w:shd w:val="clear" w:color="auto" w:fill="CCEEFF"/>
          </w:tcPr>
          <w:p>
            <w:pPr>
              <w:spacing w:after="0"/>
              <w:rPr>
                <w:sz w:val="15"/>
                <w:szCs w:val="15"/>
                <w:color w:val="auto"/>
              </w:rPr>
            </w:pPr>
          </w:p>
        </w:tc>
        <w:tc>
          <w:tcPr>
            <w:tcW w:w="10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40" w:type="dxa"/>
            <w:vAlign w:val="bottom"/>
            <w:shd w:val="clear" w:color="auto" w:fill="CCEEFF"/>
          </w:tcPr>
          <w:p>
            <w:pPr>
              <w:spacing w:after="0"/>
              <w:rPr>
                <w:sz w:val="15"/>
                <w:szCs w:val="15"/>
                <w:color w:val="auto"/>
              </w:rPr>
            </w:pPr>
          </w:p>
        </w:tc>
      </w:tr>
      <w:tr>
        <w:trPr>
          <w:trHeight w:val="284"/>
        </w:trPr>
        <w:tc>
          <w:tcPr>
            <w:tcW w:w="1122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1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22">
              <w:r>
                <w:rPr>
                  <w:rFonts w:ascii="Arial" w:cs="Arial" w:eastAsia="Arial" w:hAnsi="Arial"/>
                  <w:sz w:val="14"/>
                  <w:szCs w:val="14"/>
                  <w:color w:val="0000EE"/>
                  <w:w w:val="76"/>
                </w:rPr>
                <w:t>22</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1122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1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22">
              <w:r>
                <w:rPr>
                  <w:rFonts w:ascii="Arial" w:cs="Arial" w:eastAsia="Arial" w:hAnsi="Arial"/>
                  <w:sz w:val="14"/>
                  <w:szCs w:val="14"/>
                  <w:color w:val="0000EE"/>
                  <w:w w:val="76"/>
                </w:rPr>
                <w:t>22</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500" w:type="dxa"/>
            <w:vAlign w:val="bottom"/>
            <w:tcBorders>
              <w:top w:val="single" w:sz="8" w:color="CCEEFF"/>
            </w:tcBorders>
          </w:tcPr>
          <w:p>
            <w:pPr>
              <w:spacing w:after="0"/>
              <w:rPr>
                <w:sz w:val="24"/>
                <w:szCs w:val="24"/>
                <w:color w:val="auto"/>
              </w:rPr>
            </w:pPr>
          </w:p>
        </w:tc>
        <w:tc>
          <w:tcPr>
            <w:tcW w:w="10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Item 3.</w:t>
            </w:r>
          </w:p>
        </w:tc>
        <w:tc>
          <w:tcPr>
            <w:tcW w:w="10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Quantitative and Qualitative Disclosures About Market Risk</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41">
              <w:r>
                <w:rPr>
                  <w:rFonts w:ascii="Arial" w:cs="Arial" w:eastAsia="Arial" w:hAnsi="Arial"/>
                  <w:sz w:val="14"/>
                  <w:szCs w:val="14"/>
                  <w:color w:val="0000EE"/>
                  <w:w w:val="76"/>
                </w:rPr>
                <w:t>41</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500" w:type="dxa"/>
            <w:vAlign w:val="bottom"/>
            <w:tcBorders>
              <w:top w:val="single" w:sz="8" w:color="CCEEFF"/>
            </w:tcBorders>
          </w:tcPr>
          <w:p>
            <w:pPr>
              <w:spacing w:after="0"/>
              <w:rPr>
                <w:sz w:val="24"/>
                <w:szCs w:val="24"/>
                <w:color w:val="auto"/>
              </w:rPr>
            </w:pPr>
          </w:p>
        </w:tc>
        <w:tc>
          <w:tcPr>
            <w:tcW w:w="10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Item 4.</w:t>
            </w:r>
          </w:p>
        </w:tc>
        <w:tc>
          <w:tcPr>
            <w:tcW w:w="10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Controls and Procedures</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41">
              <w:r>
                <w:rPr>
                  <w:rFonts w:ascii="Arial" w:cs="Arial" w:eastAsia="Arial" w:hAnsi="Arial"/>
                  <w:sz w:val="14"/>
                  <w:szCs w:val="14"/>
                  <w:color w:val="0000EE"/>
                  <w:w w:val="76"/>
                </w:rPr>
                <w:t>41</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500" w:type="dxa"/>
            <w:vAlign w:val="bottom"/>
            <w:tcBorders>
              <w:top w:val="single" w:sz="8" w:color="CCEEFF"/>
            </w:tcBorders>
          </w:tcPr>
          <w:p>
            <w:pPr>
              <w:spacing w:after="0"/>
              <w:rPr>
                <w:sz w:val="24"/>
                <w:szCs w:val="24"/>
                <w:color w:val="auto"/>
              </w:rPr>
            </w:pPr>
          </w:p>
        </w:tc>
        <w:tc>
          <w:tcPr>
            <w:tcW w:w="10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284"/>
        </w:trPr>
        <w:tc>
          <w:tcPr>
            <w:tcW w:w="500" w:type="dxa"/>
            <w:vAlign w:val="bottom"/>
            <w:shd w:val="clear" w:color="auto" w:fill="CCEEFF"/>
          </w:tcPr>
          <w:p>
            <w:pPr>
              <w:spacing w:after="0"/>
              <w:rPr>
                <w:sz w:val="24"/>
                <w:szCs w:val="24"/>
                <w:color w:val="auto"/>
              </w:rPr>
            </w:pPr>
          </w:p>
        </w:tc>
        <w:tc>
          <w:tcPr>
            <w:tcW w:w="10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10720" w:type="dxa"/>
            <w:vAlign w:val="bottom"/>
          </w:tcPr>
          <w:p>
            <w:pPr>
              <w:ind w:left="960"/>
              <w:spacing w:after="0"/>
              <w:rPr>
                <w:sz w:val="20"/>
                <w:szCs w:val="20"/>
                <w:color w:val="auto"/>
              </w:rPr>
            </w:pPr>
            <w:r>
              <w:rPr>
                <w:rFonts w:ascii="Arial" w:cs="Arial" w:eastAsia="Arial" w:hAnsi="Arial"/>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80"/>
        </w:trPr>
        <w:tc>
          <w:tcPr>
            <w:tcW w:w="500" w:type="dxa"/>
            <w:vAlign w:val="bottom"/>
          </w:tcPr>
          <w:p>
            <w:pPr>
              <w:spacing w:after="0"/>
              <w:rPr>
                <w:sz w:val="6"/>
                <w:szCs w:val="6"/>
                <w:color w:val="auto"/>
              </w:rPr>
            </w:pPr>
          </w:p>
        </w:tc>
        <w:tc>
          <w:tcPr>
            <w:tcW w:w="10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84"/>
        </w:trPr>
        <w:tc>
          <w:tcPr>
            <w:tcW w:w="500" w:type="dxa"/>
            <w:vAlign w:val="bottom"/>
            <w:shd w:val="clear" w:color="auto" w:fill="CCEEFF"/>
          </w:tcPr>
          <w:p>
            <w:pPr>
              <w:spacing w:after="0"/>
              <w:rPr>
                <w:sz w:val="24"/>
                <w:szCs w:val="24"/>
                <w:color w:val="auto"/>
              </w:rPr>
            </w:pPr>
          </w:p>
        </w:tc>
        <w:tc>
          <w:tcPr>
            <w:tcW w:w="10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500" w:type="dxa"/>
            <w:vAlign w:val="bottom"/>
          </w:tcPr>
          <w:p>
            <w:pPr>
              <w:ind w:left="40"/>
              <w:spacing w:after="0"/>
              <w:rPr>
                <w:sz w:val="20"/>
                <w:szCs w:val="20"/>
                <w:color w:val="auto"/>
              </w:rPr>
            </w:pPr>
            <w:r>
              <w:rPr>
                <w:rFonts w:ascii="Arial" w:cs="Arial" w:eastAsia="Arial" w:hAnsi="Arial"/>
                <w:sz w:val="14"/>
                <w:szCs w:val="14"/>
                <w:color w:val="auto"/>
              </w:rPr>
              <w:t>Item 1.</w:t>
            </w:r>
          </w:p>
        </w:tc>
        <w:tc>
          <w:tcPr>
            <w:tcW w:w="10720" w:type="dxa"/>
            <w:vAlign w:val="bottom"/>
          </w:tcPr>
          <w:p>
            <w:pPr>
              <w:ind w:left="120"/>
              <w:spacing w:after="0"/>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2">
              <w:r>
                <w:rPr>
                  <w:rFonts w:ascii="Arial" w:cs="Arial" w:eastAsia="Arial" w:hAnsi="Arial"/>
                  <w:sz w:val="14"/>
                  <w:szCs w:val="14"/>
                  <w:color w:val="0000EE"/>
                  <w:w w:val="76"/>
                </w:rPr>
                <w:t>42</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1122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11220" w:type="dxa"/>
            <w:vAlign w:val="bottom"/>
            <w:gridSpan w:val="2"/>
          </w:tcPr>
          <w:p>
            <w:pPr>
              <w:ind w:left="40"/>
              <w:spacing w:after="0"/>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2">
              <w:r>
                <w:rPr>
                  <w:rFonts w:ascii="Arial" w:cs="Arial" w:eastAsia="Arial" w:hAnsi="Arial"/>
                  <w:sz w:val="14"/>
                  <w:szCs w:val="14"/>
                  <w:color w:val="0000EE"/>
                  <w:w w:val="76"/>
                </w:rPr>
                <w:t>42</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500" w:type="dxa"/>
            <w:vAlign w:val="bottom"/>
            <w:shd w:val="clear" w:color="auto" w:fill="CCEEFF"/>
          </w:tcPr>
          <w:p>
            <w:pPr>
              <w:spacing w:after="0"/>
              <w:rPr>
                <w:sz w:val="24"/>
                <w:szCs w:val="24"/>
                <w:color w:val="auto"/>
              </w:rPr>
            </w:pPr>
          </w:p>
        </w:tc>
        <w:tc>
          <w:tcPr>
            <w:tcW w:w="10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500" w:type="dxa"/>
            <w:vAlign w:val="bottom"/>
          </w:tcPr>
          <w:p>
            <w:pPr>
              <w:ind w:left="40"/>
              <w:spacing w:after="0"/>
              <w:rPr>
                <w:sz w:val="20"/>
                <w:szCs w:val="20"/>
                <w:color w:val="auto"/>
              </w:rPr>
            </w:pPr>
            <w:r>
              <w:rPr>
                <w:rFonts w:ascii="Arial" w:cs="Arial" w:eastAsia="Arial" w:hAnsi="Arial"/>
                <w:sz w:val="14"/>
                <w:szCs w:val="14"/>
                <w:color w:val="auto"/>
              </w:rPr>
              <w:t>Item 6.</w:t>
            </w:r>
          </w:p>
        </w:tc>
        <w:tc>
          <w:tcPr>
            <w:tcW w:w="10720" w:type="dxa"/>
            <w:vAlign w:val="bottom"/>
          </w:tcPr>
          <w:p>
            <w:pPr>
              <w:ind w:left="120"/>
              <w:spacing w:after="0"/>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43</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500" w:type="dxa"/>
            <w:vAlign w:val="bottom"/>
            <w:shd w:val="clear" w:color="auto" w:fill="CCEEFF"/>
          </w:tcPr>
          <w:p>
            <w:pPr>
              <w:spacing w:after="0"/>
              <w:rPr>
                <w:sz w:val="24"/>
                <w:szCs w:val="24"/>
                <w:color w:val="auto"/>
              </w:rPr>
            </w:pPr>
          </w:p>
        </w:tc>
        <w:tc>
          <w:tcPr>
            <w:tcW w:w="10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10720" w:type="dxa"/>
            <w:vAlign w:val="bottom"/>
          </w:tcPr>
          <w:p>
            <w:pPr>
              <w:ind w:left="320"/>
              <w:spacing w:after="0"/>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43</w:t>
              </w:r>
            </w:hyperlink>
          </w:p>
        </w:tc>
        <w:tc>
          <w:tcPr>
            <w:tcW w:w="40" w:type="dxa"/>
            <w:vAlign w:val="bottom"/>
          </w:tcPr>
          <w:p>
            <w:pPr>
              <w:spacing w:after="0"/>
              <w:rPr>
                <w:sz w:val="14"/>
                <w:szCs w:val="14"/>
                <w:color w:val="auto"/>
              </w:rPr>
            </w:pPr>
          </w:p>
        </w:tc>
      </w:tr>
      <w:tr>
        <w:trPr>
          <w:trHeight w:val="21"/>
        </w:trPr>
        <w:tc>
          <w:tcPr>
            <w:tcW w:w="50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1122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11220" w:type="dxa"/>
            <w:vAlign w:val="bottom"/>
            <w:gridSpan w:val="2"/>
          </w:tcPr>
          <w:p>
            <w:pPr>
              <w:ind w:left="40"/>
              <w:spacing w:after="0"/>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4">
              <w:r>
                <w:rPr>
                  <w:rFonts w:ascii="Arial" w:cs="Arial" w:eastAsia="Arial" w:hAnsi="Arial"/>
                  <w:sz w:val="14"/>
                  <w:szCs w:val="14"/>
                  <w:color w:val="0000EE"/>
                  <w:w w:val="76"/>
                </w:rPr>
                <w:t>44</w:t>
              </w:r>
            </w:hyperlink>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6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3"/>
              </w:rPr>
              <w:t>2018</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140,349</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112,243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353,147</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327,395</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13,757</w:t>
            </w:r>
          </w:p>
        </w:tc>
      </w:tr>
      <w:tr>
        <w:trPr>
          <w:trHeight w:val="264"/>
        </w:trPr>
        <w:tc>
          <w:tcPr>
            <w:tcW w:w="63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11,020</w:t>
            </w:r>
          </w:p>
        </w:tc>
      </w:tr>
      <w:tr>
        <w:trPr>
          <w:trHeight w:val="256"/>
        </w:trPr>
        <w:tc>
          <w:tcPr>
            <w:tcW w:w="6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148,163</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120,491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378,866</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352,172</w:t>
            </w:r>
          </w:p>
        </w:tc>
      </w:tr>
      <w:tr>
        <w:trPr>
          <w:trHeight w:val="258"/>
        </w:trPr>
        <w:tc>
          <w:tcPr>
            <w:tcW w:w="63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243,945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225,046</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5,072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16,579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15,281</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9,056</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14,334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42,960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55,189</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92,974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99,502</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28,661</w:t>
            </w:r>
          </w:p>
        </w:tc>
      </w:tr>
      <w:tr>
        <w:trPr>
          <w:trHeight w:val="270"/>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r>
      <w:tr>
        <w:trPr>
          <w:trHeight w:val="250"/>
        </w:trPr>
        <w:tc>
          <w:tcPr>
            <w:tcW w:w="6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145,287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133,386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405,939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433,083</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(80,911)</w:t>
            </w: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(7,315)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(19,329)</w:t>
            </w:r>
          </w:p>
        </w:tc>
      </w:tr>
      <w:tr>
        <w:trPr>
          <w:trHeight w:val="264"/>
        </w:trPr>
        <w:tc>
          <w:tcPr>
            <w:tcW w:w="63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7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r>
      <w:tr>
        <w:trPr>
          <w:trHeight w:val="264"/>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2,923</w:t>
            </w:r>
          </w:p>
        </w:tc>
      </w:tr>
      <w:tr>
        <w:trPr>
          <w:trHeight w:val="25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(97,973)</w:t>
            </w:r>
          </w:p>
        </w:tc>
      </w:tr>
      <w:tr>
        <w:trPr>
          <w:trHeight w:val="264"/>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6,629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13,963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29,386</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(68,587)</w:t>
            </w:r>
          </w:p>
        </w:tc>
      </w:tr>
      <w:tr>
        <w:trPr>
          <w:trHeight w:val="264"/>
        </w:trPr>
        <w:tc>
          <w:tcPr>
            <w:tcW w:w="63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(68,928)</w:t>
            </w:r>
          </w:p>
        </w:tc>
      </w:tr>
      <w:tr>
        <w:trPr>
          <w:trHeight w:val="264"/>
        </w:trPr>
        <w:tc>
          <w:tcPr>
            <w:tcW w:w="63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49,100</w:t>
            </w: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(118,028)</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6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6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Per Share Data (see Note 9)</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income (loss) per share attributable to Civeo Corporation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 (loss) per share attributable to Civeo Corporation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167,640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165,855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166,842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154,411</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167,642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165,855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166,842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154,411</w:t>
            </w:r>
          </w:p>
        </w:tc>
      </w:tr>
    </w:tbl>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380" w:top="364"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380" w:top="364" w:right="379" w:bottom="1440"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264"/>
        </w:trPr>
        <w:tc>
          <w:tcPr>
            <w:tcW w:w="6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89"/>
              </w:rPr>
              <w:t>2018</w:t>
            </w:r>
          </w:p>
        </w:tc>
      </w:tr>
      <w:tr>
        <w:trPr>
          <w:trHeight w:val="29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4"/>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(26,832)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(68,587)</w:t>
            </w:r>
          </w:p>
        </w:tc>
      </w:tr>
      <w:tr>
        <w:trPr>
          <w:trHeight w:val="29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adjustment, net of taxes of zero</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(12,096)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(25,598)</w:t>
            </w:r>
          </w:p>
        </w:tc>
      </w:tr>
      <w:tr>
        <w:trPr>
          <w:trHeight w:val="25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loss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(12,096)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(25,598)</w:t>
            </w:r>
          </w:p>
        </w:tc>
      </w:tr>
      <w:tr>
        <w:trPr>
          <w:trHeight w:val="29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(7,040)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(94,185)</w:t>
            </w:r>
          </w:p>
        </w:tc>
      </w:tr>
      <w:tr>
        <w:trPr>
          <w:trHeight w:val="264"/>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Civeo Corporation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(94,527)</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364" w:right="41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excluding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December 31, 2018</w:t>
            </w:r>
          </w:p>
        </w:tc>
      </w:tr>
      <w:tr>
        <w:trPr>
          <w:trHeight w:val="264"/>
        </w:trPr>
        <w:tc>
          <w:tcPr>
            <w:tcW w:w="2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20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760" w:type="dxa"/>
            <w:vAlign w:val="bottom"/>
            <w:shd w:val="clear" w:color="auto" w:fill="CCEEFF"/>
          </w:tcPr>
          <w:p>
            <w:pPr>
              <w:jc w:val="center"/>
              <w:ind w:right="3008"/>
              <w:spacing w:after="0"/>
              <w:rPr>
                <w:sz w:val="20"/>
                <w:szCs w:val="20"/>
                <w:color w:val="auto"/>
              </w:rPr>
            </w:pPr>
            <w:r>
              <w:rPr>
                <w:rFonts w:ascii="Arial" w:cs="Arial" w:eastAsia="Arial" w:hAnsi="Arial"/>
                <w:sz w:val="14"/>
                <w:szCs w:val="14"/>
                <w:color w:val="auto"/>
                <w:w w:val="94"/>
              </w:rPr>
              <w:t>ASSETS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0"/>
        </w:trPr>
        <w:tc>
          <w:tcPr>
            <w:tcW w:w="2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8,072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12,372</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106,792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70,223</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6,823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4,313</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7,036</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5,898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3,556</w:t>
            </w:r>
          </w:p>
        </w:tc>
      </w:tr>
      <w:tr>
        <w:trPr>
          <w:trHeight w:val="270"/>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8,132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10,297</w:t>
            </w:r>
          </w:p>
        </w:tc>
      </w:tr>
      <w:tr>
        <w:trPr>
          <w:trHeight w:val="250"/>
        </w:trPr>
        <w:tc>
          <w:tcPr>
            <w:tcW w:w="7860" w:type="dxa"/>
            <w:vAlign w:val="bottom"/>
            <w:gridSpan w:val="3"/>
          </w:tcPr>
          <w:p>
            <w:pPr>
              <w:ind w:left="38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144,195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107,797</w:t>
            </w: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599,950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658,905</w:t>
            </w:r>
          </w:p>
        </w:tc>
      </w:tr>
      <w:tr>
        <w:trPr>
          <w:trHeight w:val="276"/>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128,077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114,207</w:t>
            </w: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Other intangible assets, net</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111,888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119,409</w:t>
            </w:r>
          </w:p>
        </w:tc>
      </w:tr>
      <w:tr>
        <w:trPr>
          <w:trHeight w:val="276"/>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8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1,359</w:t>
            </w:r>
          </w:p>
        </w:tc>
      </w:tr>
      <w:tr>
        <w:trPr>
          <w:trHeight w:val="243"/>
        </w:trPr>
        <w:tc>
          <w:tcPr>
            <w:tcW w:w="7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1,010,823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1,001,677</w:t>
            </w:r>
          </w:p>
        </w:tc>
      </w:tr>
      <w:tr>
        <w:trPr>
          <w:trHeight w:val="20"/>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2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70"/>
        </w:trPr>
        <w:tc>
          <w:tcPr>
            <w:tcW w:w="208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jc w:val="center"/>
              <w:ind w:right="1988"/>
              <w:spacing w:after="0"/>
              <w:rPr>
                <w:sz w:val="20"/>
                <w:szCs w:val="20"/>
                <w:color w:val="auto"/>
              </w:rPr>
            </w:pPr>
            <w:r>
              <w:rPr>
                <w:rFonts w:ascii="Arial" w:cs="Arial" w:eastAsia="Arial" w:hAnsi="Arial"/>
                <w:sz w:val="14"/>
                <w:szCs w:val="14"/>
                <w:color w:val="auto"/>
              </w:rPr>
              <w:t>LIABILITIES AND SHAREHOLDERS’ EQUITY</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6"/>
        </w:trPr>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35,266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28,334</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15,956</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310</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33,329</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3,035</w:t>
            </w:r>
          </w:p>
        </w:tc>
      </w:tr>
      <w:tr>
        <w:trPr>
          <w:trHeight w:val="270"/>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9,098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5,719</w:t>
            </w:r>
          </w:p>
        </w:tc>
      </w:tr>
      <w:tr>
        <w:trPr>
          <w:trHeight w:val="250"/>
        </w:trPr>
        <w:tc>
          <w:tcPr>
            <w:tcW w:w="7860" w:type="dxa"/>
            <w:vAlign w:val="bottom"/>
            <w:gridSpan w:val="3"/>
          </w:tcPr>
          <w:p>
            <w:pPr>
              <w:ind w:left="38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103,443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86,683</w:t>
            </w: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Long-term debt, less current maturities</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356,704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342,908</w:t>
            </w:r>
          </w:p>
        </w:tc>
      </w:tr>
      <w:tr>
        <w:trPr>
          <w:trHeight w:val="276"/>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18,442</w:t>
            </w: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Operating lease liabilities</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20,992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18,081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18,220</w:t>
            </w:r>
          </w:p>
        </w:tc>
      </w:tr>
      <w:tr>
        <w:trPr>
          <w:trHeight w:val="250"/>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505,305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466,253</w:t>
            </w: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 (Note 12)</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63"/>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3"/>
              </w:rPr>
              <w:t>Preferred shares (Class A Series 1, no par value; 50,000,000 shares authorized, 9,042 shares issued and outstanding, respectively;</w:t>
            </w: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74"/>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aggregate liquidation preference</w:t>
            </w: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of $93,161,584 as</w:t>
            </w:r>
          </w:p>
        </w:tc>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 September 30, 2019)</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57,664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56,280</w:t>
            </w:r>
          </w:p>
        </w:tc>
      </w:tr>
      <w:tr>
        <w:trPr>
          <w:trHeight w:val="157"/>
        </w:trPr>
        <w:tc>
          <w:tcPr>
            <w:tcW w:w="7860" w:type="dxa"/>
            <w:vAlign w:val="bottom"/>
            <w:gridSpan w:val="3"/>
          </w:tcPr>
          <w:p>
            <w:pPr>
              <w:ind w:left="180"/>
              <w:spacing w:after="0" w:line="157" w:lineRule="exact"/>
              <w:rPr>
                <w:sz w:val="20"/>
                <w:szCs w:val="20"/>
                <w:color w:val="auto"/>
              </w:rPr>
            </w:pPr>
            <w:r>
              <w:rPr>
                <w:rFonts w:ascii="Arial" w:cs="Arial" w:eastAsia="Arial" w:hAnsi="Arial"/>
                <w:sz w:val="14"/>
                <w:szCs w:val="14"/>
                <w:color w:val="auto"/>
                <w:w w:val="91"/>
              </w:rPr>
              <w:t>Common shares (no par value; 550,000,000 shares authorized, 171,648,771 shares and 166,392,479 shares issued, respectively, and</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169,549,135 shares and 165,932,334 shares outstanding, respectively)</w:t>
            </w:r>
          </w:p>
        </w:tc>
        <w:tc>
          <w:tcPr>
            <w:tcW w:w="18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1,569,734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1,562,133</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(739,526)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(710,551)</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shares held in treasury at cost, 2,099,636 and 460,145 shares, respectively</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r>
      <w:tr>
        <w:trPr>
          <w:trHeight w:val="264"/>
        </w:trPr>
        <w:tc>
          <w:tcPr>
            <w:tcW w:w="7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(376,882)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(371,249)</w:t>
            </w:r>
          </w:p>
        </w:tc>
      </w:tr>
      <w:tr>
        <w:trPr>
          <w:trHeight w:val="250"/>
        </w:trPr>
        <w:tc>
          <w:tcPr>
            <w:tcW w:w="78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Total Civeo Corporation shareholders’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505,518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535,424</w:t>
            </w:r>
          </w:p>
        </w:tc>
      </w:tr>
      <w:tr>
        <w:trPr>
          <w:trHeight w:val="250"/>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786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505,518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535,424</w:t>
            </w:r>
          </w:p>
        </w:tc>
      </w:tr>
      <w:tr>
        <w:trPr>
          <w:trHeight w:val="243"/>
        </w:trPr>
        <w:tc>
          <w:tcPr>
            <w:tcW w:w="7860" w:type="dxa"/>
            <w:vAlign w:val="bottom"/>
            <w:gridSpan w:val="3"/>
          </w:tcPr>
          <w:p>
            <w:pPr>
              <w:ind w:left="38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1,010,823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1,001,677</w:t>
            </w:r>
          </w:p>
        </w:tc>
      </w:tr>
      <w:tr>
        <w:trPr>
          <w:trHeight w:val="20"/>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364" w:right="259" w:bottom="55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364" w:right="259" w:bottom="557" w:gutter="0" w:footer="0" w:header="0"/>
          <w:type w:val="continuous"/>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Attributable to Civeo</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8"/>
              <w:spacing w:after="0" w:line="144" w:lineRule="exact"/>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3"/>
                <w:szCs w:val="13"/>
                <w:b w:val="1"/>
                <w:bCs w:val="1"/>
                <w:color w:val="auto"/>
                <w:w w:val="91"/>
              </w:rPr>
              <w:t>Par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55,305</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1,555,994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(682,497)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(352,466)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575,465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(13,541)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for acquisitions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2,791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2,791</w:t>
            </w: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55,791</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1,558,901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(696,747)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(353,812)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563,241</w:t>
            </w:r>
          </w:p>
        </w:tc>
      </w:tr>
      <w:tr>
        <w:trPr>
          <w:trHeight w:val="156"/>
        </w:trPr>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57,200</w:t>
            </w:r>
          </w:p>
        </w:tc>
        <w:tc>
          <w:tcPr>
            <w:tcW w:w="12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1,567,162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(744,058)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(364,786)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510,046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5,056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(12,096)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2,572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2,572</w:t>
            </w: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57,664</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1,569,734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(739,526)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(376,882)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505,518</w:t>
            </w:r>
          </w:p>
        </w:tc>
      </w:tr>
      <w:tr>
        <w:trPr>
          <w:trHeight w:val="156"/>
        </w:trPr>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1,383,934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(579,113)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(328,213)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117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476,367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(25,598)</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8"/>
              </w:rPr>
              <w:t>Cumulative effect of implementation of ASU</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2014-09</w:t>
            </w:r>
          </w:p>
        </w:tc>
        <w:tc>
          <w:tcPr>
            <w:tcW w:w="160" w:type="dxa"/>
            <w:vAlign w:val="bottom"/>
          </w:tcPr>
          <w:p>
            <w:pPr>
              <w:spacing w:after="0"/>
              <w:rPr>
                <w:sz w:val="16"/>
                <w:szCs w:val="16"/>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394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for acquisitions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166,882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173,854</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48,819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7,804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7,172</w:t>
            </w: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55,791</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1,558,901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(696,747)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(353,812)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563,241</w:t>
            </w:r>
          </w:p>
        </w:tc>
      </w:tr>
      <w:tr>
        <w:trPr>
          <w:trHeight w:val="156"/>
        </w:trPr>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56,280</w:t>
            </w:r>
          </w:p>
        </w:tc>
        <w:tc>
          <w:tcPr>
            <w:tcW w:w="12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1,562,133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(710,551)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(1,189)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(371,249)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535,424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(5,633)</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8"/>
              </w:rPr>
              <w:t>Cumulative effect of implementation of ASU</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2016-02</w:t>
            </w:r>
          </w:p>
        </w:tc>
        <w:tc>
          <w:tcPr>
            <w:tcW w:w="160" w:type="dxa"/>
            <w:vAlign w:val="bottom"/>
          </w:tcPr>
          <w:p>
            <w:pPr>
              <w:spacing w:after="0"/>
              <w:rPr>
                <w:sz w:val="16"/>
                <w:szCs w:val="16"/>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attributable to Class A preferred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3,318</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57,664</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1,569,734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(739,526)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(376,882)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505,518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2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left="9"/>
              <w:spacing w:after="0" w:line="149" w:lineRule="exact"/>
              <w:rPr>
                <w:sz w:val="20"/>
                <w:szCs w:val="20"/>
                <w:color w:val="auto"/>
              </w:rPr>
            </w:pPr>
            <w:r>
              <w:rPr>
                <w:rFonts w:ascii="Arial" w:cs="Arial" w:eastAsia="Arial" w:hAnsi="Arial"/>
                <w:sz w:val="14"/>
                <w:szCs w:val="14"/>
                <w:b w:val="1"/>
                <w:bCs w:val="1"/>
                <w:color w:val="auto"/>
                <w:w w:val="91"/>
              </w:rPr>
              <w:t>Shares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Shares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Borders>
              <w:bottom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ind w:left="500"/>
              <w:spacing w:after="0"/>
              <w:rPr>
                <w:sz w:val="20"/>
                <w:szCs w:val="20"/>
                <w:color w:val="auto"/>
              </w:rPr>
            </w:pPr>
            <w:r>
              <w:rPr>
                <w:rFonts w:ascii="Arial" w:cs="Arial" w:eastAsia="Arial" w:hAnsi="Arial"/>
                <w:sz w:val="14"/>
                <w:szCs w:val="14"/>
                <w:b w:val="1"/>
                <w:bCs w:val="1"/>
                <w:color w:val="auto"/>
                <w:w w:val="98"/>
              </w:rPr>
              <w:t>165,932</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Stock-based compensation</w:t>
            </w:r>
          </w:p>
        </w:tc>
        <w:tc>
          <w:tcPr>
            <w:tcW w:w="1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3,617</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ind w:left="500"/>
              <w:spacing w:after="0"/>
              <w:rPr>
                <w:sz w:val="20"/>
                <w:szCs w:val="20"/>
                <w:color w:val="auto"/>
              </w:rPr>
            </w:pPr>
            <w:r>
              <w:rPr>
                <w:rFonts w:ascii="Arial" w:cs="Arial" w:eastAsia="Arial" w:hAnsi="Arial"/>
                <w:sz w:val="14"/>
                <w:szCs w:val="14"/>
                <w:b w:val="1"/>
                <w:bCs w:val="1"/>
                <w:color w:val="auto"/>
                <w:w w:val="98"/>
              </w:rPr>
              <w:t>169,549</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364"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364" w:right="259" w:bottom="1440" w:gutter="0" w:footer="0" w:header="0"/>
          <w:type w:val="continuous"/>
        </w:sectPr>
      </w:pPr>
    </w:p>
    <w:bookmarkStart w:id="6" w:name="page7"/>
    <w:bookmarkEnd w:id="6"/>
    <w:p>
      <w:pPr>
        <w:jc w:val="center"/>
        <w:ind w:right="-4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13335</wp:posOffset>
            </wp:positionV>
            <wp:extent cx="1903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(26,832)</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(68,587)</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92,974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99,502</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charges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748</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 benefit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(29,272)</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7,601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7,804</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on disposals of assets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Provision for loss on receivables, net of recoveries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3,959</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1,342</w:t>
            </w: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(10,787)</w:t>
            </w: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Taxes payable</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939</w:t>
            </w:r>
          </w:p>
        </w:tc>
      </w:tr>
      <w:tr>
        <w:trPr>
          <w:trHeight w:val="270"/>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and noncurrent assets and liabilities,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(5,716)</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cash flows provided by operating activities</w:t>
            </w: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33,526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25,862</w:t>
            </w:r>
          </w:p>
        </w:tc>
      </w:tr>
      <w:tr>
        <w:trPr>
          <w:trHeight w:val="168"/>
        </w:trPr>
        <w:tc>
          <w:tcPr>
            <w:tcW w:w="8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Payments related to acquisitions, net of cash acquired</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(181,589)</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disposition of property, plant and equipment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4,038</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r>
      <w:tr>
        <w:trPr>
          <w:trHeight w:val="25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flows used in investing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(186,106)</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Revolving credit borrowings</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340,494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289,450</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repayments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(134,040)</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(26,085)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(18,177)</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r>
      <w:tr>
        <w:trPr>
          <w:trHeight w:val="25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flows provided by (used in) financing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133,859</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4"/>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(28,107)</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32,647</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4,540</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8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Value of common shares issued as consideration for acquisitions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119,797</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Value of preferred shares issued as consideration for acquisition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54,821</w:t>
            </w:r>
          </w:p>
        </w:tc>
      </w:tr>
      <w:tr>
        <w:trPr>
          <w:trHeight w:val="270"/>
        </w:trPr>
        <w:tc>
          <w:tcPr>
            <w:tcW w:w="8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8"/>
        </w:trPr>
        <w:tc>
          <w:tcPr>
            <w:tcW w:w="8160" w:type="dxa"/>
            <w:vAlign w:val="bottom"/>
          </w:tcPr>
          <w:p>
            <w:pPr>
              <w:ind w:left="180"/>
              <w:spacing w:after="0"/>
              <w:rPr>
                <w:sz w:val="20"/>
                <w:szCs w:val="20"/>
                <w:color w:val="auto"/>
              </w:rPr>
            </w:pPr>
            <w:r>
              <w:rPr>
                <w:rFonts w:ascii="Arial" w:cs="Arial" w:eastAsia="Arial" w:hAnsi="Arial"/>
                <w:sz w:val="14"/>
                <w:szCs w:val="14"/>
                <w:color w:val="auto"/>
              </w:rPr>
              <w:t>Preferred dividends paid-in-kind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971</w:t>
            </w:r>
          </w:p>
        </w:tc>
      </w:tr>
    </w:tbl>
    <w:p>
      <w:pPr>
        <w:spacing w:after="0" w:line="10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240" w:top="364" w:right="519" w:bottom="104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40"/>
          </w:cols>
          <w:pgMar w:left="240" w:top="364" w:right="519" w:bottom="1043"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 We operate in three principal reportable business segments – Canada, Australia and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right="20" w:firstLine="459"/>
        <w:spacing w:after="0" w:line="291"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consolidated statements of operations for the three and nine months ended September 30, 2018 to conform to current year presentation.</w:t>
      </w:r>
    </w:p>
    <w:p>
      <w:pPr>
        <w:spacing w:after="0" w:line="167" w:lineRule="exact"/>
        <w:rPr>
          <w:sz w:val="20"/>
          <w:szCs w:val="20"/>
          <w:color w:val="auto"/>
        </w:rPr>
      </w:pPr>
    </w:p>
    <w:p>
      <w:pPr>
        <w:ind w:right="500" w:firstLine="45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2018.</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color w:val="auto"/>
        </w:rPr>
        <w:t>In January 2017, the FASB issued Accounting Standards Update (ASU) 2017-04, "Intangibles-Goodwill and Other (Topic 350): Simplifying the Test for Goodwill Impairment." The standard simplifies the accounting for goodwill impairment by requiring a goodwill impairment to be measured using a single step impairment model, whereby the impairment equals the difference between the carrying amount and the fair value of the specified reporting units in their entirety. This eliminates the second step of the current impairment model that requires companies to first estimate the fair value of all assets in a reporting unit and measure impairments based on those fair values and a residual measurement approach. It also specifies that any loss recognized should not exceed the total amount of goodwill allocated to that reporting unit. ASU 2017-04 is effective prospectively for public business entities for annual reporting periods beginning after December 15, 2019, and early adoption 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permitted. We will adopt this new standard no later than January 1, 2020. The impact of the new standard will be dependent on the specific facts and circumstances of future individual goodwill impairments, if any.</w:t>
      </w:r>
    </w:p>
    <w:p>
      <w:pPr>
        <w:spacing w:after="0" w:line="170"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anticipate adopting ASU 2016-13 as of January 1, 2020. We are currently evaluating the impact of this new standard but do not expect the adoption of this guidance to have a material impact on our consolidated financial statements.</w:t>
      </w:r>
    </w:p>
    <w:p>
      <w:pPr>
        <w:spacing w:after="0" w:line="188" w:lineRule="exact"/>
        <w:rPr>
          <w:sz w:val="20"/>
          <w:szCs w:val="20"/>
          <w:color w:val="auto"/>
        </w:rPr>
      </w:pPr>
    </w:p>
    <w:p>
      <w:pPr>
        <w:ind w:right="20" w:firstLine="459"/>
        <w:spacing w:after="0" w:line="285" w:lineRule="auto"/>
        <w:rPr>
          <w:sz w:val="20"/>
          <w:szCs w:val="20"/>
          <w:color w:val="auto"/>
        </w:rPr>
      </w:pPr>
      <w:r>
        <w:rPr>
          <w:rFonts w:ascii="Arial" w:cs="Arial" w:eastAsia="Arial" w:hAnsi="Arial"/>
          <w:sz w:val="16"/>
          <w:szCs w:val="16"/>
          <w:color w:val="auto"/>
        </w:rPr>
        <w:t>In February 2016, the FASB issued ASU 2016-02, “Leases” (Topic 842), which replaces the existing guidance for lease accounting. The guidance is effective for financial statements issued for reporting periods beginning after December 15, 2018 and interim periods within the reporting periods. We have adopted this standard effective January 1, 2019 using the optional transition method, which allows us upon adoption to recognize a cumulative-effect adjustment to the opening balance of accumulated deficit for the application of the standard to our existing leases. Upon adoption of this standard, we recognized a cumulative effect adjustment of $0.7 million (net of $0.2 million of taxes) to increase accumulated deficit in the accompanying unaudited consolidated balance sheet as of September 30, 2019. ASU 2016-02 requires lessees to recognize a lease liability and a right-of-use asset for certain leases. We elected the package of practical expedients, which among other things, allowed us to carry forward the historical lease identification and classification. In addition, we have elected the short-term lease recognition exemption for all leases that qualify. Accordingly, we did not recognize right-of-use assets or lease liabilities for leases with terms shorter than 12 months. Our evaluation process included reviewing all forms of leases, performing a completeness assessment over the lease population and analyzing the available practical expedients in order to determine the best implementation strategy. We determined that certain of our accommodation contracts with customers contain both a lease and non-lease or service component and in those instances concluded the service component was the predominant component. As a result, we elected the practical expedient under ASU 2018-11, which allows us to combine the lease and non-lease components of revenues as Service and other revenues for presentation purposes in accordance with Accounting Standards Codification (ASC) Topic 606, “Revenue from Contracts with Customers” (ASC 606). We also have identified certain arrangements with customers whereby we are a lessor for the rental of mobile camp assets primarily in our U.S. segment. For arrangements where we are the lessor, the adoption of the new lease standard did not have a material impact on our financial statements as all of our leases are operating leases, which will result in straight-line recognition of rental revenue. Adoption of the new standard resulted in $21.3 million of operating lease right-of-use assets and $22.4 million of operating lease liabilities as of January 1, 2019. Please see Note 14 – Leases for further information.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U.S., and major categories for the periods indicated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Canada</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79,939</w:t>
            </w:r>
          </w:p>
        </w:tc>
        <w:tc>
          <w:tcPr>
            <w:tcW w:w="12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72,991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203,774</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204,258</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facility rental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8,084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11,082</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revenues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Canada revenues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91,071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76,753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235,943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226,661</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2"/>
        </w:trPr>
        <w:tc>
          <w:tcPr>
            <w:tcW w:w="5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Australia</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88,343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14,687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1,199</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Australia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47,743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107,160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89,542</w:t>
            </w:r>
          </w:p>
        </w:tc>
      </w:t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1,655</w:t>
            </w:r>
          </w:p>
        </w:tc>
        <w:tc>
          <w:tcPr>
            <w:tcW w:w="12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5,010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11,354</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13,353</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facility rental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Manufacturing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8,123</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United States revenues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9,349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35,763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35,969</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2"/>
        </w:trPr>
        <w:tc>
          <w:tcPr>
            <w:tcW w:w="56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148,163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120,491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378,866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352,172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459"/>
        <w:spacing w:after="0" w:line="277" w:lineRule="auto"/>
        <w:rPr>
          <w:sz w:val="20"/>
          <w:szCs w:val="20"/>
          <w:color w:val="auto"/>
        </w:rPr>
      </w:pPr>
      <w:r>
        <w:rPr>
          <w:rFonts w:ascii="Arial" w:cs="Arial" w:eastAsia="Arial" w:hAnsi="Arial"/>
          <w:sz w:val="18"/>
          <w:szCs w:val="18"/>
          <w:color w:val="auto"/>
        </w:rPr>
        <w:t>As of September 30, 2019, for contracts that are greater than one year, the table below discloses the estimated revenues related to performance obligations that are unsatisfied (or partially unsatisfied) and when we expect to recognize the revenue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620"/>
              <w:spacing w:after="0"/>
              <w:rPr>
                <w:sz w:val="20"/>
                <w:szCs w:val="20"/>
                <w:color w:val="auto"/>
              </w:rPr>
            </w:pPr>
            <w:r>
              <w:rPr>
                <w:rFonts w:ascii="Arial" w:cs="Arial" w:eastAsia="Arial" w:hAnsi="Arial"/>
                <w:sz w:val="16"/>
                <w:szCs w:val="16"/>
                <w:b w:val="1"/>
                <w:bCs w:val="1"/>
                <w:color w:val="auto"/>
              </w:rPr>
              <w:t>For the years ending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Revenue expected to be recognized as of September 30, 2019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124,378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242,274</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As of September 30, 2019 and December 31, 2018,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100" w:firstLine="459"/>
        <w:spacing w:after="0" w:line="297" w:lineRule="auto"/>
        <w:rPr>
          <w:sz w:val="20"/>
          <w:szCs w:val="20"/>
          <w:color w:val="auto"/>
        </w:rPr>
      </w:pPr>
      <w:r>
        <w:rPr>
          <w:rFonts w:ascii="Arial" w:cs="Arial" w:eastAsia="Arial" w:hAnsi="Arial"/>
          <w:sz w:val="16"/>
          <w:szCs w:val="16"/>
          <w:color w:val="auto"/>
        </w:rPr>
        <w:t>During the second quarter of 2019 and the first quarter of 2018,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Please see Note 6 – Impairment Charges and Asset Retirement Obligations for further information.</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During the third quarter of 2019 and the first and second quarter of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15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selected balance sheet accounts at September 30, 2019 and December 31, 2018 is presented below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Trade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70,093</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48,875</w:t>
            </w:r>
          </w:p>
        </w:tc>
      </w:tr>
      <w:tr>
        <w:trPr>
          <w:trHeight w:val="33"/>
        </w:trPr>
        <w:tc>
          <w:tcPr>
            <w:tcW w:w="7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Other</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33"/>
        </w:trPr>
        <w:tc>
          <w:tcPr>
            <w:tcW w:w="7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accounts receivable</w:t>
            </w: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107,027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70,599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33"/>
        </w:trPr>
        <w:tc>
          <w:tcPr>
            <w:tcW w:w="7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receivable, net</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106,792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70,223</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3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Finished goods and purchased products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2,461</w:t>
            </w:r>
          </w:p>
        </w:tc>
      </w:tr>
      <w:tr>
        <w:trPr>
          <w:trHeight w:val="33"/>
        </w:trPr>
        <w:tc>
          <w:tcPr>
            <w:tcW w:w="7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 in process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907</w:t>
            </w:r>
          </w:p>
        </w:tc>
      </w:tr>
      <w:tr>
        <w:trPr>
          <w:trHeight w:val="33"/>
        </w:trPr>
        <w:tc>
          <w:tcPr>
            <w:tcW w:w="73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4,313</w:t>
            </w: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Estimated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Useful Life</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42,054</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46,805</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Accommodations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1,638,800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1,650,758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25,850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25,168</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56,055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54,459</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22,276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7,119</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1,811,167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1,809,591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(1,211,217)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(1,150,686)</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599,950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658,905</w:t>
            </w: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240" w:top="121" w:right="539" w:bottom="1440" w:gutter="0" w:footer="0" w:header="0"/>
        </w:sectPr>
      </w:pPr>
    </w:p>
    <w:bookmarkStart w:id="11" w:name="page12"/>
    <w:bookmarkEnd w:id="11"/>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14,385</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13,545</w:t>
            </w:r>
          </w:p>
        </w:tc>
      </w:tr>
      <w:tr>
        <w:trPr>
          <w:trHeight w:val="3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taxes, other than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2,177</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44"/>
        </w:trPr>
        <w:tc>
          <w:tcPr>
            <w:tcW w:w="7820" w:type="dxa"/>
            <w:vAlign w:val="bottom"/>
          </w:tcPr>
          <w:p>
            <w:pPr>
              <w:ind w:left="40"/>
              <w:spacing w:after="0"/>
              <w:rPr>
                <w:sz w:val="20"/>
                <w:szCs w:val="20"/>
                <w:color w:val="auto"/>
              </w:rPr>
            </w:pPr>
            <w:r>
              <w:rPr>
                <w:rFonts w:ascii="Arial" w:cs="Arial" w:eastAsia="Arial" w:hAnsi="Arial"/>
                <w:sz w:val="16"/>
                <w:szCs w:val="16"/>
                <w:color w:val="auto"/>
              </w:rPr>
              <w:t>Total accrued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19,355</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15,956</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 AND ASSET RETIREMENT OBLIGATIONS</w:t>
      </w:r>
    </w:p>
    <w:p>
      <w:pPr>
        <w:spacing w:after="0" w:line="229"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b w:val="1"/>
          <w:bCs w:val="1"/>
          <w:i w:val="1"/>
          <w:iCs w:val="1"/>
          <w:color w:val="auto"/>
        </w:rPr>
        <w:t>Quarter ended June 30, 2019</w:t>
      </w:r>
      <w:r>
        <w:rPr>
          <w:rFonts w:ascii="Arial" w:cs="Arial" w:eastAsia="Arial" w:hAnsi="Arial"/>
          <w:sz w:val="18"/>
          <w:szCs w:val="18"/>
          <w:color w:val="auto"/>
        </w:rPr>
        <w:t>. During the second quarter of 2019, we identified indicators that certain long-lived assets in Australia may be impaired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market developments, including 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an impairment expense of $4.5 million.</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during the second quarter of 2019, we identified a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89"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i w:val="1"/>
          <w:iCs w:val="1"/>
          <w:color w:val="auto"/>
        </w:rPr>
        <w:t>Quarter ended March 31, 2018</w:t>
      </w:r>
      <w:r>
        <w:rPr>
          <w:rFonts w:ascii="Arial" w:cs="Arial" w:eastAsia="Arial" w:hAnsi="Arial"/>
          <w:sz w:val="17"/>
          <w:szCs w:val="17"/>
          <w:color w:val="auto"/>
        </w:rPr>
        <w:t>. During the first quarter of 2018, we identified an indicator that certain long-lived assets used in the Canadian oil sands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17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w:t>
      </w:r>
    </w:p>
    <w:p>
      <w:pPr>
        <w:spacing w:after="0" w:line="225" w:lineRule="exact"/>
        <w:rPr>
          <w:sz w:val="20"/>
          <w:szCs w:val="20"/>
          <w:color w:val="auto"/>
        </w:rPr>
      </w:pPr>
    </w:p>
    <w:p>
      <w:pPr>
        <w:ind w:right="120" w:firstLine="459"/>
        <w:spacing w:after="0" w:line="302" w:lineRule="auto"/>
        <w:rPr>
          <w:sz w:val="20"/>
          <w:szCs w:val="20"/>
          <w:color w:val="auto"/>
        </w:rPr>
      </w:pPr>
      <w:r>
        <w:rPr>
          <w:rFonts w:ascii="Arial" w:cs="Arial" w:eastAsia="Arial" w:hAnsi="Arial"/>
          <w:sz w:val="16"/>
          <w:szCs w:val="16"/>
          <w:color w:val="auto"/>
        </w:rPr>
        <w:t>On July 1, 2019, we acquired Action Industrial Catering (Action), located in Perth, Australia. We funded the purchase price of $16.9 million in cash through a combination of cash on hand and borrowings under our revolving credit facility. The acquisition expands our business by providing an entry point into the growing integrated services opportunities in the Western Australian remote mining market. Action's operations are reported as part of our Australian reportable business segment beginning on July 1, 2019, the date of acquisition, which is included in Food service and other services revenues.</w:t>
      </w:r>
    </w:p>
    <w:p>
      <w:pPr>
        <w:spacing w:after="0" w:line="154"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This acquisition is accounted for in accordance with the acquisition method of accounting for business combinations, which requires us to record the assets acquired and the liabilities assumed at their fair values at July 1, 2019. Our estimates of the fair value for such assets and liabilities require significant assumptions and judgment. The purchase price allocation is preliminary and remains subject to adjustments, including, but not limited to, adjustments related to final working capital adjustments and the fair value of identifiable intangible assets acquired. Based on the preliminary purchase price allocation, intangible assets acquired totaled $7.8 million and consisted primarily of customer contracts and a trade name. In addition, we recognized goodwill of $8.1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Description of Transaction</w:t>
      </w:r>
      <w:r>
        <w:rPr>
          <w:rFonts w:ascii="Arial" w:cs="Arial" w:eastAsia="Arial" w:hAnsi="Arial"/>
          <w:sz w:val="17"/>
          <w:szCs w:val="17"/>
          <w:color w:val="auto"/>
        </w:rPr>
        <w:t>. On April 2, 2018, we acquired the equity of Noralta Lodge Ltd. (Noralta), located in Alberta, Canada. The total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consideration, which is subject to adjustment in accordance with the terms of the definitive agreement, included (i) C$207.7 million (or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US$161.2 million) in cash, subject to customary post-closing adjustments for working capital, indebtedness and transactions expenses, (ii) 32.8 million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and (iii) 9,679 Class A Series 1 Preferred Shares (the Preferred Shares) with an initial liquidation preference of $96.8 million and initially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convertible into 29.3 million of our common shares. As a result of the Noralta acquisition, we expanded our existing accommodations business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Canadian oil sands market. We funded the cash consideration with cash on hand and borrowings under our revolving credit facility.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first quarter of 2019, $2.1 million in cash was released to us from escrow to cover certain agreed upon indemnification claims.</w:t>
      </w:r>
    </w:p>
    <w:p>
      <w:pPr>
        <w:spacing w:after="0" w:line="225"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The Noralta acquisition was accounted for in accordance with the acquisition method of accounting for business combinations and, accordingly, the results of operations of Noralta were reported in our financial statements as part of our Canadian reportable business segment beginning on April 2, 2018, the date of acquisition.</w:t>
      </w:r>
    </w:p>
    <w:p>
      <w:pPr>
        <w:spacing w:after="0" w:line="181"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b w:val="1"/>
          <w:bCs w:val="1"/>
          <w:i w:val="1"/>
          <w:iCs w:val="1"/>
          <w:color w:val="auto"/>
        </w:rPr>
        <w:t xml:space="preserve">Purchase Price Allocation. </w:t>
      </w:r>
      <w:r>
        <w:rPr>
          <w:rFonts w:ascii="Arial" w:cs="Arial" w:eastAsia="Arial" w:hAnsi="Arial"/>
          <w:sz w:val="18"/>
          <w:szCs w:val="18"/>
          <w:color w:val="auto"/>
        </w:rPr>
        <w:t>The application of purchase accounting under ASC 805 requires that the total purchase price be allocated to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Our allocation of the purchase price, which we finalized in the first quarter of 2019, to specific assets and liabilities is based, in part, upon outside appraisals using customary valuation procedures and techniques. The following table summarizes the fair values of the assets acquired and liabilities assumed at April 2, 2018 (in thousands):</w:t>
      </w:r>
    </w:p>
    <w:p>
      <w:pPr>
        <w:spacing w:after="0" w:line="342"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receivable (1)</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21,456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4,266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123,569</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110,736</w:t>
            </w:r>
          </w:p>
        </w:tc>
      </w:tr>
      <w:tr>
        <w:trPr>
          <w:trHeight w:val="217"/>
        </w:trPr>
        <w:tc>
          <w:tcPr>
            <w:tcW w:w="9380" w:type="dxa"/>
            <w:vAlign w:val="bottom"/>
          </w:tcPr>
          <w:p>
            <w:pPr>
              <w:ind w:left="160"/>
              <w:spacing w:after="0"/>
              <w:rPr>
                <w:sz w:val="20"/>
                <w:szCs w:val="20"/>
                <w:color w:val="auto"/>
              </w:rPr>
            </w:pPr>
            <w:r>
              <w:rPr>
                <w:rFonts w:ascii="Arial" w:cs="Arial" w:eastAsia="Arial" w:hAnsi="Arial"/>
                <w:sz w:val="16"/>
                <w:szCs w:val="16"/>
                <w:color w:val="auto"/>
              </w:rPr>
              <w:t>Total assets acquired</w:t>
            </w:r>
          </w:p>
        </w:tc>
        <w:tc>
          <w:tcPr>
            <w:tcW w:w="6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390,314</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15,023</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2,027</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51,543</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5,133</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 assumed</w:t>
            </w: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74,764</w:t>
            </w:r>
          </w:p>
        </w:tc>
      </w:tr>
      <w:tr>
        <w:trPr>
          <w:trHeight w:val="244"/>
        </w:trPr>
        <w:tc>
          <w:tcPr>
            <w:tcW w:w="9380" w:type="dxa"/>
            <w:vAlign w:val="bottom"/>
          </w:tcPr>
          <w:p>
            <w:pPr>
              <w:ind w:left="38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315,550</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pacing w:after="0" w:line="225" w:lineRule="exact"/>
        <w:rPr>
          <w:sz w:val="20"/>
          <w:szCs w:val="20"/>
          <w:color w:val="auto"/>
        </w:rPr>
      </w:pPr>
    </w:p>
    <w:p>
      <w:pPr>
        <w:ind w:right="40" w:firstLine="459"/>
        <w:spacing w:after="0" w:line="259" w:lineRule="auto"/>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During the three months ended September 30, 2018, we recognized $0.5 million of costs in connection with the Noralta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included in Service and other costs ($0.2 million) and SG&amp;A expenses ($0.3 million). During the nine months ended September 30, 2018, we recognized $7.0 million of costs in connection with the Noralta acquisition that are included in Service and other costs ($0.3 million) and SG&amp;A expenses ($6.7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240" w:firstLine="459"/>
        <w:spacing w:after="0" w:line="277" w:lineRule="auto"/>
        <w:rPr>
          <w:sz w:val="20"/>
          <w:szCs w:val="20"/>
          <w:color w:val="auto"/>
        </w:rPr>
      </w:pPr>
      <w:r>
        <w:rPr>
          <w:rFonts w:ascii="Arial" w:cs="Arial" w:eastAsia="Arial" w:hAnsi="Arial"/>
          <w:sz w:val="18"/>
          <w:szCs w:val="18"/>
          <w:color w:val="auto"/>
        </w:rPr>
        <w:t>On February 28, 2018, we acquired the assets of Lakeland, L.L.C. (Lakeland), located near Lake Charles, Louisiana, for total consideration of $28.0 million, composed of $23.5 million in cash and $4.5 million of our common shares. The asset</w:t>
      </w:r>
    </w:p>
    <w:p>
      <w:pPr>
        <w:sectPr>
          <w:pgSz w:w="11900" w:h="16838" w:orient="portrait"/>
          <w:cols w:equalWidth="0" w:num="1">
            <w:col w:w="11380"/>
          </w:cols>
          <w:pgMar w:left="240" w:top="121" w:right="27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21" w:right="279" w:bottom="1440" w:gutter="0" w:footer="0" w:header="0"/>
          <w:type w:val="continuous"/>
        </w:sectPr>
      </w:pPr>
    </w:p>
    <w:bookmarkStart w:id="13" w:name="page14"/>
    <w:bookmarkEnd w:id="13"/>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purchase agreement also includes potential future earn-out payments through December 2020 of up to 1.2 million Civeo common shares, based upon satisfaction of certain future revenue targets. The acquisition included a 400 room lodge, 40 acres of land and related assets. We funded the cash consideration with cash on hand. Lakeland’s operations are reported as a new lodge location, Acadian Acres, in our U.S. reportable business segment.</w:t>
      </w:r>
    </w:p>
    <w:p>
      <w:pPr>
        <w:spacing w:after="0" w:line="166" w:lineRule="exact"/>
        <w:rPr>
          <w:sz w:val="20"/>
          <w:szCs w:val="20"/>
          <w:color w:val="auto"/>
        </w:rPr>
      </w:pPr>
    </w:p>
    <w:p>
      <w:pPr>
        <w:ind w:right="120" w:firstLine="459"/>
        <w:spacing w:after="0" w:line="257" w:lineRule="auto"/>
        <w:rPr>
          <w:sz w:val="20"/>
          <w:szCs w:val="20"/>
          <w:color w:val="auto"/>
        </w:rPr>
      </w:pPr>
      <w:r>
        <w:rPr>
          <w:rFonts w:ascii="Arial" w:cs="Arial" w:eastAsia="Arial" w:hAnsi="Arial"/>
          <w:sz w:val="18"/>
          <w:szCs w:val="18"/>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18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120" w:firstLine="459"/>
        <w:spacing w:after="0" w:line="312" w:lineRule="auto"/>
        <w:rPr>
          <w:sz w:val="20"/>
          <w:szCs w:val="20"/>
          <w:color w:val="auto"/>
        </w:rPr>
      </w:pPr>
      <w:r>
        <w:rPr>
          <w:rFonts w:ascii="Arial" w:cs="Arial" w:eastAsia="Arial" w:hAnsi="Arial"/>
          <w:sz w:val="16"/>
          <w:szCs w:val="16"/>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The facility is part of our Canadian reportable business segment.</w:t>
      </w:r>
    </w:p>
    <w:p>
      <w:pPr>
        <w:spacing w:after="0" w:line="147" w:lineRule="exact"/>
        <w:rPr>
          <w:sz w:val="20"/>
          <w:szCs w:val="20"/>
          <w:color w:val="auto"/>
        </w:rPr>
      </w:pPr>
    </w:p>
    <w:p>
      <w:pPr>
        <w:ind w:right="180" w:firstLine="459"/>
        <w:spacing w:after="0" w:line="264"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During the first quarter of 2019, we received $4.0 million in proceeds from the sale of four different land positions. The remaining assets are recorded at the estimated fair value (less costs to sell) of approximately $1.7 million.</w:t>
      </w:r>
    </w:p>
    <w:p>
      <w:pPr>
        <w:spacing w:after="0" w:line="181" w:lineRule="exact"/>
        <w:rPr>
          <w:sz w:val="20"/>
          <w:szCs w:val="20"/>
          <w:color w:val="auto"/>
        </w:rPr>
      </w:pPr>
    </w:p>
    <w:p>
      <w:pPr>
        <w:ind w:right="340" w:firstLine="459"/>
        <w:spacing w:after="0" w:line="264" w:lineRule="auto"/>
        <w:rPr>
          <w:sz w:val="20"/>
          <w:szCs w:val="20"/>
          <w:color w:val="auto"/>
        </w:rPr>
      </w:pPr>
      <w:r>
        <w:rPr>
          <w:rFonts w:ascii="Arial" w:cs="Arial" w:eastAsia="Arial" w:hAnsi="Arial"/>
          <w:sz w:val="18"/>
          <w:szCs w:val="18"/>
          <w:color w:val="auto"/>
        </w:rPr>
        <w:t>In addition, as a result of the Noralta acquisition, Noralta’s corporate offices located on two adjacent property titles in Nisku, Alberta, Canada were closed. During the fourth quarter of 2018, we sold one property. The remaining property is recorded at the estimated fair value (less costs to sell) of approximately $1.8 million and was the same value used in the purchase price allocation.</w:t>
      </w:r>
    </w:p>
    <w:p>
      <w:pPr>
        <w:spacing w:after="0" w:line="181" w:lineRule="exact"/>
        <w:rPr>
          <w:sz w:val="20"/>
          <w:szCs w:val="20"/>
          <w:color w:val="auto"/>
        </w:rPr>
      </w:pPr>
    </w:p>
    <w:p>
      <w:pPr>
        <w:ind w:right="440" w:firstLine="459"/>
        <w:spacing w:after="0" w:line="277" w:lineRule="auto"/>
        <w:rPr>
          <w:sz w:val="20"/>
          <w:szCs w:val="20"/>
          <w:color w:val="auto"/>
        </w:rPr>
      </w:pPr>
      <w:r>
        <w:rPr>
          <w:rFonts w:ascii="Arial" w:cs="Arial" w:eastAsia="Arial" w:hAnsi="Arial"/>
          <w:sz w:val="18"/>
          <w:szCs w:val="18"/>
          <w:color w:val="auto"/>
        </w:rPr>
        <w:t>The following table summarizes the carrying amount as of September 30, 2019 and December 31, 2018 of the assets classified as held for sale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4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46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8,132</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10,297</w:t>
            </w:r>
          </w:p>
        </w:tc>
      </w:tr>
      <w:tr>
        <w:trPr>
          <w:trHeight w:val="33"/>
        </w:trPr>
        <w:tc>
          <w:tcPr>
            <w:tcW w:w="74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held for sale</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10,297</w:t>
            </w:r>
          </w:p>
        </w:tc>
      </w:tr>
      <w:tr>
        <w:trPr>
          <w:trHeight w:val="20"/>
        </w:trPr>
        <w:tc>
          <w:tcPr>
            <w:tcW w:w="7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We calculate basic and diluted earnings per share by applying the two-class method because we have participating securities in the form of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 based awards in the calculation of diluted earnings per share, if dilutive.</w:t>
      </w:r>
    </w:p>
    <w:p>
      <w:pPr>
        <w:spacing w:after="0" w:line="187"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The calculation of earnings per share attributable to Civeo common shareholders is presented below for the periods indicated (in thousands, except per share amounts):</w:t>
      </w:r>
    </w:p>
    <w:p>
      <w:pPr>
        <w:spacing w:after="0" w:line="333"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9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9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Net income (loss) attributable to Civeo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4,532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(28,276)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(118,028)</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960" w:type="dxa"/>
            <w:vAlign w:val="bottom"/>
          </w:tcPr>
          <w:p>
            <w:pPr>
              <w:ind w:left="20"/>
              <w:spacing w:after="0"/>
              <w:rPr>
                <w:sz w:val="20"/>
                <w:szCs w:val="20"/>
                <w:color w:val="auto"/>
              </w:rPr>
            </w:pPr>
            <w:r>
              <w:rPr>
                <w:rFonts w:ascii="Arial" w:cs="Arial" w:eastAsia="Arial" w:hAnsi="Arial"/>
                <w:sz w:val="16"/>
                <w:szCs w:val="16"/>
                <w:color w:val="auto"/>
              </w:rPr>
              <w:t>Basic net income (loss) attributable to Civeo Corporation common shareholders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(28,276)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(118,028)</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undistributed income attributable to participating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Less: undistributed income reallocated to participating securities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attributable to Civeo Corporation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(118,028)</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167,640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165,855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166,842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154,411</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shares - share based awards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167,642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165,855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166,842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154,411</w:t>
            </w:r>
          </w:p>
        </w:tc>
      </w:tr>
      <w:tr>
        <w:trPr>
          <w:trHeight w:val="163"/>
        </w:trPr>
        <w:tc>
          <w:tcPr>
            <w:tcW w:w="5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20"/>
        </w:trPr>
        <w:tc>
          <w:tcPr>
            <w:tcW w:w="5960" w:type="dxa"/>
            <w:vAlign w:val="bottom"/>
          </w:tcPr>
          <w:p>
            <w:pPr>
              <w:ind w:left="20"/>
              <w:spacing w:after="0"/>
              <w:rPr>
                <w:sz w:val="20"/>
                <w:szCs w:val="20"/>
                <w:color w:val="auto"/>
              </w:rPr>
            </w:pPr>
            <w:r>
              <w:rPr>
                <w:rFonts w:ascii="Arial" w:cs="Arial" w:eastAsia="Arial" w:hAnsi="Arial"/>
                <w:sz w:val="16"/>
                <w:szCs w:val="16"/>
                <w:color w:val="auto"/>
                <w:w w:val="93"/>
              </w:rPr>
              <w:t>Basic net income (loss) per share attributable to Civeo Corporation common shareholders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960" w:type="dxa"/>
            <w:vAlign w:val="bottom"/>
          </w:tcPr>
          <w:p>
            <w:pPr>
              <w:ind w:left="20"/>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(0.76)</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6"/>
        </w:trPr>
        <w:tc>
          <w:tcPr>
            <w:tcW w:w="5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20"/>
        </w:trPr>
        <w:tc>
          <w:tcPr>
            <w:tcW w:w="5960" w:type="dxa"/>
            <w:vAlign w:val="bottom"/>
          </w:tcPr>
          <w:p>
            <w:pPr>
              <w:ind w:left="20"/>
              <w:spacing w:after="0"/>
              <w:rPr>
                <w:sz w:val="20"/>
                <w:szCs w:val="20"/>
                <w:color w:val="auto"/>
              </w:rPr>
            </w:pPr>
            <w:r>
              <w:rPr>
                <w:rFonts w:ascii="Arial" w:cs="Arial" w:eastAsia="Arial" w:hAnsi="Arial"/>
                <w:sz w:val="16"/>
                <w:szCs w:val="16"/>
                <w:color w:val="auto"/>
              </w:rPr>
              <w:t>Diluted net income (loss) per share attributable to Civeo Corporation common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960" w:type="dxa"/>
            <w:vAlign w:val="bottom"/>
          </w:tcPr>
          <w:p>
            <w:pPr>
              <w:ind w:left="20"/>
              <w:spacing w:after="0"/>
              <w:rPr>
                <w:sz w:val="20"/>
                <w:szCs w:val="20"/>
                <w:color w:val="auto"/>
              </w:rPr>
            </w:pPr>
            <w:r>
              <w:rPr>
                <w:rFonts w:ascii="Arial" w:cs="Arial" w:eastAsia="Arial" w:hAnsi="Arial"/>
                <w:sz w:val="16"/>
                <w:szCs w:val="16"/>
                <w:color w:val="auto"/>
              </w:rPr>
              <w:t>shareholders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Computations may reflect rounding adjustments.</w:t>
      </w:r>
    </w:p>
    <w:p>
      <w:pPr>
        <w:spacing w:after="0" w:line="225"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For the three months ended September 30, 2019, we excluded 6.2 million share based awards from the computation of diluted earnings per share because their effect was anti-dilutive. When an entity has a net loss from continuing operations, it is prohibited from including potential common shares in the computation of diluted per share amounts. For the three months ended September 30, 2018 and the nine months ended September 30, 2019 and 2018, we excluded from the computation of diluted loss per share 10.9 million, 6.9 million and 10.2 million share based awards, respectively, since the effect would have been anti-dilutive. Additionally, for the nine months ended September 30, 2019 and the three and nine months ended September 30, 2018, we excluded from the calculation the impact of converting the Preferred Shares into 28.2 million and 29.6 million common shares,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2019 and December 31, 2018, long-term debt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September 30, 2019</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Canadian term loan, which matures on November 30, 2021 (except for non-extending lenders - see below); 3.125% of</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aggregate principal repayable per quarter; weighted average interest rate of 5.8% for the nine-month period ended</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2019</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229,325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247,910</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U.S. revolving credit facility, which matures on November 30, 2021 (except for non-extending lenders - see below),</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 7.5% for the nine-month period ended September 30, 2019</w:t>
            </w:r>
          </w:p>
        </w:tc>
        <w:tc>
          <w:tcPr>
            <w:tcW w:w="4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Canadian revolving credit facility, which matures on November 30, 2021 (except for non-extending lenders - see below),</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 6.7% for the nine-month period ended September 30, 2019</w:t>
            </w:r>
          </w:p>
        </w:tc>
        <w:tc>
          <w:tcPr>
            <w:tcW w:w="4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152,530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114,348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Australian revolving credit facility, which matures on November 30, 2021 (except for non-extending lenders - see below),</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 5.4% for the nine-month period ended September 30, 2019</w:t>
            </w:r>
          </w:p>
        </w:tc>
        <w:tc>
          <w:tcPr>
            <w:tcW w:w="4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16,918</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393,543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379,176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Unamortized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17"/>
        </w:trPr>
        <w:tc>
          <w:tcPr>
            <w:tcW w:w="800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391,076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376,237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44"/>
        </w:trPr>
        <w:tc>
          <w:tcPr>
            <w:tcW w:w="800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356,704</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342,908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have any capitalized interest to net against interest expense for the three or nine months ended September 30,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2018, our Credit Agreement, as then amended, provided for: (i) a $239.5 million revolving credit facility scheduled to mature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30, 2020, allocated as follows: (A) a $20.0 million senior secured revolving credit facility in favor of certain of our U.S. subsidiaries, as borrowers;</w:t>
      </w:r>
    </w:p>
    <w:p>
      <w:pPr>
        <w:spacing w:after="0" w:line="32" w:lineRule="exact"/>
        <w:rPr>
          <w:sz w:val="20"/>
          <w:szCs w:val="20"/>
          <w:color w:val="auto"/>
        </w:rPr>
      </w:pPr>
    </w:p>
    <w:p>
      <w:pPr>
        <w:ind w:right="100" w:firstLine="8"/>
        <w:spacing w:after="0" w:line="255" w:lineRule="auto"/>
        <w:tabs>
          <w:tab w:leader="none" w:pos="2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$159.5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2020 in favor of Civeo.</w:t>
      </w:r>
    </w:p>
    <w:p>
      <w:pPr>
        <w:spacing w:after="0" w:line="190"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On September 30, 2019, the second amendment to the Credit Agreement (as so amended, the Amended Credit Agreement) became effective, which, among other things: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left="820" w:right="160" w:hanging="326"/>
        <w:spacing w:after="0" w:line="34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the aggregate revolving loan commitments by $24.0 million under the Amended Credit Agreement, to a maximum principal amount of $183.5 million under the Canadian revolving credit facility until November 30, 2020, which will be reduced thereafter as described below;</w:t>
      </w:r>
    </w:p>
    <w:p>
      <w:pPr>
        <w:spacing w:after="0" w:line="123" w:lineRule="exact"/>
        <w:rPr>
          <w:rFonts w:ascii="Arial" w:cs="Arial" w:eastAsia="Arial" w:hAnsi="Arial"/>
          <w:sz w:val="16"/>
          <w:szCs w:val="16"/>
          <w:color w:val="auto"/>
        </w:rPr>
      </w:pPr>
    </w:p>
    <w:p>
      <w:pPr>
        <w:ind w:left="820" w:hanging="326"/>
        <w:spacing w:after="0" w:line="30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extended the maturity date of the commitments and loans of certain lenders to November 30, 2021. Two lenders did not extend the maturity date of their commitments and loans. One non-extending lender has outstanding Canadian term loans of $6.9 million, a Canadian revolving commitment of $15.7 million and an Australian revolving commitment of $10.4 million that matures on November 30, 2020. The other non-extending lender has a U.S. revolving commitment of $7.4 million and a Canadian revolving commitment of $22.5 million that matures on November 30, 2020; and</w:t>
      </w:r>
    </w:p>
    <w:p>
      <w:pPr>
        <w:spacing w:after="0" w:line="154"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September 30,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4.25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December 31, 2019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4.00 : 1:00</w:t>
            </w:r>
          </w:p>
        </w:tc>
      </w:tr>
      <w:tr>
        <w:trPr>
          <w:trHeight w:val="33"/>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March 31, 2020, June 30, 2020 &amp; September 30, 2020</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3:75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December 31, 2020 &amp; thereafter</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3.50 : 1:00</w:t>
            </w:r>
          </w:p>
        </w:tc>
      </w:tr>
    </w:tbl>
    <w:p>
      <w:pPr>
        <w:spacing w:after="0" w:line="235" w:lineRule="exact"/>
        <w:rPr>
          <w:sz w:val="20"/>
          <w:szCs w:val="20"/>
          <w:color w:val="auto"/>
        </w:rPr>
      </w:pPr>
    </w:p>
    <w:p>
      <w:pPr>
        <w:ind w:right="40"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debt to consolidated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Amended Credit Agreement bear interest at a variable rate equal to the Bank Bill Swap Bid Rate plus a margin of 2.25% to 4.00%, based on a ratio of our total debt to consolidated EBITDA.</w:t>
      </w:r>
    </w:p>
    <w:p>
      <w:pPr>
        <w:spacing w:after="0" w:line="178" w:lineRule="exact"/>
        <w:rPr>
          <w:sz w:val="20"/>
          <w:szCs w:val="20"/>
          <w:color w:val="auto"/>
        </w:rPr>
      </w:pPr>
    </w:p>
    <w:p>
      <w:pPr>
        <w:ind w:right="20" w:firstLine="459"/>
        <w:spacing w:after="0" w:line="270" w:lineRule="auto"/>
        <w:rPr>
          <w:sz w:val="20"/>
          <w:szCs w:val="20"/>
          <w:color w:val="auto"/>
        </w:rPr>
      </w:pPr>
      <w:r>
        <w:rPr>
          <w:rFonts w:ascii="Arial" w:cs="Arial" w:eastAsia="Arial" w:hAnsi="Arial"/>
          <w:sz w:val="17"/>
          <w:szCs w:val="17"/>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4.25 to 1.0 (as of September 30,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2019.</w:t>
      </w:r>
    </w:p>
    <w:p>
      <w:pPr>
        <w:spacing w:after="0" w:line="182" w:lineRule="exact"/>
        <w:rPr>
          <w:sz w:val="20"/>
          <w:szCs w:val="20"/>
          <w:color w:val="auto"/>
        </w:rPr>
      </w:pPr>
    </w:p>
    <w:p>
      <w:pPr>
        <w:ind w:right="300" w:firstLine="459"/>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September 30, 2019, we have ten lenders that were parties to the Amended Credit Agreement, with total commitments (including both revolving commitments and term commitments) ranging from $24.9 million to $85.4 million. As of September 30, 2019, we had outstanding letters of credit of $0.3 million under the U.S. facility, $0.5 million under the Australian facility and $1.2 million under the Canadian facility.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80" w:firstLine="459"/>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21% to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2019, the U.S. was considered a loss jurisdiction for tax accounting purposes and has been removed from the 2019 annual effective tax rate computation for purposes of computing the interim tax provision. As of September 30, 2018, the U.S. and Australia were considered loss jurisdictions for tax accounting purposes and were removed from the 2018 annual effective tax rate computation for purposes of computing the interim tax provision.</w:t>
      </w:r>
    </w:p>
    <w:p>
      <w:pPr>
        <w:spacing w:after="0" w:line="193" w:lineRule="exact"/>
        <w:rPr>
          <w:sz w:val="20"/>
          <w:szCs w:val="20"/>
          <w:color w:val="auto"/>
        </w:rPr>
      </w:pPr>
    </w:p>
    <w:p>
      <w:pPr>
        <w:ind w:right="40" w:firstLine="459"/>
        <w:spacing w:after="0" w:line="290" w:lineRule="auto"/>
        <w:rPr>
          <w:sz w:val="20"/>
          <w:szCs w:val="20"/>
          <w:color w:val="auto"/>
        </w:rPr>
      </w:pPr>
      <w:r>
        <w:rPr>
          <w:rFonts w:ascii="Arial" w:cs="Arial" w:eastAsia="Arial" w:hAnsi="Arial"/>
          <w:sz w:val="16"/>
          <w:szCs w:val="16"/>
          <w:color w:val="auto"/>
        </w:rPr>
        <w:t>Our income tax benefit for the nine months ended September 30, 2019 totaled $14.0 million, or 34.2% of pretax loss, compared to a benefit of $29.4 million, or 30.0% of pretax loss, for the nine months ended September 30, 2018. Our effective tax rate for the nine months ended September 30, 2019 and 2018 was reduced approximately 3% and 5%, respectively, by the exclusion of loss jurisdictions for purposes of computing the interim tax provision. For the nine months ended September 30, 2019, the U.S. was considered a loss jurisdiction while for the nine months ended September 30, 2018, Australia and the U.S. were considered loss jurisdictions. Additionally, the effective tax rate for the three and nine months ended September 30, 2019 was impacted by a tax benefit of$3.0 million related to a reduction in the Alberta, Canada income tax rate, as well as, a $2.1 million tax benefit related to the change in the valuation allowance in Australia resulting from the acquisition of Action. The effective tax rate for the nine months ended September 30, 2018 was impacted by a tax benefit of $4.9 million that was recorded in the second quarter 2018 to reverse a valuation allowance previously recorded in Canada.</w:t>
      </w:r>
    </w:p>
    <w:p>
      <w:pPr>
        <w:spacing w:after="0" w:line="166" w:lineRule="exact"/>
        <w:rPr>
          <w:sz w:val="20"/>
          <w:szCs w:val="20"/>
          <w:color w:val="auto"/>
        </w:rPr>
      </w:pPr>
    </w:p>
    <w:p>
      <w:pPr>
        <w:ind w:firstLine="459"/>
        <w:spacing w:after="0" w:line="293" w:lineRule="auto"/>
        <w:rPr>
          <w:sz w:val="20"/>
          <w:szCs w:val="20"/>
          <w:color w:val="auto"/>
        </w:rPr>
      </w:pPr>
      <w:r>
        <w:rPr>
          <w:rFonts w:ascii="Arial" w:cs="Arial" w:eastAsia="Arial" w:hAnsi="Arial"/>
          <w:sz w:val="16"/>
          <w:szCs w:val="16"/>
          <w:color w:val="auto"/>
        </w:rPr>
        <w:t>Our income tax benefit for the three months ended September 30, 2019 totaled $6.6 million, or 421.4% of pretax income, compared to a benefit of $5.3 million, or 28.2% of pretax loss, for the three months ended September 30, 2018. As discussed above, our effective tax rate for the three months ended September 30, 2019 was impacted by a reduction in the Alberta, Canada income tax rate, as well as, a change in the valuation allowance in Australia resulting from the acquisition of Action. Our effective rate in 2018 was impacted by the relative mix of losses between Canada, Australia and the U.S., as Australia and the U.S., for purposes of computing the interim tax provision, are considered loss jurisdictions for tax accounting purposes. Under ASC 740-270, Accounting for Income Taxes, the quarterly tax provision is based on our current estimate of the annual effective tax rate less the prior quarter’s year-to-date provision.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right="320" w:firstLine="459"/>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jc w:val="both"/>
        <w:ind w:right="40" w:firstLine="459"/>
        <w:spacing w:after="0" w:line="288" w:lineRule="auto"/>
        <w:rPr>
          <w:sz w:val="20"/>
          <w:szCs w:val="20"/>
          <w:color w:val="auto"/>
        </w:rPr>
      </w:pPr>
      <w:r>
        <w:rPr>
          <w:rFonts w:ascii="Arial" w:cs="Arial" w:eastAsia="Arial" w:hAnsi="Arial"/>
          <w:sz w:val="16"/>
          <w:szCs w:val="16"/>
          <w:color w:val="auto"/>
        </w:rPr>
        <w:t>Our accumulated other comprehensive loss increased $5.6 million from $371.2 million at December 31, 2018 to $376.9 million at September 30, 2019, as a result of foreign currency exchange rate fluctuations. Changes in other comprehensive loss during the first nine months of 2019 were primarily driven by the Australian dollar decreasing in value compared to the U.S. dollar, partially offset by the Canadian dollar increasing in value compared to the U.S. dollar.</w:t>
      </w:r>
    </w:p>
    <w:p>
      <w:pPr>
        <w:ind w:right="780"/>
        <w:spacing w:after="0" w:line="261" w:lineRule="auto"/>
        <w:rPr>
          <w:sz w:val="20"/>
          <w:szCs w:val="20"/>
          <w:color w:val="auto"/>
        </w:rPr>
      </w:pPr>
      <w:r>
        <w:rPr>
          <w:rFonts w:ascii="Arial" w:cs="Arial" w:eastAsia="Arial" w:hAnsi="Arial"/>
          <w:sz w:val="18"/>
          <w:szCs w:val="18"/>
          <w:color w:val="auto"/>
        </w:rPr>
        <w:t>Excluding intercompany balances, our Canadian dollar and Australian dollar functional currency net assets totaled approximately C$0.3 billion and A$0.4 billion, respectively, at September 30,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We have operating leases covering certain land locations and various office facilities and equipment in our three reportable business segments. Our leases have remaining lease terms of one year to nine years, some of which include options to extend the leases for up to 10 years, and some of which include options to terminate the leases within 90 days.</w:t>
      </w:r>
    </w:p>
    <w:p>
      <w:pPr>
        <w:spacing w:after="0" w:line="181" w:lineRule="exact"/>
        <w:rPr>
          <w:sz w:val="20"/>
          <w:szCs w:val="20"/>
          <w:color w:val="auto"/>
        </w:rPr>
      </w:pPr>
    </w:p>
    <w:p>
      <w:pPr>
        <w:ind w:right="60" w:firstLine="459"/>
        <w:spacing w:after="0" w:line="297" w:lineRule="auto"/>
        <w:rPr>
          <w:sz w:val="20"/>
          <w:szCs w:val="20"/>
          <w:color w:val="auto"/>
        </w:rPr>
      </w:pPr>
      <w:r>
        <w:rPr>
          <w:rFonts w:ascii="Arial" w:cs="Arial" w:eastAsia="Arial" w:hAnsi="Arial"/>
          <w:sz w:val="16"/>
          <w:szCs w:val="16"/>
          <w:color w:val="auto"/>
        </w:rPr>
        <w:t>The components of lease expense were $1.9 million and $1.8 million under operating leases during the three months ended September 30, 2019 and 2018, respectively. The components of lease expense were $5.6 million and $4.6 million under operating leases during the nine months ended September 30, 2019 and 2018, respectively. Included in the measurement of lease liabilities, we paid $1.9 million and $5.4 million in cash related to operating leases during the three and nine months ended September 30, 2019, respectively. Right-of-use assets obtained in exchange for new lease obligations related to operating leases during the three and nine months ended September 30, 2019 were zero and $3.4 million,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leases were as follows (in thousands):</w:t>
      </w:r>
    </w:p>
    <w:p>
      <w:pPr>
        <w:spacing w:after="0" w:line="38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Arial" w:cs="Arial" w:eastAsia="Arial" w:hAnsi="Arial"/>
                <w:sz w:val="16"/>
                <w:szCs w:val="16"/>
                <w:b w:val="1"/>
                <w:bCs w:val="1"/>
                <w:color w:val="auto"/>
                <w:w w:val="93"/>
              </w:rPr>
              <w:t>September 30, 2019</w:t>
            </w:r>
          </w:p>
        </w:tc>
      </w:tr>
      <w:tr>
        <w:trPr>
          <w:trHeight w:val="33"/>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24"/>
        </w:trPr>
        <w:tc>
          <w:tcPr>
            <w:tcW w:w="9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73"/>
              <w:spacing w:after="0"/>
              <w:rPr>
                <w:sz w:val="20"/>
                <w:szCs w:val="20"/>
                <w:color w:val="auto"/>
              </w:rPr>
            </w:pPr>
            <w:r>
              <w:rPr>
                <w:rFonts w:ascii="Arial" w:cs="Arial" w:eastAsia="Arial" w:hAnsi="Arial"/>
                <w:sz w:val="16"/>
                <w:szCs w:val="16"/>
                <w:color w:val="auto"/>
              </w:rPr>
              <w:t>25,034</w:t>
            </w: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60" w:type="dxa"/>
            <w:vAlign w:val="bottom"/>
          </w:tcPr>
          <w:p>
            <w:pPr>
              <w:spacing w:after="0"/>
              <w:rPr>
                <w:sz w:val="23"/>
                <w:szCs w:val="23"/>
                <w:color w:val="auto"/>
              </w:rPr>
            </w:pPr>
          </w:p>
        </w:tc>
        <w:tc>
          <w:tcPr>
            <w:tcW w:w="6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4"/>
        </w:trPr>
        <w:tc>
          <w:tcPr>
            <w:tcW w:w="9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73"/>
              <w:spacing w:after="0"/>
              <w:rPr>
                <w:sz w:val="20"/>
                <w:szCs w:val="20"/>
                <w:color w:val="auto"/>
              </w:rPr>
            </w:pPr>
            <w:r>
              <w:rPr>
                <w:rFonts w:ascii="Arial" w:cs="Arial" w:eastAsia="Arial" w:hAnsi="Arial"/>
                <w:sz w:val="16"/>
                <w:szCs w:val="16"/>
                <w:color w:val="auto"/>
              </w:rPr>
              <w:t>5,866</w:t>
            </w: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6"/>
                <w:szCs w:val="16"/>
                <w:color w:val="auto"/>
              </w:rPr>
              <w:t>20,992</w:t>
            </w:r>
          </w:p>
        </w:tc>
      </w:tr>
      <w:tr>
        <w:trPr>
          <w:trHeight w:val="284"/>
        </w:trPr>
        <w:tc>
          <w:tcPr>
            <w:tcW w:w="960" w:type="dxa"/>
            <w:vAlign w:val="bottom"/>
          </w:tcPr>
          <w:p>
            <w:pPr>
              <w:spacing w:after="0"/>
              <w:rPr>
                <w:sz w:val="24"/>
                <w:szCs w:val="24"/>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operating lease liabilities</w:t>
            </w: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color w:val="auto"/>
              </w:rPr>
              <w:t>26,858</w:t>
            </w:r>
          </w:p>
        </w:tc>
      </w:tr>
      <w:tr>
        <w:trPr>
          <w:trHeight w:val="257"/>
        </w:trPr>
        <w:tc>
          <w:tcPr>
            <w:tcW w:w="960" w:type="dxa"/>
            <w:vAlign w:val="bottom"/>
          </w:tcPr>
          <w:p>
            <w:pPr>
              <w:spacing w:after="0"/>
              <w:rPr>
                <w:sz w:val="22"/>
                <w:szCs w:val="22"/>
                <w:color w:val="auto"/>
              </w:rPr>
            </w:pPr>
          </w:p>
        </w:tc>
        <w:tc>
          <w:tcPr>
            <w:tcW w:w="6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37"/>
        </w:trPr>
        <w:tc>
          <w:tcPr>
            <w:tcW w:w="9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 years</w:t>
            </w:r>
          </w:p>
        </w:tc>
      </w:tr>
      <w:tr>
        <w:trPr>
          <w:trHeight w:val="237"/>
        </w:trPr>
        <w:tc>
          <w:tcPr>
            <w:tcW w:w="9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leases</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at September 30, 2019, were as follows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588"/>
        </w:trPr>
        <w:tc>
          <w:tcPr>
            <w:tcW w:w="96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
        </w:trPr>
        <w:tc>
          <w:tcPr>
            <w:tcW w:w="7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43"/>
        </w:trPr>
        <w:tc>
          <w:tcPr>
            <w:tcW w:w="7580" w:type="dxa"/>
            <w:vAlign w:val="bottom"/>
            <w:gridSpan w:val="2"/>
          </w:tcPr>
          <w:p>
            <w:pPr>
              <w:ind w:left="98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6,987</w:t>
            </w:r>
          </w:p>
        </w:tc>
      </w:tr>
      <w:tr>
        <w:trPr>
          <w:trHeight w:val="27"/>
        </w:trPr>
        <w:tc>
          <w:tcPr>
            <w:tcW w:w="7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r>
      <w:tr>
        <w:trPr>
          <w:trHeight w:val="243"/>
        </w:trPr>
        <w:tc>
          <w:tcPr>
            <w:tcW w:w="7580" w:type="dxa"/>
            <w:vAlign w:val="bottom"/>
            <w:gridSpan w:val="2"/>
          </w:tcPr>
          <w:p>
            <w:pPr>
              <w:ind w:left="980"/>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7"/>
        </w:trPr>
        <w:tc>
          <w:tcPr>
            <w:tcW w:w="7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243"/>
        </w:trPr>
        <w:tc>
          <w:tcPr>
            <w:tcW w:w="96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11,222</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lease payments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32,216</w:t>
            </w:r>
          </w:p>
        </w:tc>
      </w:tr>
      <w:tr>
        <w:trPr>
          <w:trHeight w:val="243"/>
        </w:trPr>
        <w:tc>
          <w:tcPr>
            <w:tcW w:w="96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5,358</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26,858</w:t>
            </w:r>
          </w:p>
        </w:tc>
      </w:tr>
      <w:tr>
        <w:trPr>
          <w:trHeight w:val="20"/>
        </w:trPr>
        <w:tc>
          <w:tcPr>
            <w:tcW w:w="96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right="60" w:firstLine="459"/>
        <w:spacing w:after="0" w:line="302"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18.7 million Civeo common shares may be awarded under the Civeo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and nine month periods ended September 30, 2019 and 2018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zero and less than $0.1 million, respectively. There was no unrecognized compensation cost related to options.</w:t>
      </w:r>
    </w:p>
    <w:p>
      <w:pPr>
        <w:sectPr>
          <w:pgSz w:w="11900" w:h="16838" w:orient="portrait"/>
          <w:cols w:equalWidth="0" w:num="1">
            <w:col w:w="11360"/>
          </w:cols>
          <w:pgMar w:left="240" w:top="121"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60"/>
          </w:cols>
          <w:pgMar w:left="240" w:top="121" w:right="299" w:bottom="1440" w:gutter="0" w:footer="0" w:header="0"/>
          <w:type w:val="continuous"/>
        </w:sectPr>
      </w:pPr>
    </w:p>
    <w:bookmarkStart w:id="19" w:name="page20"/>
    <w:bookmarkEnd w:id="1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25, 2019, we granted 1,251,353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25, 2020. On May 16, 2019, we granted 449,100 restricted share awards and deferred share awards to our non-employee directors, which vest in their entirety on May 16, 2020.</w:t>
      </w:r>
    </w:p>
    <w:p>
      <w:pPr>
        <w:spacing w:after="0" w:line="181"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months ended September 30, 2019 and 2018 totaled $1.5 million and $1.6 million, respectively. Compensation expense associated with restricted share awards and deferred share awards recognized in the nine months ended September 30, 2019 and 2018 totaled $4.3 million and $4.4 million, respectively. The total fair value of restricted share awards and deferred share awards that vested during the three months ended September 30, 2019 and 2018 was less than $0.1 million and $0.1 million, respectively. The total fair value of restricted share awards and deferred share awards that vested during the nine months ended September 30, 2019 and 2018 was $4.0 million and $3.4 million, respectively.</w:t>
      </w:r>
    </w:p>
    <w:p>
      <w:pPr>
        <w:spacing w:after="0" w:line="193" w:lineRule="exact"/>
        <w:rPr>
          <w:sz w:val="20"/>
          <w:szCs w:val="20"/>
          <w:color w:val="auto"/>
        </w:rPr>
      </w:pPr>
    </w:p>
    <w:p>
      <w:pPr>
        <w:ind w:right="540" w:firstLine="459"/>
        <w:spacing w:after="0" w:line="277" w:lineRule="auto"/>
        <w:rPr>
          <w:sz w:val="20"/>
          <w:szCs w:val="20"/>
          <w:color w:val="auto"/>
        </w:rPr>
      </w:pPr>
      <w:r>
        <w:rPr>
          <w:rFonts w:ascii="Arial" w:cs="Arial" w:eastAsia="Arial" w:hAnsi="Arial"/>
          <w:sz w:val="18"/>
          <w:szCs w:val="18"/>
          <w:color w:val="auto"/>
        </w:rPr>
        <w:t>At September 30, 2019, unrecognized compensation cost related to restricted share awards and deferred share awards was $6.8 million, which is expected to be recognized over a weighted average period of 1.6 years.</w:t>
      </w:r>
    </w:p>
    <w:p>
      <w:pPr>
        <w:spacing w:after="0" w:line="170" w:lineRule="exact"/>
        <w:rPr>
          <w:sz w:val="20"/>
          <w:szCs w:val="20"/>
          <w:color w:val="auto"/>
        </w:rPr>
      </w:pPr>
    </w:p>
    <w:p>
      <w:pPr>
        <w:jc w:val="both"/>
        <w:ind w:right="200" w:firstLine="459"/>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25, 2019, we granted 1,144,407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25, 2020. We also granted 270,870 phantom share awards under the Canadian Long-Term Incentive Plan, which vest in three equal annual installments beginning on February 25, 2020.</w:t>
      </w:r>
    </w:p>
    <w:p>
      <w:pPr>
        <w:spacing w:after="0" w:line="181" w:lineRule="exact"/>
        <w:rPr>
          <w:sz w:val="20"/>
          <w:szCs w:val="20"/>
          <w:color w:val="auto"/>
        </w:rPr>
      </w:pPr>
    </w:p>
    <w:p>
      <w:pPr>
        <w:ind w:right="160" w:firstLine="459"/>
        <w:spacing w:after="0" w:line="302" w:lineRule="auto"/>
        <w:rPr>
          <w:sz w:val="20"/>
          <w:szCs w:val="20"/>
          <w:color w:val="auto"/>
        </w:rPr>
      </w:pPr>
      <w:r>
        <w:rPr>
          <w:rFonts w:ascii="Arial" w:cs="Arial" w:eastAsia="Arial" w:hAnsi="Arial"/>
          <w:sz w:val="16"/>
          <w:szCs w:val="16"/>
          <w:color w:val="auto"/>
        </w:rPr>
        <w:t>During the three months ended September 30, 2019 and 2018, we recognized compensation expense associated with phantom shares totaling $0.1 million and $2.1 million, respectively. During the nine months ended September 30, 2019 and 2018, we recognized compensation expense associated with phantom shares totaling $3.5 million and $8.2 million, respectively. At September 30, 2019, unrecognized compensation cost related to phantom shares was $1.5 million, as remeasured at September 30, 2019, which is expected to be recognized over a weighted average period of 2.3 years.</w:t>
      </w:r>
    </w:p>
    <w:p>
      <w:pPr>
        <w:spacing w:after="0" w:line="154" w:lineRule="exact"/>
        <w:rPr>
          <w:sz w:val="20"/>
          <w:szCs w:val="20"/>
          <w:color w:val="auto"/>
        </w:rPr>
      </w:pPr>
    </w:p>
    <w:p>
      <w:pPr>
        <w:ind w:right="160" w:firstLine="459"/>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25, 2019, we granted 1,184,599 performance awards under the Civeo Plan, which cliff vest in three years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25, 2022. These awards will be earned in amounts between 0% and 200% of the participant’s target performance share award, based on the payout percentage associated with Civeo’s relative total shareholder return rank among a peer group that includes 17 other companies.</w:t>
      </w:r>
    </w:p>
    <w:p>
      <w:pPr>
        <w:spacing w:after="0" w:line="166"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During the three months ended September 30, 2019 and 2018, we recognized compensation expense associated with performance awards totaling $1.1 million and $1.2 million, respectively. During the nine months ended September 30, 2019 and 2018, we recognized compensation expense associated with performance awards totaling $3.3 million and $3.4 million, respectively. The total fair value of performance share awards that vested during the three and nine months ended September 30, 2019 was zero and $10.1 million.</w:t>
      </w:r>
    </w:p>
    <w:p>
      <w:pPr>
        <w:spacing w:after="0" w:line="187" w:lineRule="exact"/>
        <w:rPr>
          <w:sz w:val="20"/>
          <w:szCs w:val="20"/>
          <w:color w:val="auto"/>
        </w:rPr>
      </w:pPr>
    </w:p>
    <w:p>
      <w:pPr>
        <w:ind w:right="300" w:firstLine="459"/>
        <w:spacing w:after="0" w:line="277" w:lineRule="auto"/>
        <w:rPr>
          <w:sz w:val="20"/>
          <w:szCs w:val="20"/>
          <w:color w:val="auto"/>
        </w:rPr>
      </w:pPr>
      <w:r>
        <w:rPr>
          <w:rFonts w:ascii="Arial" w:cs="Arial" w:eastAsia="Arial" w:hAnsi="Arial"/>
          <w:sz w:val="18"/>
          <w:szCs w:val="18"/>
          <w:color w:val="auto"/>
        </w:rPr>
        <w:t>At September 30, 2019, unrecognized compensation cost related to performance shares was $6.1 million, which is expected to be recognized over a weighted average period of 1.9 years.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RELATED INFORMATION</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In accordance with current accounting standards regarding disclosures about segments of an enterprise and related information, we have identified the following reportable segments: Canada, Australia and U.S., which represent our strategic focus on hospitality services.</w:t>
      </w:r>
    </w:p>
    <w:p>
      <w:pPr>
        <w:spacing w:after="0" w:line="170" w:lineRule="exact"/>
        <w:rPr>
          <w:sz w:val="20"/>
          <w:szCs w:val="20"/>
          <w:color w:val="auto"/>
        </w:rPr>
      </w:pPr>
    </w:p>
    <w:p>
      <w:pPr>
        <w:ind w:right="40"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2019 and 2018 is summarized in the following table (in thousands):</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Depreciation</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Operating</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and</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expenditures</w:t>
            </w:r>
          </w:p>
        </w:tc>
        <w:tc>
          <w:tcPr>
            <w:tcW w:w="240" w:type="dxa"/>
            <w:vAlign w:val="bottom"/>
          </w:tcPr>
          <w:p>
            <w:pPr>
              <w:spacing w:after="0"/>
              <w:rPr>
                <w:sz w:val="18"/>
                <w:szCs w:val="18"/>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Total assets</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91,071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18,219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843,818</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279,386</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51,376</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(163,757)</w:t>
            </w:r>
          </w:p>
        </w:tc>
      </w:tr>
      <w:tr>
        <w:trPr>
          <w:trHeight w:val="284"/>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148,163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31,196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2,876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1,010,823</w:t>
            </w:r>
          </w:p>
        </w:tc>
      </w:tr>
      <w:tr>
        <w:trPr>
          <w:trHeight w:val="163"/>
        </w:trPr>
        <w:tc>
          <w:tcPr>
            <w:tcW w:w="2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870,701</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31,090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301,340</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58,574</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(131,979)</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1,098,636</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235,943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50,574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(14,437)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19,294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843,818</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279,386</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35,763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51,376</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(163,757)</w:t>
            </w:r>
          </w:p>
        </w:tc>
      </w:tr>
      <w:tr>
        <w:trPr>
          <w:trHeight w:val="284"/>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378,866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92,974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(27,073)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1,010,823</w:t>
            </w:r>
          </w:p>
        </w:tc>
      </w:tr>
      <w:tr>
        <w:trPr>
          <w:trHeight w:val="163"/>
        </w:trPr>
        <w:tc>
          <w:tcPr>
            <w:tcW w:w="2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870,701</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89,542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301,340</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58,574</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(131,979)</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1,098,636</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240" w:top="121" w:right="379" w:bottom="1440" w:gutter="0" w:footer="0" w:header="0"/>
          <w:type w:val="continuous"/>
        </w:sectPr>
      </w:pPr>
    </w:p>
    <w:bookmarkStart w:id="21" w:name="page22"/>
    <w:bookmarkEnd w:id="21"/>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2019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2018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40" w:firstLine="459"/>
        <w:spacing w:after="0" w:line="291"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and metallurgical (met) coal.</w:t>
      </w:r>
    </w:p>
    <w:p>
      <w:pPr>
        <w:spacing w:after="0" w:line="167" w:lineRule="exact"/>
        <w:rPr>
          <w:sz w:val="20"/>
          <w:szCs w:val="20"/>
          <w:color w:val="auto"/>
        </w:rPr>
      </w:pPr>
    </w:p>
    <w:p>
      <w:pPr>
        <w:ind w:right="80" w:firstLine="459"/>
        <w:spacing w:after="0" w:line="276" w:lineRule="auto"/>
        <w:rPr>
          <w:sz w:val="20"/>
          <w:szCs w:val="20"/>
          <w:color w:val="auto"/>
        </w:rPr>
      </w:pPr>
      <w:r>
        <w:rPr>
          <w:rFonts w:ascii="Arial" w:cs="Arial" w:eastAsia="Arial" w:hAnsi="Arial"/>
          <w:sz w:val="17"/>
          <w:szCs w:val="17"/>
          <w:color w:val="auto"/>
        </w:rPr>
        <w:t>In Canada, Western Canadian Select (WCS) crude is the benchmark price for our oil sands customers. Pricing for WCS is driven by several factors, including the underlying price for West Texas Intermediate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73" w:lineRule="exact"/>
        <w:rPr>
          <w:sz w:val="20"/>
          <w:szCs w:val="20"/>
          <w:color w:val="auto"/>
        </w:rPr>
      </w:pPr>
    </w:p>
    <w:p>
      <w:pPr>
        <w:jc w:val="both"/>
        <w:ind w:right="160" w:firstLine="459"/>
        <w:spacing w:after="0" w:line="259" w:lineRule="auto"/>
        <w:rPr>
          <w:sz w:val="20"/>
          <w:szCs w:val="20"/>
          <w:color w:val="auto"/>
        </w:rPr>
      </w:pPr>
      <w:r>
        <w:rPr>
          <w:rFonts w:ascii="Arial" w:cs="Arial" w:eastAsia="Arial" w:hAnsi="Arial"/>
          <w:sz w:val="18"/>
          <w:szCs w:val="18"/>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Although prices began to increase in 2016 and continued to increase through the third quarter of 2018 due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right="100"/>
        <w:spacing w:after="0" w:line="279" w:lineRule="auto"/>
        <w:rPr>
          <w:sz w:val="20"/>
          <w:szCs w:val="20"/>
          <w:color w:val="auto"/>
        </w:rPr>
      </w:pPr>
      <w:r>
        <w:rPr>
          <w:rFonts w:ascii="Arial" w:cs="Arial" w:eastAsia="Arial" w:hAnsi="Arial"/>
          <w:sz w:val="17"/>
          <w:szCs w:val="17"/>
          <w:color w:val="auto"/>
        </w:rPr>
        <w:t>global oil production cuts rebalancing supply/demand dynamics, oil prices decreased again during the fourth quarter of 2018 as OPEC oil production ramped up once again despite more concerns of decreasing global oil demand. In the first half of 2019, positive oil price trends are primarily related to OPEC oil production falling faster than the markets expected, leading to a more positive oil environment throughout the first half of the year. Oil prices have fallen since early summer due to continued demand growth volatility and fear of a global economic slowdown.</w:t>
      </w:r>
    </w:p>
    <w:p>
      <w:pPr>
        <w:spacing w:after="0" w:line="171"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WCS prices in the third quarter of 2019 averaged $43.88 per barrel compared to a low of $20.26 in the first quarter of 2016 and a high of $49.93 in the second quarter of 2018. The WCS Differential decreased from $15.75 per barrel at the end of the fourth quarter of 2018 to $12.62 at the end of the third quarter 2019. On December 2, 2018, the Government of Alberta announced it would mandate temporary curtailments of the province’s oil production and has extended the curtailment through 2020. This curtailment resulted in a narrowing WCS Differential in December 2018, which ended the year at $15.75 per barrel, that has continued throughout 2019. As of October 21, 2019, the WTI price was $53.31 and the WCS price was $36.68, resulting in a WCS Differential of $16.63.</w:t>
      </w:r>
    </w:p>
    <w:p>
      <w:pPr>
        <w:spacing w:after="0" w:line="193" w:lineRule="exact"/>
        <w:rPr>
          <w:sz w:val="20"/>
          <w:szCs w:val="20"/>
          <w:color w:val="auto"/>
        </w:rPr>
      </w:pPr>
    </w:p>
    <w:p>
      <w:pPr>
        <w:ind w:right="20" w:firstLine="459"/>
        <w:spacing w:after="0" w:line="290"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hospitality services. Although we have seen an increase in oil prices since late 2016 through the third quarter of 2019, we are not expecting significant improvement in customer activity in the near-term, partially due to the volatility in the WCS Differential discussed above.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 Additionally, if oil prices decline, the resulting impact could negatively affect the value of our long-lived assets, including goodwill.</w:t>
      </w:r>
    </w:p>
    <w:p>
      <w:pPr>
        <w:spacing w:after="0" w:line="166"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Our Sitka Lodge, within our Canadian business, supports the British Columbia liquefied natural gas (LNG) market and related pipeline projects. From a macroeconomic standpoint, global LNG imports set a record in 2018, reaching 308 million tonnes per annum, up from 284 million tonnes per annum in 2017,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8"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Currently, Western Canada does not have any operational LNG export facilities.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Mitsubishi Corporation (15 percent) and Korea Gas Corporation (5 percent), announced that a positive final investment decision (FID) had been reached on the proposed Kitimat liquefaction and export facility in Kitimat, British Columbia (Kitimat LNG Facility). With the project moving forward, British Columbia LNG activity and related pipeline projects could become a material driver of future activity for our Sitka Lodge, as well as for our mobile fleet assets, which are well suited for the related pipeline construction activity.</w:t>
      </w:r>
    </w:p>
    <w:p>
      <w:pPr>
        <w:spacing w:after="0" w:line="189" w:lineRule="exact"/>
        <w:rPr>
          <w:sz w:val="20"/>
          <w:szCs w:val="20"/>
          <w:color w:val="auto"/>
        </w:rPr>
      </w:pPr>
    </w:p>
    <w:p>
      <w:pPr>
        <w:ind w:right="100" w:firstLine="459"/>
        <w:spacing w:after="0" w:line="270" w:lineRule="auto"/>
        <w:rPr>
          <w:sz w:val="20"/>
          <w:szCs w:val="20"/>
          <w:color w:val="auto"/>
        </w:rPr>
      </w:pPr>
      <w:r>
        <w:rPr>
          <w:rFonts w:ascii="Arial" w:cs="Arial" w:eastAsia="Arial" w:hAnsi="Arial"/>
          <w:sz w:val="17"/>
          <w:szCs w:val="17"/>
          <w:color w:val="auto"/>
        </w:rPr>
        <w:t>Our U.S. business supports oil shale drilling and completion activity and is primarily tied to WTI oil prices in the U.S. shale formations in West Texas, the mid Continent, the Bakken and the Rockies. With the recovery in oil prices through the third quarter of 2018, coupled with ample capital availability for U.S. E&amp;P companies, oil shale drilling and completion activity in the U.S. significantly increased in 2018. The U.S. oil rig count has increased from its low of 316 rigs in May 2016 to over 885 during 2018, and 713 rigs were active at the end of the third quarter of 2019. Further, this activity in the U.S. increased oil production from an average of 9.3 million barrels per day in 2017 to an average of 11.0 million barrels per day in 2018 and a year-to-date average of 11.9 million barrels per day through July 2019. With the fall in WTI oil prices in the fourth quarter of 2018 and a call by investors for U.S. E&amp;P companies to generate free cash flow, the U.S. rig count has drifted lower. As of October 18, 2019, there were 713 active oil rigs in the U.S. (as measured by Bakerhughes.com). U.S. oil shale drilling and completion activity will continue to be dependent on sustained higher WTI oil prices, pipeline capacity and sufficient capital to support E&amp;P drilling and completion plans.</w:t>
      </w:r>
    </w:p>
    <w:p>
      <w:pPr>
        <w:spacing w:after="0" w:line="182" w:lineRule="exact"/>
        <w:rPr>
          <w:sz w:val="20"/>
          <w:szCs w:val="20"/>
          <w:color w:val="auto"/>
        </w:rPr>
      </w:pPr>
    </w:p>
    <w:p>
      <w:pPr>
        <w:jc w:val="both"/>
        <w:ind w:right="120" w:firstLine="459"/>
        <w:spacing w:after="0" w:line="264"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4.4% during the first eight months of 2019 compared to the corresponding period in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100"/>
        <w:spacing w:after="0" w:line="259" w:lineRule="auto"/>
        <w:rPr>
          <w:sz w:val="20"/>
          <w:szCs w:val="20"/>
          <w:color w:val="auto"/>
        </w:rPr>
      </w:pPr>
      <w:r>
        <w:rPr>
          <w:rFonts w:ascii="Arial" w:cs="Arial" w:eastAsia="Arial" w:hAnsi="Arial"/>
          <w:sz w:val="18"/>
          <w:szCs w:val="18"/>
          <w:color w:val="auto"/>
        </w:rPr>
        <w:t>As of October 21, 2019, met coal spot prices were $153.95 per metric tonne. Current met coal pricing levels have not led our customers to approve many significant new projects. We expect that customers will look for a period of sustained higher prices before the volume of new projects being approved increases. Long-term demand for steel is expected to be driven by increased steel consumption per capita in developing economies, such as China and India, whose current consumption per capita is a fraction of developed countries.</w:t>
      </w:r>
    </w:p>
    <w:p>
      <w:pPr>
        <w:spacing w:after="0" w:line="187"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On July 1, 2019, we completed the acquisition of Action Industrial Catering (Action), a provider of catering and managed services to the remote mining industry in Western Australia. The acquisition enhances our service offering, geographic footprint and exposure to new commodities in Australia and underlines our focus on pursuing growth opportunities that fit within our core competencies and strategic direction. Activity in Western Australia is driven primarily by iron ore production, which is a key steelmaking ingredient. As of October 17, 2019, iron ore spot prices were $90.01 per metric tonne.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Average Price (1)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rPr>
              <w:t>WTI</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WCS</w:t>
            </w:r>
          </w:p>
        </w:tc>
        <w:tc>
          <w:tcPr>
            <w:tcW w:w="300" w:type="dxa"/>
            <w:vAlign w:val="bottom"/>
          </w:tcPr>
          <w:p>
            <w:pPr>
              <w:spacing w:after="0"/>
              <w:rPr>
                <w:sz w:val="13"/>
                <w:szCs w:val="13"/>
                <w:color w:val="auto"/>
              </w:rPr>
            </w:pPr>
          </w:p>
        </w:tc>
        <w:tc>
          <w:tcPr>
            <w:tcW w:w="1460" w:type="dxa"/>
            <w:vAlign w:val="bottom"/>
          </w:tcPr>
          <w:p>
            <w:pPr>
              <w:jc w:val="center"/>
              <w:ind w:right="228"/>
              <w:spacing w:after="0" w:line="153" w:lineRule="exact"/>
              <w:rPr>
                <w:sz w:val="20"/>
                <w:szCs w:val="20"/>
                <w:color w:val="auto"/>
              </w:rPr>
            </w:pPr>
            <w:r>
              <w:rPr>
                <w:rFonts w:ascii="Arial" w:cs="Arial" w:eastAsia="Arial" w:hAnsi="Arial"/>
                <w:sz w:val="14"/>
                <w:szCs w:val="14"/>
                <w:b w:val="1"/>
                <w:bCs w:val="1"/>
                <w:color w:val="auto"/>
              </w:rPr>
              <w:t>Hard</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Quarter</w:t>
            </w:r>
          </w:p>
        </w:tc>
        <w:tc>
          <w:tcPr>
            <w:tcW w:w="12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5"/>
              </w:rPr>
              <w:t>Coking Coal</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2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3"/>
              </w:rPr>
              <w:t>Crude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Crude</w:t>
            </w:r>
          </w:p>
        </w:tc>
        <w:tc>
          <w:tcPr>
            <w:tcW w:w="300" w:type="dxa"/>
            <w:vAlign w:val="bottom"/>
          </w:tcPr>
          <w:p>
            <w:pPr>
              <w:spacing w:after="0"/>
              <w:rPr>
                <w:sz w:val="12"/>
                <w:szCs w:val="12"/>
                <w:color w:val="auto"/>
              </w:rPr>
            </w:pPr>
          </w:p>
        </w:tc>
        <w:tc>
          <w:tcPr>
            <w:tcW w:w="14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7"/>
              </w:rPr>
              <w:t>(Met Coal)</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6"/>
              </w:rPr>
              <w:t>(per bbl)</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(per bbl)</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2"/>
              </w:rPr>
              <w:t>(per tonne)</w:t>
            </w:r>
          </w:p>
        </w:tc>
        <w:tc>
          <w:tcPr>
            <w:tcW w:w="0" w:type="dxa"/>
            <w:vAlign w:val="bottom"/>
          </w:tcPr>
          <w:p>
            <w:pPr>
              <w:spacing w:after="0"/>
              <w:rPr>
                <w:sz w:val="1"/>
                <w:szCs w:val="1"/>
                <w:color w:val="auto"/>
              </w:rPr>
            </w:pPr>
          </w:p>
        </w:tc>
      </w:tr>
      <w:tr>
        <w:trPr>
          <w:trHeight w:val="256"/>
        </w:trPr>
        <w:tc>
          <w:tcPr>
            <w:tcW w:w="3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Fourth Quarter through 10/21/2019</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9/30/2019</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56.40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43.88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178.00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3/31/2019</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54.87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44.49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9/30/2018</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69.61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41.58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3/31/2018</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62.89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235.00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9/30/2017</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48.16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193.50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3/31/2017</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51.70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285.00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12/31/2016</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58"/>
        </w:trPr>
        <w:tc>
          <w:tcPr>
            <w:tcW w:w="3680" w:type="dxa"/>
            <w:vAlign w:val="bottom"/>
          </w:tcPr>
          <w:p>
            <w:pPr>
              <w:jc w:val="center"/>
              <w:spacing w:after="0"/>
              <w:rPr>
                <w:sz w:val="20"/>
                <w:szCs w:val="20"/>
                <w:color w:val="auto"/>
              </w:rPr>
            </w:pPr>
            <w:r>
              <w:rPr>
                <w:rFonts w:ascii="Arial" w:cs="Arial" w:eastAsia="Arial" w:hAnsi="Arial"/>
                <w:sz w:val="14"/>
                <w:szCs w:val="14"/>
                <w:color w:val="auto"/>
                <w:w w:val="93"/>
              </w:rPr>
              <w:t>9/30/2016</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44.88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right="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59"/>
        <w:spacing w:after="0" w:line="342" w:lineRule="auto"/>
        <w:rPr>
          <w:sz w:val="20"/>
          <w:szCs w:val="20"/>
          <w:color w:val="auto"/>
        </w:rPr>
      </w:pPr>
      <w:r>
        <w:rPr>
          <w:rFonts w:ascii="Arial" w:cs="Arial" w:eastAsia="Arial" w:hAnsi="Arial"/>
          <w:sz w:val="16"/>
          <w:szCs w:val="16"/>
          <w:color w:val="auto"/>
        </w:rPr>
        <w:t>As noted above, demand for our hospitality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natural resource companies who are developing and producing oil sands and met coal resources and, to a lesser extent, other hydrocarbon and mineral resources. More than 75%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220" w:firstLine="459"/>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40" w:firstLine="459"/>
        <w:spacing w:after="0" w:line="264" w:lineRule="auto"/>
        <w:rPr>
          <w:sz w:val="20"/>
          <w:szCs w:val="20"/>
          <w:color w:val="auto"/>
        </w:rPr>
      </w:pPr>
      <w:r>
        <w:rPr>
          <w:rFonts w:ascii="Arial" w:cs="Arial" w:eastAsia="Arial" w:hAnsi="Arial"/>
          <w:sz w:val="18"/>
          <w:szCs w:val="18"/>
          <w:color w:val="auto"/>
        </w:rPr>
        <w:t>During the period of low crude oil prices that extended through the first quarter of 2016, many of our customers in Canada curtailed their operations and spending, and most major oil sands mining operators began reducing their costs and limiting capital spending, thereby limiting the demand for hospitality services of the kind we provide.</w:t>
      </w:r>
    </w:p>
    <w:p>
      <w:pPr>
        <w:spacing w:after="0" w:line="181" w:lineRule="exact"/>
        <w:rPr>
          <w:sz w:val="20"/>
          <w:szCs w:val="20"/>
          <w:color w:val="auto"/>
        </w:rPr>
      </w:pPr>
    </w:p>
    <w:p>
      <w:pPr>
        <w:ind w:right="60" w:firstLine="459"/>
        <w:spacing w:after="0" w:line="286" w:lineRule="auto"/>
        <w:rPr>
          <w:sz w:val="20"/>
          <w:szCs w:val="20"/>
          <w:color w:val="auto"/>
        </w:rPr>
      </w:pPr>
      <w:r>
        <w:rPr>
          <w:rFonts w:ascii="Arial" w:cs="Arial" w:eastAsia="Arial" w:hAnsi="Arial"/>
          <w:sz w:val="16"/>
          <w:szCs w:val="16"/>
          <w:color w:val="auto"/>
        </w:rPr>
        <w:t>In the last several years,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was relatively flat, in the aggregate. OPEC announced additional production cuts in late 2018 in an effort to further support global oil prices. Also, on December 2, 2018, the Government of Alberta announced it would mandate temporary curtailments of the province’s oil production, which has helped increase WCS prices.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recently acquired Kinder Morgan’s Trans Mountain Pipeline, emphasizing their support for this particular project. Despite some resistance, the federal government approved the expansion of the Trans Mountain Pipeline project on June 18, 2019 and is currently working through the construction timeline. Additionally, we believe that the Keystone XL pipeline in the U.S., if constructed, would be a positive catalyst for Canadian oil sands producers, as it would bolster confidence in future take-away capacity from the region to U.S. Gulf Coast refineries.</w:t>
      </w:r>
    </w:p>
    <w:p>
      <w:pPr>
        <w:spacing w:after="0" w:line="175" w:lineRule="exact"/>
        <w:rPr>
          <w:sz w:val="20"/>
          <w:szCs w:val="20"/>
          <w:color w:val="auto"/>
        </w:rPr>
      </w:pPr>
    </w:p>
    <w:p>
      <w:pPr>
        <w:ind w:right="260" w:firstLine="459"/>
        <w:spacing w:after="0" w:line="255" w:lineRule="auto"/>
        <w:rPr>
          <w:sz w:val="20"/>
          <w:szCs w:val="20"/>
          <w:color w:val="auto"/>
        </w:rPr>
      </w:pPr>
      <w:r>
        <w:rPr>
          <w:rFonts w:ascii="Arial" w:cs="Arial" w:eastAsia="Arial" w:hAnsi="Arial"/>
          <w:sz w:val="18"/>
          <w:szCs w:val="18"/>
          <w:color w:val="auto"/>
        </w:rPr>
        <w:t>In Australia, approximately 80% of our owned rooms are located in the Bowen Basin and primarily serve met coal mines in that region, where our customers continue to implement operational efficiency measures, in order to drive down their cost base. On July 1, 2019, we acquired Action, located in Perth, Australia. The acquisition expands our business by providing an entry point into the growing integrated services opportunities in the Western Australian remote mining market. Accordingly, we also have contracts in place for client owned villages in Western Australia which service iron ore, gold, lithium and nickel mines. We believe prices are currently at a level that may contribute to increased activity over the long term if our customers view these price levels as sustainable.</w:t>
      </w:r>
    </w:p>
    <w:p>
      <w:pPr>
        <w:spacing w:after="0" w:line="193" w:lineRule="exact"/>
        <w:rPr>
          <w:sz w:val="20"/>
          <w:szCs w:val="20"/>
          <w:color w:val="auto"/>
        </w:rPr>
      </w:pPr>
    </w:p>
    <w:p>
      <w:pPr>
        <w:ind w:right="260" w:firstLine="459"/>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hospitality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We began the expansion of our room count in Kitimat, British Columbia during the second half of 2015 to support potential LNG projects on the west coast of British Columbia. We were awarded a contract with LNGC for the provision of open lodge rooms and associated services that ran through October 2017. To support this contract, we developed a new accommodations facility, Sitka Lodge, which includes private washrooms, recreational facilities and other amenities. The lodge had 774 rooms as of the end of 2018. Expansion of the facility was completed in the third quarter of 2019, which resulted in 1,186 total available rooms.</w:t>
      </w:r>
    </w:p>
    <w:p>
      <w:pPr>
        <w:spacing w:after="0" w:line="188"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As previously discussed, on October 1, 2018, LNGC's participants announced a positive FID on the Kitimat LNG Facility. With the project moving forward, British Columbia LNG activity and related pipeline projects could become a material driver of future activity for our Sitka Lodge, as well as for our mobile camp assets, which are well suited for the related pipeline construction activity. We previously announced contract awards for locations along the CGL pipeline project and room commitments for our Sitka Lodge. The actual timing of when revenue is realized from the CGL pipeline and Sitka Lodge contracts could be impacted by any delays in the construction of the Kitimat LNG Facility.</w:t>
      </w:r>
    </w:p>
    <w:p>
      <w:pPr>
        <w:spacing w:after="0" w:line="188" w:lineRule="exact"/>
        <w:rPr>
          <w:sz w:val="20"/>
          <w:szCs w:val="20"/>
          <w:color w:val="auto"/>
        </w:rPr>
      </w:pPr>
    </w:p>
    <w:p>
      <w:pPr>
        <w:ind w:right="160" w:firstLine="459"/>
        <w:spacing w:after="0" w:line="259" w:lineRule="auto"/>
        <w:rPr>
          <w:sz w:val="20"/>
          <w:szCs w:val="20"/>
          <w:color w:val="auto"/>
        </w:rPr>
      </w:pPr>
      <w:r>
        <w:rPr>
          <w:rFonts w:ascii="Arial" w:cs="Arial" w:eastAsia="Arial" w:hAnsi="Arial"/>
          <w:sz w:val="18"/>
          <w:szCs w:val="18"/>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 losses are translated into U.S. dollars for U.S. GAAP financial reporting purposes. The following tables summarize the fluctuations in the exchange rates between the U.S. dollar and each of the Canadian dollar and the Australian dollar: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4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2"/>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1"/>
              </w:rPr>
              <w:t>Nine Months Ended</w:t>
            </w:r>
          </w:p>
        </w:tc>
        <w:tc>
          <w:tcPr>
            <w:tcW w:w="104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Percentage</w:t>
            </w: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2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Average Canadian dollar to U.S.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dollar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(0.008)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(0.025)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Average Australian dollar to U.S.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dollar</w:t>
            </w:r>
          </w:p>
        </w:tc>
        <w:tc>
          <w:tcPr>
            <w:tcW w:w="840" w:type="dxa"/>
            <w:vAlign w:val="bottom"/>
          </w:tcPr>
          <w:p>
            <w:pPr>
              <w:jc w:val="right"/>
              <w:spacing w:after="0"/>
              <w:rPr>
                <w:sz w:val="20"/>
                <w:szCs w:val="20"/>
                <w:color w:val="auto"/>
              </w:rPr>
            </w:pPr>
            <w:r>
              <w:rPr>
                <w:rFonts w:ascii="Arial" w:cs="Arial" w:eastAsia="Arial" w:hAnsi="Arial"/>
                <w:sz w:val="18"/>
                <w:szCs w:val="18"/>
                <w:color w:val="auto"/>
              </w:rPr>
              <w:t>$0.686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$0.731</w:t>
            </w:r>
          </w:p>
        </w:tc>
        <w:tc>
          <w:tcPr>
            <w:tcW w:w="1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(0.045)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$0.699</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$0.758</w:t>
            </w:r>
          </w:p>
        </w:tc>
        <w:tc>
          <w:tcPr>
            <w:tcW w:w="120" w:type="dxa"/>
            <w:vAlign w:val="bottom"/>
          </w:tcPr>
          <w:p>
            <w:pPr>
              <w:spacing w:after="0"/>
              <w:rPr>
                <w:sz w:val="20"/>
                <w:szCs w:val="20"/>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(0.059)</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(7.8)%</w:t>
            </w:r>
          </w:p>
        </w:tc>
      </w:tr>
    </w:tbl>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1140"/>
              <w:spacing w:after="0"/>
              <w:rPr>
                <w:sz w:val="20"/>
                <w:szCs w:val="20"/>
                <w:color w:val="auto"/>
              </w:rPr>
            </w:pPr>
            <w:r>
              <w:rPr>
                <w:rFonts w:ascii="Arial" w:cs="Arial" w:eastAsia="Arial" w:hAnsi="Arial"/>
                <w:sz w:val="18"/>
                <w:szCs w:val="18"/>
                <w:b w:val="1"/>
                <w:bCs w:val="1"/>
                <w:color w:val="auto"/>
                <w:w w:val="93"/>
              </w:rPr>
              <w:t>As of</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04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304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380" w:type="dxa"/>
            <w:vAlign w:val="bottom"/>
            <w:gridSpan w:val="2"/>
          </w:tcPr>
          <w:p>
            <w:pPr>
              <w:ind w:left="34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0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Canadian dollar to U.S. dollar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$0.755</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0.022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3.0%</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Australian dollar to U.S. dollar</w:t>
            </w:r>
          </w:p>
        </w:tc>
        <w:tc>
          <w:tcPr>
            <w:tcW w:w="1320" w:type="dxa"/>
            <w:vAlign w:val="bottom"/>
          </w:tcPr>
          <w:p>
            <w:pPr>
              <w:jc w:val="right"/>
              <w:spacing w:after="0"/>
              <w:rPr>
                <w:sz w:val="20"/>
                <w:szCs w:val="20"/>
                <w:color w:val="auto"/>
              </w:rPr>
            </w:pPr>
            <w:r>
              <w:rPr>
                <w:rFonts w:ascii="Arial" w:cs="Arial" w:eastAsia="Arial" w:hAnsi="Arial"/>
                <w:sz w:val="18"/>
                <w:szCs w:val="18"/>
                <w:color w:val="auto"/>
              </w:rPr>
              <w:t>$0.675</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$0.705</w:t>
            </w:r>
          </w:p>
        </w:tc>
        <w:tc>
          <w:tcPr>
            <w:tcW w:w="160" w:type="dxa"/>
            <w:vAlign w:val="bottom"/>
          </w:tcPr>
          <w:p>
            <w:pPr>
              <w:spacing w:after="0"/>
              <w:rPr>
                <w:sz w:val="21"/>
                <w:szCs w:val="21"/>
                <w:color w:val="auto"/>
              </w:rPr>
            </w:pPr>
          </w:p>
        </w:tc>
        <w:tc>
          <w:tcPr>
            <w:tcW w:w="1220" w:type="dxa"/>
            <w:vAlign w:val="bottom"/>
          </w:tcPr>
          <w:p>
            <w:pPr>
              <w:jc w:val="right"/>
              <w:ind w:right="273"/>
              <w:spacing w:after="0"/>
              <w:rPr>
                <w:sz w:val="20"/>
                <w:szCs w:val="20"/>
                <w:color w:val="auto"/>
              </w:rPr>
            </w:pPr>
            <w:r>
              <w:rPr>
                <w:rFonts w:ascii="Arial" w:cs="Arial" w:eastAsia="Arial" w:hAnsi="Arial"/>
                <w:sz w:val="18"/>
                <w:szCs w:val="18"/>
                <w:color w:val="auto"/>
              </w:rPr>
              <w:t>(0.030)</w:t>
            </w:r>
          </w:p>
        </w:tc>
        <w:tc>
          <w:tcPr>
            <w:tcW w:w="160" w:type="dxa"/>
            <w:vAlign w:val="bottom"/>
          </w:tcPr>
          <w:p>
            <w:pPr>
              <w:spacing w:after="0"/>
              <w:rPr>
                <w:sz w:val="21"/>
                <w:szCs w:val="21"/>
                <w:color w:val="auto"/>
              </w:rPr>
            </w:pPr>
          </w:p>
        </w:tc>
        <w:tc>
          <w:tcPr>
            <w:tcW w:w="1200" w:type="dxa"/>
            <w:vAlign w:val="bottom"/>
          </w:tcPr>
          <w:p>
            <w:pPr>
              <w:jc w:val="right"/>
              <w:ind w:right="273"/>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0"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We continue to monitor the global economy, the demand for crude oil and met coal and the resultant impact on the capital spending plans of our customers in order to plan our business activities. We currently expect that our 2019 capital expenditures, exclusive of any business acquisitions, will total approximately $33 million to $37 million, compared to 2018 capital expenditures of $17.1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2019 capital expenditures.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742"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 months ended September 30, 2019, is based on a comparison to the corresponding periods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2019 Compared to Three Months Ended September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91,071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14,318</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47,743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31,090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16,653</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9,349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(3,299)</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148,163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120,491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27,672</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62,277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5,458</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28,664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15,207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13,457</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8,539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10,201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99,480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82,227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17,253</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14,334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16,854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31,196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34,468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(3,272)</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145,287</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133,386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11,901</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(12,895)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15,771</w:t>
            </w:r>
          </w:p>
        </w:tc>
      </w:tr>
      <w:tr>
        <w:trPr>
          <w:trHeight w:val="276"/>
        </w:trPr>
        <w:tc>
          <w:tcPr>
            <w:tcW w:w="5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(7,298)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2,437</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17,298</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1,299</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18,597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income (loss) attributable to Civeo Corporation</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4,996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18,634</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income (loss) attributable to Civeo common shareholders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18,782</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We reported net income attributable to Civeo for the quarter ended September 30, 2019 of $4.5 million, or $0.02 per diluted share. As further discussed below, net income included a gain on sale of assets related to the sale of a village in Australia and related $2.2 million release of an asset retirement obligation (ARO) liability assumed by the buyer.</w:t>
      </w:r>
    </w:p>
    <w:p>
      <w:pPr>
        <w:spacing w:after="0" w:line="154" w:lineRule="exact"/>
        <w:rPr>
          <w:sz w:val="20"/>
          <w:szCs w:val="20"/>
          <w:color w:val="auto"/>
        </w:rPr>
      </w:pPr>
    </w:p>
    <w:p>
      <w:pPr>
        <w:jc w:val="both"/>
        <w:ind w:right="200" w:firstLine="459"/>
        <w:spacing w:after="0" w:line="264" w:lineRule="auto"/>
        <w:rPr>
          <w:sz w:val="20"/>
          <w:szCs w:val="20"/>
          <w:color w:val="auto"/>
        </w:rPr>
      </w:pPr>
      <w:r>
        <w:rPr>
          <w:rFonts w:ascii="Arial" w:cs="Arial" w:eastAsia="Arial" w:hAnsi="Arial"/>
          <w:sz w:val="18"/>
          <w:szCs w:val="18"/>
          <w:color w:val="auto"/>
        </w:rPr>
        <w:t>We reported net loss attributable to Civeo for the quarter ended September 30, 2018 of $14.3 million, or $0.09 per diluted share. As further discussed below, net loss included costs totaling $0.5 million ($0.4 million after-tax, or $0.00 per diluted share) incurred in connection with the acquisition of Noralta Lodge Ltd. (Noralta), primarily included in SG&amp;A expense below.</w:t>
      </w:r>
    </w:p>
    <w:p>
      <w:pPr>
        <w:spacing w:after="0" w:line="177" w:lineRule="exact"/>
        <w:rPr>
          <w:sz w:val="20"/>
          <w:szCs w:val="20"/>
          <w:color w:val="auto"/>
        </w:rPr>
      </w:pPr>
    </w:p>
    <w:p>
      <w:pPr>
        <w:ind w:right="300" w:firstLine="459"/>
        <w:spacing w:after="0" w:line="295"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increased $27.7 million, or 23%, in the third quarter of 2019 compared to the third quarter of 2018. This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due to increases in Canada due to (1) higher room demand at both our Sitka Lodge related to an LNG project and our core oil sands lodges related to large client turnaround projects, (2) increased food services activity due to a new contract and (3) increased mobile facility activity due to the commencement of a pipeline project. In addition, revenues increased in Australia due to the Action acquisition completed on July 1, 2019 and higher occupancy related to maintenance activity at our Bowen Basin villages. These items were partially offset by lower activity levels in certain markets in the U.S. Additionally, weaker Canadian and Australian dollars relative to the U.S. dollar in the third quarter of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96" w:right="259" w:bottom="1440" w:gutter="0" w:footer="0" w:header="0"/>
        </w:sectPr>
      </w:pPr>
    </w:p>
    <w:bookmarkStart w:id="27" w:name="page28"/>
    <w:bookmarkEnd w:id="27"/>
    <w:p>
      <w:pPr>
        <w:ind w:right="720"/>
        <w:spacing w:after="0" w:line="277" w:lineRule="auto"/>
        <w:rPr>
          <w:sz w:val="20"/>
          <w:szCs w:val="20"/>
          <w:color w:val="auto"/>
        </w:rPr>
      </w:pPr>
      <w:r>
        <w:rPr>
          <w:rFonts w:ascii="Arial" w:cs="Arial" w:eastAsia="Arial" w:hAnsi="Arial"/>
          <w:sz w:val="18"/>
          <w:szCs w:val="18"/>
          <w:color w:val="auto"/>
        </w:rPr>
        <w:t>compared to the third quarter of 2018 contributed to decreased revenues. Please see the discussion of segment results of operations below for further information.</w:t>
      </w:r>
    </w:p>
    <w:p>
      <w:pPr>
        <w:spacing w:after="0" w:line="166" w:lineRule="exact"/>
        <w:rPr>
          <w:sz w:val="20"/>
          <w:szCs w:val="20"/>
          <w:color w:val="auto"/>
        </w:rPr>
      </w:pPr>
    </w:p>
    <w:p>
      <w:pPr>
        <w:ind w:right="40" w:firstLine="459"/>
        <w:spacing w:after="0" w:line="274"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increased $17.3 million, or 21%, in the third quarter of 2019 compared to the third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of 2018, primarily due to the Action acquisition and higher activity levels at our Bowen Basin villages in Australia. In addition, increased cost of sales was driven by higher room demand at both our Sitka Lodge and our core oil sands lodges, increased food services activity and increased mobile facility activity in Canada. These items were partially offset by decreased activity levels in certain U.S. markets. Additionally, weaker Canadian and Australian dollars relative to the U.S. dollar in the third quarter of 2019 compared to the third quarter of 2018 contributed to decreased cost of sales and services. Please see the discussion of segment results of operations below for further description.</w:t>
      </w:r>
    </w:p>
    <w:p>
      <w:pPr>
        <w:spacing w:after="0" w:line="174" w:lineRule="exact"/>
        <w:rPr>
          <w:sz w:val="20"/>
          <w:szCs w:val="20"/>
          <w:color w:val="auto"/>
        </w:rPr>
      </w:pPr>
    </w:p>
    <w:p>
      <w:pPr>
        <w:ind w:right="60" w:firstLine="459"/>
        <w:spacing w:after="0" w:line="277"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$2.5 million, or 15%, in the third quarter of 2019 compared to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2018. This decrease was primarily due to lower professional fees (in part related to lower fees incurred in connection with the Action acquisition in the third quarter of 2019 compared to those incurred in connection with the Noralta acquisition in the third quarter of 2018) and lower share-based compensation expense. The decrease in share-based compensation was largely due to a reduction in the amount of phantom share awards outstanding during the third quarter of 2019. These items were partially offset by higher incentive compensation costs.</w:t>
      </w:r>
    </w:p>
    <w:p>
      <w:pPr>
        <w:spacing w:after="0" w:line="168" w:lineRule="exact"/>
        <w:rPr>
          <w:sz w:val="20"/>
          <w:szCs w:val="20"/>
          <w:color w:val="auto"/>
        </w:rPr>
      </w:pPr>
    </w:p>
    <w:p>
      <w:pPr>
        <w:ind w:right="60" w:firstLine="459"/>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$3.3 million, or 9%, in the third quarter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third quarter of 2018. The decrease was due to certain assets and intangibles becoming fully depreciated during 2018 and the first half of 2019 as well as weaker Canadian and Australian dollars relative to the U.S. dollar in the third quarter of 2019 compared to the third quarter of 2018. This was partially offset by the acceleration of depreciation expense for the shortened useful life of a Canadian lodge.</w:t>
      </w:r>
    </w:p>
    <w:p>
      <w:pPr>
        <w:spacing w:after="0" w:line="180" w:lineRule="exact"/>
        <w:rPr>
          <w:sz w:val="20"/>
          <w:szCs w:val="20"/>
          <w:color w:val="auto"/>
        </w:rPr>
      </w:pPr>
    </w:p>
    <w:p>
      <w:pPr>
        <w:ind w:right="180" w:firstLine="459"/>
        <w:spacing w:after="0" w:line="347" w:lineRule="auto"/>
        <w:rPr>
          <w:sz w:val="20"/>
          <w:szCs w:val="20"/>
          <w:color w:val="auto"/>
        </w:rPr>
      </w:pPr>
      <w:r>
        <w:rPr>
          <w:rFonts w:ascii="Arial" w:cs="Arial" w:eastAsia="Arial" w:hAnsi="Arial"/>
          <w:sz w:val="16"/>
          <w:szCs w:val="16"/>
          <w:b w:val="1"/>
          <w:bCs w:val="1"/>
          <w:color w:val="auto"/>
        </w:rPr>
        <w:t xml:space="preserve">Operating Income (Loss). </w:t>
      </w:r>
      <w:r>
        <w:rPr>
          <w:rFonts w:ascii="Arial" w:cs="Arial" w:eastAsia="Arial" w:hAnsi="Arial"/>
          <w:sz w:val="16"/>
          <w:szCs w:val="16"/>
          <w:color w:val="auto"/>
        </w:rPr>
        <w:t>Consolidated operating income (loss) increased $15.8 million, or 122%, in the third quarter of 2019 compared to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2018, primarily due to increased activity levels in Canada and Australia as well as lower SG&amp;A and depreciation and amortization expense.</w:t>
      </w:r>
    </w:p>
    <w:p>
      <w:pPr>
        <w:spacing w:after="0" w:line="116" w:lineRule="exact"/>
        <w:rPr>
          <w:sz w:val="20"/>
          <w:szCs w:val="20"/>
          <w:color w:val="auto"/>
        </w:rPr>
      </w:pPr>
    </w:p>
    <w:p>
      <w:pPr>
        <w:jc w:val="both"/>
        <w:ind w:right="20" w:firstLine="459"/>
        <w:spacing w:after="0" w:line="266"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$0.9 million, or 14%, in the third quarter of 2019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primarily related to higher interest rates on term loan and revolving credit facility borrowings and higher revolving credit facility borrowings, partially offset by lower term loan borrowings.</w:t>
      </w:r>
    </w:p>
    <w:p>
      <w:pPr>
        <w:spacing w:after="0" w:line="176" w:lineRule="exact"/>
        <w:rPr>
          <w:sz w:val="20"/>
          <w:szCs w:val="20"/>
          <w:color w:val="auto"/>
        </w:rPr>
      </w:pPr>
    </w:p>
    <w:p>
      <w:pPr>
        <w:ind w:right="120" w:firstLine="459"/>
        <w:spacing w:after="0" w:line="347" w:lineRule="auto"/>
        <w:rPr>
          <w:sz w:val="20"/>
          <w:szCs w:val="20"/>
          <w:color w:val="auto"/>
        </w:rPr>
      </w:pPr>
      <w:r>
        <w:rPr>
          <w:rFonts w:ascii="Arial" w:cs="Arial" w:eastAsia="Arial" w:hAnsi="Arial"/>
          <w:sz w:val="16"/>
          <w:szCs w:val="16"/>
          <w:b w:val="1"/>
          <w:bCs w:val="1"/>
          <w:color w:val="auto"/>
        </w:rPr>
        <w:t xml:space="preserve">Other Income. </w:t>
      </w:r>
      <w:r>
        <w:rPr>
          <w:rFonts w:ascii="Arial" w:cs="Arial" w:eastAsia="Arial" w:hAnsi="Arial"/>
          <w:sz w:val="16"/>
          <w:szCs w:val="16"/>
          <w:color w:val="auto"/>
        </w:rPr>
        <w:t>Consolidated other income increased $2.4 million, or 592%, in the third quarter of 2019 compared to the third quarter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a gain on sale of assets related to the sale of a village in Australia and related $2.2 million release of an ARO liability assumed by the buyer.</w:t>
      </w:r>
    </w:p>
    <w:p>
      <w:pPr>
        <w:spacing w:after="0" w:line="116" w:lineRule="exact"/>
        <w:rPr>
          <w:sz w:val="20"/>
          <w:szCs w:val="20"/>
          <w:color w:val="auto"/>
        </w:rPr>
      </w:pPr>
    </w:p>
    <w:p>
      <w:pPr>
        <w:ind w:firstLine="459"/>
        <w:spacing w:after="0" w:line="273"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the three months ended September 30, 2019 totaled $6.6 million, or 421.4% of pretax income,</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 benefit of $5.3 million, or 28.2% of pretax loss, for the three months ended September 30, 2018. Our effective tax rate for the three months ended September 30, 2019 was impacted by a tax benefit of $3.0 million related to a reduction in the Alberta, Canada income tax rate as well as a $2.1 million tax benefit related to the change in the valuation allowance in Australia resulting from the acquisition of Action. Our effective rate in 2018 was impacted by the relative mix of losses between Canada, Australia and the U.S., as Australia and the U.S., for purposes of computing the interim tax provision, are considered loss jurisdictions for tax accounting purposes. Under ASC 740-270, Accounting for Income Taxes, the quarterly tax provision is based on our current estimate of the annual effective tax rate less the prior quarter’s year-to-date provision.</w:t>
      </w:r>
    </w:p>
    <w:p>
      <w:pPr>
        <w:spacing w:after="0" w:line="172" w:lineRule="exact"/>
        <w:rPr>
          <w:sz w:val="20"/>
          <w:szCs w:val="20"/>
          <w:color w:val="auto"/>
        </w:rPr>
      </w:pPr>
    </w:p>
    <w:p>
      <w:pPr>
        <w:jc w:val="both"/>
        <w:ind w:right="100" w:firstLine="315"/>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$10.8 million in the third quarter of 2019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 primarily as a result of foreign currency translation adjustments due to changes in the Canadian and Australian dollar exchange rates compared to the U.S. dollar. The Canadian dollar exchange rate compared to the U.S. dollar decreased 1% in the third quarter of 2019 compared to a 2% increase in the third quarter of 2018. The Australian dollar exchange rate compared to the U.S. dollar decreased 4% in the third quarter of 2019 compared to a 2% decrease in the third quarter of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79,939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72,991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6,948</w:t>
            </w:r>
          </w:p>
        </w:tc>
      </w:tr>
      <w:tr>
        <w:trPr>
          <w:trHeight w:val="276"/>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2,913</w:t>
            </w:r>
          </w:p>
        </w:tc>
      </w:tr>
      <w:tr>
        <w:trPr>
          <w:trHeight w:val="26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8,084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3,627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4,457</w:t>
            </w:r>
          </w:p>
        </w:tc>
      </w:tr>
      <w:tr>
        <w:trPr>
          <w:trHeight w:val="256"/>
        </w:trPr>
        <w:tc>
          <w:tcPr>
            <w:tcW w:w="4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91,071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76,753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14,318</w:t>
            </w:r>
          </w:p>
        </w:tc>
      </w:tr>
      <w:tr>
        <w:trPr>
          <w:trHeight w:val="189"/>
        </w:trPr>
        <w:tc>
          <w:tcPr>
            <w:tcW w:w="4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Accommodation cost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49,377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48,394</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983</w:t>
            </w:r>
          </w:p>
        </w:tc>
      </w:tr>
      <w:tr>
        <w:trPr>
          <w:trHeight w:val="276"/>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cost</w:t>
            </w: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1,225</w:t>
            </w: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7,319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3,695</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costs</w:t>
            </w:r>
          </w:p>
        </w:tc>
        <w:tc>
          <w:tcPr>
            <w:tcW w:w="1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3,967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r>
      <w:tr>
        <w:trPr>
          <w:trHeight w:val="250"/>
        </w:trPr>
        <w:tc>
          <w:tcPr>
            <w:tcW w:w="49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62,277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56,819</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5,458</w:t>
            </w:r>
          </w:p>
        </w:tc>
      </w:tr>
      <w:tr>
        <w:trPr>
          <w:trHeight w:val="195"/>
        </w:trPr>
        <w:tc>
          <w:tcPr>
            <w:tcW w:w="4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95"/>
        </w:trPr>
        <w:tc>
          <w:tcPr>
            <w:tcW w:w="4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Average daily rate for lodges (4)</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2</w:t>
            </w:r>
          </w:p>
        </w:tc>
      </w:tr>
      <w:tr>
        <w:trPr>
          <w:trHeight w:val="195"/>
        </w:trPr>
        <w:tc>
          <w:tcPr>
            <w:tcW w:w="4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Total billed rooms for lodges (5)</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875,891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816,295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59,596</w:t>
            </w:r>
          </w:p>
        </w:tc>
      </w:tr>
      <w:tr>
        <w:trPr>
          <w:trHeight w:val="195"/>
        </w:trPr>
        <w:tc>
          <w:tcPr>
            <w:tcW w:w="4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58"/>
        </w:trPr>
        <w:tc>
          <w:tcPr>
            <w:tcW w:w="496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0.757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0.765</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(0.008)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11"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Our Canadian segment reported revenues in the third quarter of 2019 that were $14.3 million, or 19%, higher than the third quarter of 2018. The weakening of the average exchange rates for the Canadian dollar relative to the U.S. dollar by 1% in the third quarter of 2019 compared to the third quarter of 2018 resulted in a $1.1 million period-over-period decrease in revenues. Excluding the impact of the weaker Canadian exchange rates, the segment experienced an 11% increase in accommodation revenue. This increase was driven by higher room demand at both our Sitka Lodge related to an LNG project and our core oil sands lodges related to large client turnaround projects. These items were partially offset by the continued impact of provincially imposed oil production curtailments. In addition, total revenues increased due to (1) increased food services activity related to a new contract with an oil sands customer and (2) increased mobile facility activity resulting from the commencement of a pipeline project.</w:t>
      </w:r>
    </w:p>
    <w:p>
      <w:pPr>
        <w:spacing w:after="0" w:line="178"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Our Canadian segment cost of sales and services increased $5.5 million, or 10%, in the third quarter of 2019 compared to the third quarter of 2018. The weakening of the average exchange rates for the Canadian dollar relative to the U.S. dollar by 1% in the third quarter of 2019 compared to the third quarter of 2018 resulted in a $0.7 million period-over-period decrease in cost of sales and services. Excluding the impact of the weaker Canadian exchange rates, the increased cost of sales and services was driven by higher room demand at both our Sitka Lodge and our core oil sands lodges, increased food services activity and increased mobile facility activity.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Canadian segment gross margin as a percentage of revenues increased from 26% in the third quarter of 2018 to 32% in the third quarter of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increased operating efficiencies due to higher occupancy percentages.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0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48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33,056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30,679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2,377</w:t>
            </w: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14,687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14,276</w:t>
            </w:r>
          </w:p>
        </w:tc>
      </w:tr>
      <w:tr>
        <w:trPr>
          <w:trHeight w:val="250"/>
        </w:trPr>
        <w:tc>
          <w:tcPr>
            <w:tcW w:w="48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47,743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31,090</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16,653</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14,199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755</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12,807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12,442</w:t>
            </w: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260</w:t>
            </w:r>
          </w:p>
        </w:tc>
      </w:tr>
      <w:tr>
        <w:trPr>
          <w:trHeight w:val="250"/>
        </w:trPr>
        <w:tc>
          <w:tcPr>
            <w:tcW w:w="484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28,664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15,207</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13,457</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(4)</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2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454,859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396,747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58,112</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0.686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0.731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(0.045)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11"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color w:val="auto"/>
        </w:rPr>
        <w:t>Our Australian segment reported revenues in the third quarter of 2019 that were $16.7 million, or 54%, higher than the third quarter of 2018. Action contributed $14.7 million in revenues in the third quarter of 2019. The weakening of the average exchange rates for Australian dollars relative to the U.S. dollar by 6% in the third quarter of 2019 compared to the third quarter of 2018 resulted in a $2.2 million period-over-period decrease in revenues and a $4 reduction in the average daily rate. Excluding the impact of the weaker Australian exchange rates, the Australian segment experienced a 64% increase in accommodation revenue due to increased activity at our Bowen Basin villages partially offset by decreased activity at our Gunnedah Basin and Western Australia villages.</w:t>
      </w:r>
    </w:p>
    <w:p>
      <w:pPr>
        <w:spacing w:after="0" w:line="193" w:lineRule="exact"/>
        <w:rPr>
          <w:sz w:val="20"/>
          <w:szCs w:val="20"/>
          <w:color w:val="auto"/>
        </w:rPr>
      </w:pPr>
    </w:p>
    <w:p>
      <w:pPr>
        <w:jc w:val="both"/>
        <w:ind w:right="40" w:firstLine="459"/>
        <w:spacing w:after="0" w:line="342" w:lineRule="auto"/>
        <w:rPr>
          <w:sz w:val="20"/>
          <w:szCs w:val="20"/>
          <w:color w:val="auto"/>
        </w:rPr>
      </w:pPr>
      <w:r>
        <w:rPr>
          <w:rFonts w:ascii="Arial" w:cs="Arial" w:eastAsia="Arial" w:hAnsi="Arial"/>
          <w:sz w:val="16"/>
          <w:szCs w:val="16"/>
          <w:color w:val="auto"/>
        </w:rPr>
        <w:t>Our Australian segment cost of sales increased $13.5 million, or 88%, in the third quarter of 2019 compared to the third quarter of 2018. The increase was primarily driven by the Action acquisition and increased activity at our Bowen Basin villages, partially offset by the weakening of the Australian dollar.</w:t>
      </w:r>
    </w:p>
    <w:p>
      <w:pPr>
        <w:spacing w:after="0" w:line="124"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Our Australian segment gross margin as a percentage of revenues decreased to 40% in the third quarter of 2019 from 51% in the third quarter of 2018. This was primarily driven by Action, which has a service-only business model and therefore results in lower overall gross margins than the accommodation business.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58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79"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13335</wp:posOffset>
            </wp:positionV>
            <wp:extent cx="3662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20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9,349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12,648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(3,299)</w:t>
            </w:r>
          </w:p>
        </w:tc>
      </w:tr>
      <w:tr>
        <w:trPr>
          <w:trHeight w:val="270"/>
        </w:trPr>
        <w:tc>
          <w:tcPr>
            <w:tcW w:w="4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20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8,539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(1,662)</w:t>
            </w:r>
          </w:p>
        </w:tc>
      </w:tr>
      <w:tr>
        <w:trPr>
          <w:trHeight w:val="270"/>
        </w:trPr>
        <w:tc>
          <w:tcPr>
            <w:tcW w:w="4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bl>
    <w:p>
      <w:pPr>
        <w:spacing w:after="0" w:line="202" w:lineRule="exact"/>
        <w:rPr>
          <w:sz w:val="20"/>
          <w:szCs w:val="20"/>
          <w:color w:val="auto"/>
        </w:rPr>
      </w:pPr>
    </w:p>
    <w:p>
      <w:pPr>
        <w:ind w:right="40" w:firstLine="459"/>
        <w:spacing w:after="0" w:line="259" w:lineRule="auto"/>
        <w:rPr>
          <w:sz w:val="20"/>
          <w:szCs w:val="20"/>
          <w:color w:val="auto"/>
        </w:rPr>
      </w:pPr>
      <w:r>
        <w:rPr>
          <w:rFonts w:ascii="Arial" w:cs="Arial" w:eastAsia="Arial" w:hAnsi="Arial"/>
          <w:sz w:val="18"/>
          <w:szCs w:val="18"/>
          <w:color w:val="auto"/>
        </w:rPr>
        <w:t>Our U.S. segment reported revenues in the third quarter of 2019 that were $3.3 million, or 26%, lower than the third quarter of 2018. This was primarily due to reduced activity at our West Permian and Acadian Acres lodges and lower revenues from our offshore business resulting from lower project activity. These items were partially offset by greater U.S. drilling and completion activity in the Bakken, Rockies, mid Continent and Texas markets benefiting our wellsite business.</w:t>
      </w:r>
    </w:p>
    <w:p>
      <w:pPr>
        <w:spacing w:after="0" w:line="187" w:lineRule="exact"/>
        <w:rPr>
          <w:sz w:val="20"/>
          <w:szCs w:val="20"/>
          <w:color w:val="auto"/>
        </w:rPr>
      </w:pPr>
    </w:p>
    <w:p>
      <w:pPr>
        <w:ind w:right="220" w:firstLine="459"/>
        <w:spacing w:after="0" w:line="342" w:lineRule="auto"/>
        <w:rPr>
          <w:sz w:val="20"/>
          <w:szCs w:val="20"/>
          <w:color w:val="auto"/>
        </w:rPr>
      </w:pPr>
      <w:r>
        <w:rPr>
          <w:rFonts w:ascii="Arial" w:cs="Arial" w:eastAsia="Arial" w:hAnsi="Arial"/>
          <w:sz w:val="16"/>
          <w:szCs w:val="16"/>
          <w:color w:val="auto"/>
        </w:rPr>
        <w:t>Our U.S. segment cost of sales decreased $1.7 million, or 16%, in the third quarter of 2019 compared to the third quarter of 2018. The decrease was driven by reduced activity in our offshore and lodge businesses partially offset by higher cost of sales in the wellsite business related to greater activity.</w:t>
      </w:r>
    </w:p>
    <w:p>
      <w:pPr>
        <w:spacing w:after="0" w:line="124"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U.S. segment gross margin as a percentage of revenues decreased from 19% in the third quarter of 2018 to 9% in the third quarter of 2019 primarily due to reduced activity in our offshore and lodge businesses partially offset by greater U.S. drilling and completion activity in the Bakken, Rockies, mid Continent and Texas markets benefiting our wellsite business.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584"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Results of Operations – Nine Months Ended September 30, 2019 Compared to Nine Months Ended September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235,943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9,282</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107,160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89,542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17,618</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35,763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35,969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378,866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352,172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26,694</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176,200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172,272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3,928</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59,718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45,889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13,829</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28,432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31,222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264,350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249,383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14,967</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42,960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(12,229)</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92,974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99,502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(6,528)</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(23,115)</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405,939</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433,083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(27,144)</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(27,073)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(80,911)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53,838</w:t>
            </w:r>
          </w:p>
        </w:tc>
      </w:tr>
      <w:tr>
        <w:trPr>
          <w:trHeight w:val="276"/>
        </w:trPr>
        <w:tc>
          <w:tcPr>
            <w:tcW w:w="5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(20,604)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6,882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3,959</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(40,795)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(97,973)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57,178</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13,963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29,386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(15,423)</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(26,832)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41,755</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(26,892)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42,036</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49,100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(47,716)</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(28,276)</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(118,028)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89,752</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We reported net loss attributable to Civeo for the nine months ended September 30, 2019 of $28.3 million, or $0.17 per diluted share. As further discussed below, net loss included (1) a $5.5 million pre-tax loss ($5.5 million after-tax, or $0.03 per diluted share) resulting from the impairment of fixed assets included in Impairment expense, (2) a gain on sale of assets related to the sale of a village in Australia and related $2.2 million release of an ARO liability assumed by the buyer.</w:t>
      </w:r>
    </w:p>
    <w:p>
      <w:pPr>
        <w:spacing w:after="0" w:line="187"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We reported net loss attributable to Civeo for the nine months ended September 30, 2018 of $118.0 million, or $0.76 per diluted share. As further discussed below, net loss included (1) a $28.7 million pre-tax loss ($20.9 million after-tax, or $0.16 per diluted share) resulting from the impairment of fixed assets included in Impairment expense, (2) costs totaling $7.0 million ($6.3 million after-tax, or $0.04 per diluted share) incurred in connection with the Noralta acquisition, primarily included in SG&amp;A expense below, and (3) $49.1 million of dividends attributable to the preferred shares issued in the Noralta acquisition.</w:t>
      </w:r>
    </w:p>
    <w:p>
      <w:pPr>
        <w:spacing w:after="0" w:line="184"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$26.7 million in the nine months ended September 30, 2019 compared to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2018. This increase was primarily due to increases in Canada due to increased food service and other services revenue and higher room demand at our Sitka Lodge related to an LNG project, partially offset by lower room demand related to the continued impact of provincially imposed oil production curtailments. In addition, increased revenues in Australia were due to the Action acquisition completed on July 1, 2019 and higher activity levels at our Bowen Basin villages. These items were partially offset by lower activity levels in certain markets in the U.S. Additionally, weaker Canadian and Australian dollars relative to the U.S. dollar in 2019 compared to 2018 contributed to decreased revenues. Please see the discussion of segment results of operations below for further information.</w:t>
      </w:r>
    </w:p>
    <w:p>
      <w:pPr>
        <w:sectPr>
          <w:pgSz w:w="11900" w:h="16838" w:orient="portrait"/>
          <w:cols w:equalWidth="0" w:num="1">
            <w:col w:w="11280"/>
          </w:cols>
          <w:pgMar w:left="240" w:top="584" w:right="37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80"/>
          </w:cols>
          <w:pgMar w:left="240" w:top="584" w:right="379" w:bottom="1440" w:gutter="0" w:footer="0" w:header="0"/>
          <w:type w:val="continuous"/>
        </w:sectPr>
      </w:pPr>
    </w:p>
    <w:bookmarkStart w:id="32" w:name="page33"/>
    <w:bookmarkEnd w:id="32"/>
    <w:p>
      <w:pPr>
        <w:ind w:right="100" w:firstLine="459"/>
        <w:spacing w:after="0" w:line="274"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increased $15.0 million, or 6%, in the nine months ended September 30, 2019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nine months ended September 30, 2018, primarily due to the Action acquisition and higher activity levels in certain markets in Australia. In addition, increased cost of sales and services in Canada was driven by increased food services activity and the Noralta acquisition in the second quarter of 2018. This was partially offset by reduced mobile facility rental cost of sales in Canada and reduced activity in our offshore business in the U.S. Additionally, weaker Canadian and Australian dollars relative to the U.S. dollar in 2019 compared to 2018 contributed to decreased cost of sales and services. Please see the discussion of segment results of operations below for further description.</w:t>
      </w:r>
    </w:p>
    <w:p>
      <w:pPr>
        <w:spacing w:after="0" w:line="174" w:lineRule="exact"/>
        <w:rPr>
          <w:sz w:val="20"/>
          <w:szCs w:val="20"/>
          <w:color w:val="auto"/>
        </w:rPr>
      </w:pPr>
    </w:p>
    <w:p>
      <w:pPr>
        <w:ind w:right="120" w:firstLine="459"/>
        <w:spacing w:after="0" w:line="281"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$12.2 million, or 22%, in the nine months ended September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nine months ended September 30, 2018. This decrease was primarily due to lower costs incurred in connection with the Noralta acquisition, lower incentive compensation costs and lower share-based compensation expense. The decrease in share-based compensation was largely due to a reduction in the amount of phantom share awards outstanding during the nine months ended September 30, 2019.</w:t>
      </w:r>
    </w:p>
    <w:p>
      <w:pPr>
        <w:spacing w:after="0" w:line="165" w:lineRule="exact"/>
        <w:rPr>
          <w:sz w:val="20"/>
          <w:szCs w:val="20"/>
          <w:color w:val="auto"/>
        </w:rPr>
      </w:pPr>
    </w:p>
    <w:p>
      <w:pPr>
        <w:ind w:right="80" w:firstLine="459"/>
        <w:spacing w:after="0" w:line="25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$6.5 million, or 7% in the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2019 compared to the nine months ended September 30, 2018. Decreases are due to (1) certain assets and intangibles becoming fully depreciated during 2018, (2) reduced depreciation expense resulting from impairments recorded in 2018 and (3) weaker Canadian and Australian dollars relative to the U.S. dollar in the nine months ended September 30, 2019 compared to the nine months ended September 30, 2018. These items were partially offset by additional property, plant and equipment acquired through acquisitions in 2018 and the third quarter of 2019, as well as incremental intangible amortization expense related to our acquisitions.</w:t>
      </w:r>
    </w:p>
    <w:p>
      <w:pPr>
        <w:spacing w:after="0" w:line="188"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We recorded pre-tax impairment expense of $5.5 million in the second quarter of 2019 associated with long-lived assets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segment. This includes $1.0 million of impairment expense related to an error corrected in the second quarter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statements of operations related to prior periods: (1) additional accretion expense related to the ARO of $0.9 million, (2) additional depreciation and amortization expense of $0.5 million related to amortization of the asset retirement cost and (3) additional impairment expense related to the impairment of the asset retirement cost of $1.0 million offset by recognition of an ARO liability totaling $2.3 million as of June 30, 2019.</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recorded pre-tax impairment expense of $28.7 million in the first quarter of 2018 associated with long-lived assets in our Canadian segment.</w:t>
      </w:r>
    </w:p>
    <w:p>
      <w:pPr>
        <w:spacing w:after="0" w:line="237"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color w:val="auto"/>
        </w:rPr>
        <w:t>Please see Note 6 - Impairment Charges and Asset Retirement Obligations to the notes to the unaudited consolidated financial statements included in Item 1 of this quarterly report for further discussion.</w:t>
      </w:r>
    </w:p>
    <w:p>
      <w:pPr>
        <w:spacing w:after="0" w:line="166" w:lineRule="exact"/>
        <w:rPr>
          <w:sz w:val="20"/>
          <w:szCs w:val="20"/>
          <w:color w:val="auto"/>
        </w:rPr>
      </w:pPr>
    </w:p>
    <w:p>
      <w:pPr>
        <w:jc w:val="both"/>
        <w:ind w:right="280" w:firstLine="459"/>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$53.8 million, or 67%, in the nine months ended September 30, 2019 compared to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2018, primarily due to lower impairment, SG&amp;A and depreciation and amortization expenses and increased activity levels in certain Canadian, Australian and U.S. markets.</w:t>
      </w:r>
    </w:p>
    <w:p>
      <w:pPr>
        <w:spacing w:after="0" w:line="176" w:lineRule="exact"/>
        <w:rPr>
          <w:sz w:val="20"/>
          <w:szCs w:val="20"/>
          <w:color w:val="auto"/>
        </w:rPr>
      </w:pPr>
    </w:p>
    <w:p>
      <w:pPr>
        <w:ind w:right="80" w:firstLine="459"/>
        <w:spacing w:after="0" w:line="281"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increased by $0.6 million, or 3%, in the nine months ended September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nine months ended September 30, 2018, primarily related to higher average debt levels and higher interest rates on term loan and revolving credit facility borrowings in the nine months ended September 30, 2019 compared to the nine months ended September 30, 2018, partially offset by the 2018 write-off of $0.7 million of debt issuance costs associated with our Credit Agreement as then amended.</w:t>
      </w:r>
    </w:p>
    <w:p>
      <w:pPr>
        <w:spacing w:after="0" w:line="165" w:lineRule="exact"/>
        <w:rPr>
          <w:sz w:val="20"/>
          <w:szCs w:val="20"/>
          <w:color w:val="auto"/>
        </w:rPr>
      </w:pPr>
    </w:p>
    <w:p>
      <w:pPr>
        <w:ind w:right="60" w:firstLine="459"/>
        <w:spacing w:after="0" w:line="277"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increased $4.0 million, or 135%, in the nine months ended September 30, 2019 compared to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2018, primarily due to $2.6 million of other income for proceeds received in the first half of 2019 from a property damage and business interruption insurance claim related to the closure of a lodge in 2018 for maintenance-related operational issues. In addition, a higher gain on sale of assets in the nine months ended September 30, 2019 compared to the nine months ended September 30, 2018 was related to the sale of a village in Australia and related $2.2 million release of an ARO liability assumed by the buyer during the nine months ended September 30, 2019.</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0" w:right="259" w:bottom="1440" w:gutter="0" w:footer="0" w:header="0"/>
        </w:sectPr>
      </w:pPr>
    </w:p>
    <w:bookmarkStart w:id="33" w:name="page34"/>
    <w:bookmarkEnd w:id="33"/>
    <w:p>
      <w:pPr>
        <w:ind w:firstLine="459"/>
        <w:spacing w:after="0" w:line="273"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the nine months ended September 30, 2019 totaled $14.0 million, or 34.2% of pretax loss,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a benefit of $29.4 million, or 30.0% of pretax loss, for the nine months ended September 30, 2018. For the nine months ended September 30, 2019, the U.S. was considered a loss jurisdiction while for the nine months ended September 30, 2018, Australia and the U.S. were considered loss jurisdictions. Additionally, the effective tax rate for the nine months ended September 30, 2019 was impacted by a tax benefit of $3.0 million related to a reduction in the Alberta, Canada income tax rate, as well as, a $2.1 million tax benefit related to the change in the valuation allowance in Australia resulting from the acquisition of Action. The effective tax rate for the nine months ended September 30, 2019 was impacted by a tax benefit of $4.9 million that was recorded in the second quarter 2018 to reverse a valuation allowance previously recorded in Canada.</w:t>
      </w:r>
    </w:p>
    <w:p>
      <w:pPr>
        <w:spacing w:after="0" w:line="172" w:lineRule="exact"/>
        <w:rPr>
          <w:sz w:val="20"/>
          <w:szCs w:val="20"/>
          <w:color w:val="auto"/>
        </w:rPr>
      </w:pPr>
    </w:p>
    <w:p>
      <w:pPr>
        <w:ind w:right="60" w:firstLine="459"/>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loss decreased $20.0 million in the nine months ended September 30, 2019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2018, primarily as a result of foreign currency translation adjustments due to changes in the Canadian and Australian dollar exchange rates compared to the U.S. dollar. The Canadian dollar exchange rate compared to the U.S. dollar increased 3% in the nine months ended September 30, 2019 compared to a 3% decrease in the nine months ended September 30, 2018. The Australian dollar exchange rate compared to the U.S. dollar decreased 4% in the nine months ended September 30, 2019 compared to a 7% decrease in the nine months ended September 30, 2018.</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203,774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204,258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(484)</w:t>
            </w:r>
          </w:p>
        </w:tc>
      </w:tr>
      <w:tr>
        <w:trPr>
          <w:trHeight w:val="276"/>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10,036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(4,388)</w:t>
            </w: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25,507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11,082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14,425</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0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r>
      <w:tr>
        <w:trPr>
          <w:trHeight w:val="250"/>
        </w:trPr>
        <w:tc>
          <w:tcPr>
            <w:tcW w:w="496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235,943</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226,661</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9,282</w:t>
            </w:r>
          </w:p>
        </w:tc>
      </w:tr>
      <w:tr>
        <w:trPr>
          <w:trHeight w:val="195"/>
        </w:trPr>
        <w:tc>
          <w:tcPr>
            <w:tcW w:w="4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137,140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139,052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(1,912)</w:t>
            </w: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4,735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10,438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(5,703)</w:t>
            </w:r>
          </w:p>
        </w:tc>
      </w:tr>
      <w:tr>
        <w:trPr>
          <w:trHeight w:val="276"/>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13,299</w:t>
            </w: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1,672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(665)</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9,698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10,789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(1,091)</w:t>
            </w:r>
          </w:p>
        </w:tc>
      </w:tr>
      <w:tr>
        <w:trPr>
          <w:trHeight w:val="250"/>
        </w:trPr>
        <w:tc>
          <w:tcPr>
            <w:tcW w:w="49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176,200</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172,272</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3,928</w:t>
            </w:r>
          </w:p>
        </w:tc>
      </w:tr>
      <w:tr>
        <w:trPr>
          <w:trHeight w:val="195"/>
        </w:trPr>
        <w:tc>
          <w:tcPr>
            <w:tcW w:w="4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4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Average daily rate for lodges (5)</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195"/>
        </w:trPr>
        <w:tc>
          <w:tcPr>
            <w:tcW w:w="4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Total billed rooms for lodges (6)</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2,241,510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2,320,012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(78,502)</w:t>
            </w:r>
          </w:p>
        </w:tc>
      </w:tr>
      <w:tr>
        <w:trPr>
          <w:trHeight w:val="195"/>
        </w:trPr>
        <w:tc>
          <w:tcPr>
            <w:tcW w:w="4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58"/>
        </w:trPr>
        <w:tc>
          <w:tcPr>
            <w:tcW w:w="496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0.752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0.777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(0.025)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11" w:lineRule="exact"/>
        <w:rPr>
          <w:sz w:val="20"/>
          <w:szCs w:val="20"/>
          <w:color w:val="auto"/>
        </w:rPr>
      </w:pPr>
    </w:p>
    <w:p>
      <w:pPr>
        <w:ind w:right="40" w:firstLine="459"/>
        <w:spacing w:after="0" w:line="290" w:lineRule="auto"/>
        <w:rPr>
          <w:sz w:val="20"/>
          <w:szCs w:val="20"/>
          <w:color w:val="auto"/>
        </w:rPr>
      </w:pPr>
      <w:r>
        <w:rPr>
          <w:rFonts w:ascii="Arial" w:cs="Arial" w:eastAsia="Arial" w:hAnsi="Arial"/>
          <w:sz w:val="16"/>
          <w:szCs w:val="16"/>
          <w:color w:val="auto"/>
        </w:rPr>
        <w:t>Our Canadian segment reported revenues in the nine months ended September 30, 2019 that were $9.3 million, or 4%, higher than the nine months ended September 30, 2018. The weakening of the average exchange rates for the Canadian dollar relative to the U.S. dollar by 3% in the nine months ended September 30, 2019 compared to the nine months ended September 30, 2018 resulted in a $7.3 million period-over-period decrease in revenues. Excluding the impact of the weaker Canadian exchange rates, the segment experienced a 3% increase in accommodation revenue. This increase was driven by higher room demand at our Sitka Lodge related to an LNG project and the Noralta acquisition in the second quarter of 2018, partially offset by lower room demand during 2019 from major customers in our core oil sands lodges. This lower room demand was related to a reduced impact of large client turnaround projects and the continued impact of provincially imposed oil production curtailments. Additionally, increased food services activity due to a new contract with an oil sands customer was partially offset by reduced mobile facility rental revenue as 2018 included pipeline project revenue for a longer period than 2019.</w:t>
      </w:r>
    </w:p>
    <w:p>
      <w:pPr>
        <w:spacing w:after="0" w:line="166"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Our Canadian segment cost of sales and services increased $3.9 million, or 2%, in the nine months ended September 30, 2019 compared to the nine months ended September 30, 2018. The weakening of the average exchange rates for the Canadian dollar relative to the U.S. dollar by 3% in the nine months ended September 30, 2019 compared to the nine months ended September 30, 2018 resulted in a $5.6 million period-over-period decrease in cost of sales and services. Excluding the impact of the weaker Canadian exchange rates, the increased cost of sales and services was driven by increased food services activity, partially offset by reduced accommodation cost of sales and mobile facility rental cost of sales as 2018 included pipeline related project costs for a longer period than 2019.</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800" w:right="299" w:bottom="1440" w:gutter="0" w:footer="0" w:header="0"/>
        </w:sectPr>
      </w:pPr>
    </w:p>
    <w:bookmarkStart w:id="35" w:name="page36"/>
    <w:bookmarkEnd w:id="35"/>
    <w:p>
      <w:pPr>
        <w:ind w:right="100" w:firstLine="459"/>
        <w:spacing w:after="0" w:line="264" w:lineRule="auto"/>
        <w:rPr>
          <w:sz w:val="20"/>
          <w:szCs w:val="20"/>
          <w:color w:val="auto"/>
        </w:rPr>
      </w:pPr>
      <w:r>
        <w:rPr>
          <w:rFonts w:ascii="Arial" w:cs="Arial" w:eastAsia="Arial" w:hAnsi="Arial"/>
          <w:sz w:val="18"/>
          <w:szCs w:val="18"/>
          <w:color w:val="auto"/>
        </w:rPr>
        <w:t>Our Canadian segment gross margin as a percentage of revenues increased from 24% in the nine months ended September 30, 2018 to 25% in the nine months ended September 30, 2019. This was primarily driven by an increase to the average daily rate due to an increase in billed rooms at our Sitka Lodge, which is at a higher daily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48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92,473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88,343</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4,130</w:t>
            </w: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0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14,687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13,488</w:t>
            </w:r>
          </w:p>
        </w:tc>
      </w:tr>
      <w:tr>
        <w:trPr>
          <w:trHeight w:val="250"/>
        </w:trPr>
        <w:tc>
          <w:tcPr>
            <w:tcW w:w="48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107,160</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89,542</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17,618</w:t>
            </w:r>
          </w:p>
        </w:tc>
      </w:tr>
      <w:tr>
        <w:trPr>
          <w:trHeight w:val="276"/>
        </w:trPr>
        <w:tc>
          <w:tcPr>
            <w:tcW w:w="4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44,816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42,942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1,874</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12,807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11,782</w:t>
            </w: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2,095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173</w:t>
            </w:r>
          </w:p>
        </w:tc>
      </w:tr>
      <w:tr>
        <w:trPr>
          <w:trHeight w:val="250"/>
        </w:trPr>
        <w:tc>
          <w:tcPr>
            <w:tcW w:w="484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59,718</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45,889</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13,829</w:t>
            </w:r>
          </w:p>
        </w:tc>
      </w:tr>
      <w:tr>
        <w:trPr>
          <w:trHeight w:val="276"/>
        </w:trPr>
        <w:tc>
          <w:tcPr>
            <w:tcW w:w="4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6"/>
        </w:trPr>
        <w:tc>
          <w:tcPr>
            <w:tcW w:w="4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276"/>
        </w:trPr>
        <w:tc>
          <w:tcPr>
            <w:tcW w:w="4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08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w w:val="89"/>
              </w:rPr>
              <w:t>1,253,856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1,114,695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139,161</w:t>
            </w:r>
          </w:p>
        </w:tc>
      </w:tr>
      <w:tr>
        <w:trPr>
          <w:trHeight w:val="276"/>
        </w:trPr>
        <w:tc>
          <w:tcPr>
            <w:tcW w:w="4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0.699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0.758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(0.059)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11" w:lineRule="exact"/>
        <w:rPr>
          <w:sz w:val="20"/>
          <w:szCs w:val="20"/>
          <w:color w:val="auto"/>
        </w:rPr>
      </w:pPr>
    </w:p>
    <w:p>
      <w:pPr>
        <w:ind w:right="120" w:firstLine="459"/>
        <w:spacing w:after="0" w:line="255" w:lineRule="auto"/>
        <w:rPr>
          <w:sz w:val="20"/>
          <w:szCs w:val="20"/>
          <w:color w:val="auto"/>
        </w:rPr>
      </w:pPr>
      <w:r>
        <w:rPr>
          <w:rFonts w:ascii="Arial" w:cs="Arial" w:eastAsia="Arial" w:hAnsi="Arial"/>
          <w:sz w:val="18"/>
          <w:szCs w:val="18"/>
          <w:color w:val="auto"/>
        </w:rPr>
        <w:t>Our Australian segment reported revenues in the nine months ended September 30, 2019 that were $17.6 million, or 20%, higher than the nine months ended September 30, 2018. The weakening of the average exchange rates for Australian dollars relative to the U.S. dollar by 8% in the nine months ended September 30, 2019 compared to the nine months ended September 30, 2018 resulted in a $7.6 million period-over-period decrease in revenues and a $5 reduction in the average daily rate. Excluding the impact of the weaker Australian exchange rates, the Australian segment experienced a 30% increase in revenues due to the Action acquisition and increased activity at our Bowen Basin villages, partially offset by decreased activity at our Gunnedah Basin villages.</w:t>
      </w:r>
    </w:p>
    <w:p>
      <w:pPr>
        <w:spacing w:after="0" w:line="193"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Our Australian segment cost of sales increased $13.8 million, or 30%, in the nine months ended September 30, 2019 compared to the nine months ended September 30, 2018. The increase was primarily driven by the Action acquisition, increased activity at our Bowen Basin villages and additional accretion expense related to an ARO we identified at one of our villages in Australia that should have been recorded in 2011, partially offset by the weakening of the Australian dollar.</w:t>
      </w:r>
    </w:p>
    <w:p>
      <w:pPr>
        <w:spacing w:after="0" w:line="187" w:lineRule="exact"/>
        <w:rPr>
          <w:sz w:val="20"/>
          <w:szCs w:val="20"/>
          <w:color w:val="auto"/>
        </w:rPr>
      </w:pPr>
    </w:p>
    <w:p>
      <w:pPr>
        <w:ind w:right="120" w:firstLine="459"/>
        <w:spacing w:after="0" w:line="259" w:lineRule="auto"/>
        <w:rPr>
          <w:sz w:val="20"/>
          <w:szCs w:val="20"/>
          <w:color w:val="auto"/>
        </w:rPr>
      </w:pPr>
      <w:r>
        <w:rPr>
          <w:rFonts w:ascii="Arial" w:cs="Arial" w:eastAsia="Arial" w:hAnsi="Arial"/>
          <w:sz w:val="18"/>
          <w:szCs w:val="18"/>
          <w:color w:val="auto"/>
        </w:rPr>
        <w:t>Our Australian segment gross margin as a percentage of revenues decreased from 49% in the nine months ended September 30, 2018 to 44% in the nine months ended September 30, 2019. This was primarily driven by Action, which has a service-only business model and therefore results in lower overall gross margins than the accommodation business and the additional accretion expense noted above, partially offset by improved margins at our Bowen Basin villages as a result of increased occupancy.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35,969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r>
      <w:tr>
        <w:trPr>
          <w:trHeight w:val="270"/>
        </w:trPr>
        <w:tc>
          <w:tcPr>
            <w:tcW w:w="4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(2,790)</w:t>
            </w:r>
          </w:p>
        </w:tc>
      </w:tr>
      <w:tr>
        <w:trPr>
          <w:trHeight w:val="270"/>
        </w:trPr>
        <w:tc>
          <w:tcPr>
            <w:tcW w:w="4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bl>
    <w:p>
      <w:pPr>
        <w:spacing w:after="0" w:line="202" w:lineRule="exact"/>
        <w:rPr>
          <w:sz w:val="20"/>
          <w:szCs w:val="20"/>
          <w:color w:val="auto"/>
        </w:rPr>
      </w:pPr>
    </w:p>
    <w:p>
      <w:pPr>
        <w:ind w:right="140" w:firstLine="459"/>
        <w:spacing w:after="0" w:line="279" w:lineRule="auto"/>
        <w:rPr>
          <w:sz w:val="20"/>
          <w:szCs w:val="20"/>
          <w:color w:val="auto"/>
        </w:rPr>
      </w:pPr>
      <w:r>
        <w:rPr>
          <w:rFonts w:ascii="Arial" w:cs="Arial" w:eastAsia="Arial" w:hAnsi="Arial"/>
          <w:sz w:val="17"/>
          <w:szCs w:val="17"/>
          <w:color w:val="auto"/>
        </w:rPr>
        <w:t>Our U.S. segment reported revenues in the nine months ended September 30, 2019 that were $0.2 million, or 1%, lower than the nine months ended September 30, 2018. The decrease was primarily due to lower revenues from our offshore business resulting from lower project activity and reduced revenues from our West Permian lodge due to reduced drilling activity in that area. These items were partially offset by greater U.S. drilling and completion activity in the Bakken, Rockies, mid Continent and Texas markets benefiting our wellsite business.</w:t>
      </w:r>
    </w:p>
    <w:p>
      <w:pPr>
        <w:spacing w:after="0" w:line="171" w:lineRule="exact"/>
        <w:rPr>
          <w:sz w:val="20"/>
          <w:szCs w:val="20"/>
          <w:color w:val="auto"/>
        </w:rPr>
      </w:pPr>
    </w:p>
    <w:p>
      <w:pPr>
        <w:jc w:val="both"/>
        <w:ind w:right="420" w:firstLine="459"/>
        <w:spacing w:after="0" w:line="264" w:lineRule="auto"/>
        <w:rPr>
          <w:sz w:val="20"/>
          <w:szCs w:val="20"/>
          <w:color w:val="auto"/>
        </w:rPr>
      </w:pPr>
      <w:r>
        <w:rPr>
          <w:rFonts w:ascii="Arial" w:cs="Arial" w:eastAsia="Arial" w:hAnsi="Arial"/>
          <w:sz w:val="18"/>
          <w:szCs w:val="18"/>
          <w:color w:val="auto"/>
        </w:rPr>
        <w:t>Our U.S. segment cost of sales decreased $2.8 million, or 9%, in the nine months ended September 30, 2019 compared to the nine months ended September 30, 2018. The decrease was driven by reduced activity in our offshore business partially offset by higher cost of sales in the wellsite business related to greater activity.</w:t>
      </w:r>
    </w:p>
    <w:p>
      <w:pPr>
        <w:spacing w:after="0" w:line="181" w:lineRule="exact"/>
        <w:rPr>
          <w:sz w:val="20"/>
          <w:szCs w:val="20"/>
          <w:color w:val="auto"/>
        </w:rPr>
      </w:pPr>
    </w:p>
    <w:p>
      <w:pPr>
        <w:ind w:right="220" w:firstLine="459"/>
        <w:spacing w:after="0" w:line="264" w:lineRule="auto"/>
        <w:rPr>
          <w:sz w:val="20"/>
          <w:szCs w:val="20"/>
          <w:color w:val="auto"/>
        </w:rPr>
      </w:pPr>
      <w:r>
        <w:rPr>
          <w:rFonts w:ascii="Arial" w:cs="Arial" w:eastAsia="Arial" w:hAnsi="Arial"/>
          <w:sz w:val="18"/>
          <w:szCs w:val="18"/>
          <w:color w:val="auto"/>
        </w:rPr>
        <w:t>Our U.S. segment gross margin as a percentage of revenues increased from 13% in the nine months ended September 30, 2018 to 20% in the nine months ended September 30, 2019 primarily due to greater U.S. drilling and completion activity in the Bakken, Rockies, mid Continent and Texas markets benefiting our wellsite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(as defined below) and proceeds from equity issuances. In the future, we may seek to access the debt and equity capital markets from time to time to raise additional capital, increase liquidity, fund acquisitions, refinance debt or retire preferred shares.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September 30, 2019 and December 31,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December 31, 2018</w:t>
            </w:r>
          </w:p>
        </w:tc>
      </w:tr>
      <w:tr>
        <w:trPr>
          <w:trHeight w:val="256"/>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263,500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239,500</w:t>
            </w:r>
          </w:p>
        </w:tc>
      </w:tr>
      <w:tr>
        <w:trPr>
          <w:trHeight w:val="264"/>
        </w:trPr>
        <w:tc>
          <w:tcPr>
            <w:tcW w:w="7320" w:type="dxa"/>
            <w:vAlign w:val="bottom"/>
          </w:tcPr>
          <w:p>
            <w:pPr>
              <w:ind w:left="200"/>
              <w:spacing w:after="0"/>
              <w:rPr>
                <w:sz w:val="20"/>
                <w:szCs w:val="20"/>
                <w:color w:val="auto"/>
              </w:rPr>
            </w:pPr>
            <w:r>
              <w:rPr>
                <w:rFonts w:ascii="Arial" w:cs="Arial" w:eastAsia="Arial" w:hAnsi="Arial"/>
                <w:sz w:val="14"/>
                <w:szCs w:val="14"/>
                <w:color w:val="auto"/>
              </w:rPr>
              <w:t>Reductions in availability (2)</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(17,392)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(14,469)</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(131,266)</w:t>
            </w:r>
          </w:p>
        </w:tc>
      </w:tr>
      <w:tr>
        <w:trPr>
          <w:trHeight w:val="264"/>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w:t>
            </w: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90,320</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8,072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12,372</w:t>
            </w: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102,692</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340" w:right="10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under this facility outstanding as of both September 30, 2019 and December 31, 2018, respectively.</w:t>
      </w:r>
    </w:p>
    <w:p>
      <w:pPr>
        <w:spacing w:after="0" w:line="1" w:lineRule="exact"/>
        <w:rPr>
          <w:rFonts w:ascii="Arial" w:cs="Arial" w:eastAsia="Arial" w:hAnsi="Arial"/>
          <w:sz w:val="18"/>
          <w:szCs w:val="18"/>
          <w:color w:val="auto"/>
        </w:rPr>
      </w:pPr>
    </w:p>
    <w:p>
      <w:pPr>
        <w:ind w:left="340" w:right="40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September 30, 2019, $17.4 million of our borrowing capacity under the Amended Credit Agreement could not be utilized in order to maintain compliance with the maximum leverage ratio financial covenant in the Amended Credit Agreement. As of December 31, 2018, $14.5 million of our borrowing capacity under the Amended Credit Agreement could not be utilized in order to maintain compliance with the maximum leverage ratio financial covenant in the Amended Credit Agreement.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84" w:right="279" w:bottom="1440" w:gutter="0" w:footer="0" w:header="0"/>
        </w:sectPr>
      </w:pPr>
    </w:p>
    <w:bookmarkStart w:id="37" w:name="page38"/>
    <w:bookmarkEnd w:id="37"/>
    <w:p>
      <w:pPr>
        <w:ind w:firstLine="459"/>
        <w:spacing w:after="0" w:line="259" w:lineRule="auto"/>
        <w:rPr>
          <w:sz w:val="20"/>
          <w:szCs w:val="20"/>
          <w:color w:val="auto"/>
        </w:rPr>
      </w:pPr>
      <w:r>
        <w:rPr>
          <w:rFonts w:ascii="Arial" w:cs="Arial" w:eastAsia="Arial" w:hAnsi="Arial"/>
          <w:sz w:val="18"/>
          <w:szCs w:val="18"/>
          <w:color w:val="auto"/>
        </w:rPr>
        <w:t>Cash totaling $33.5 million was provided by operations during the nine months ended September 30, 2019, compared to $25.9 million provided by operations during the nine months ended September 30, 2018. During the nine months ended September 30, 2019 and 2018, $29.4 million and $14.1 million, respectively, was used in working capital. The decrease in cash provided in 2019 compared to 2018 is largely due to increased accounts receivable balances in Canada.</w:t>
      </w:r>
    </w:p>
    <w:p>
      <w:pPr>
        <w:spacing w:after="0" w:line="187"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Cash was used in investing activities during the nine months ended September 30, 2019 in the amount of $34.7 million, compared to cash used in investing activities during the nine months ended September 30, 2018 in the amount of $186.1 million. The decrease in cash used in investing activities was primarily due to $161.4 million to fund the Noralta acquisition and $23.8 million to fund the Acadian Acres asset acquisition in the first nine months of 2018. This compares to $16.9 million to fund the Action acquisition in the first nine months of 2019. Capital expenditures totaled $25.5 million and $8.7 million during the nine months ended September 30, 2019 and 2018, respectively. The increase in capital expenditures in the nine months ended September 30, 2019 was related primarily to the expansion of the Sitka Lodge. Capital expenditures in the nine months ended September 30, 2018 consisted primarily of routine maintenance capital expenditures.</w:t>
      </w:r>
    </w:p>
    <w:p>
      <w:pPr>
        <w:spacing w:after="0" w:line="189" w:lineRule="exact"/>
        <w:rPr>
          <w:sz w:val="20"/>
          <w:szCs w:val="20"/>
          <w:color w:val="auto"/>
        </w:rPr>
      </w:pPr>
    </w:p>
    <w:p>
      <w:pPr>
        <w:ind w:right="60" w:firstLine="459"/>
        <w:spacing w:after="0" w:line="273" w:lineRule="auto"/>
        <w:rPr>
          <w:sz w:val="20"/>
          <w:szCs w:val="20"/>
          <w:color w:val="auto"/>
        </w:rPr>
      </w:pPr>
      <w:r>
        <w:rPr>
          <w:rFonts w:ascii="Arial" w:cs="Arial" w:eastAsia="Arial" w:hAnsi="Arial"/>
          <w:sz w:val="17"/>
          <w:szCs w:val="17"/>
          <w:color w:val="auto"/>
        </w:rPr>
        <w:t>We expect our capital expenditures for 2019, exclusive of any business acquisitions, to be in the range of $33 million to $37 million, which excludes any unannounced and uncommitted projects, the spending for which is contingent on obtaining customer contracts. Whether planned expenditures will actually be spent in 2019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78" w:lineRule="exact"/>
        <w:rPr>
          <w:sz w:val="20"/>
          <w:szCs w:val="20"/>
          <w:color w:val="auto"/>
        </w:rPr>
      </w:pPr>
    </w:p>
    <w:p>
      <w:pPr>
        <w:ind w:right="20" w:firstLine="459"/>
        <w:spacing w:after="0" w:line="297" w:lineRule="auto"/>
        <w:rPr>
          <w:sz w:val="20"/>
          <w:szCs w:val="20"/>
          <w:color w:val="auto"/>
        </w:rPr>
      </w:pPr>
      <w:r>
        <w:rPr>
          <w:rFonts w:ascii="Arial" w:cs="Arial" w:eastAsia="Arial" w:hAnsi="Arial"/>
          <w:sz w:val="16"/>
          <w:szCs w:val="16"/>
          <w:color w:val="auto"/>
        </w:rPr>
        <w:t>Net cash of $2.8 million was used in financing activities during the nine months ended September 30, 2019 primarily due to net borrowings under our revolving credit facilities of $29.5 million, partially offset by repayments of term loan borrowings of $26.1 million, $4.3 million used to settle tax obligations on vested shares under our share based compensation plans and debt issuance costs of $1.9 million. Net cash of $133.9 million was provided by financing activities during the nine months ended September 30, 2018, primarily due to net borrowings under our revolving credit facilities of $155.4 million, largely to fund the Noralta acquisition. This was partially offset by repayments of term loan borrowings of $18.2 million and debt issuance costs of $2.7 million.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debt outstanding during the nine months ended September 30,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Australia</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362,258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379,176</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Borrowings under revolving credit facilities</w:t>
            </w:r>
          </w:p>
        </w:tc>
        <w:tc>
          <w:tcPr>
            <w:tcW w:w="2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294,235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41,000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340,494</w:t>
            </w:r>
          </w:p>
        </w:tc>
      </w:tr>
      <w:tr>
        <w:trPr>
          <w:trHeight w:val="276"/>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under revolving credit facilities</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(31,000)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(310,946)</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Repayments of term loans</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(26,085)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(26,085)</w:t>
            </w:r>
          </w:p>
        </w:tc>
      </w:tr>
      <w:tr>
        <w:trPr>
          <w:trHeight w:val="270"/>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10,904</w:t>
            </w:r>
          </w:p>
        </w:tc>
      </w:tr>
      <w:tr>
        <w:trPr>
          <w:trHeight w:val="243"/>
        </w:trPr>
        <w:tc>
          <w:tcPr>
            <w:tcW w:w="4820" w:type="dxa"/>
            <w:vAlign w:val="bottom"/>
          </w:tcPr>
          <w:p>
            <w:pPr>
              <w:ind w:left="40"/>
              <w:spacing w:after="0"/>
              <w:rPr>
                <w:sz w:val="20"/>
                <w:szCs w:val="20"/>
                <w:color w:val="auto"/>
              </w:rPr>
            </w:pPr>
            <w:r>
              <w:rPr>
                <w:rFonts w:ascii="Arial" w:cs="Arial" w:eastAsia="Arial" w:hAnsi="Arial"/>
                <w:sz w:val="14"/>
                <w:szCs w:val="14"/>
                <w:color w:val="auto"/>
              </w:rPr>
              <w:t>Balance at September 30, 2019</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381,855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393,543</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 obtained or the underlying investment decision is delayed, the resulting impact could result in an impairment of the related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2018, our Credit Agreement, as then amended, provided for: (i) a $239.5 million revolving credit facility scheduled to mature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30, 2020, allocated as follows: (A) a $20.0 million senior secured revolving credit facility in favor of certain of our U.S. subsidiaries, as borrowers;</w:t>
      </w:r>
    </w:p>
    <w:p>
      <w:pPr>
        <w:spacing w:after="0" w:line="32" w:lineRule="exact"/>
        <w:rPr>
          <w:sz w:val="20"/>
          <w:szCs w:val="20"/>
          <w:color w:val="auto"/>
        </w:rPr>
      </w:pPr>
    </w:p>
    <w:p>
      <w:pPr>
        <w:ind w:right="100" w:firstLine="8"/>
        <w:spacing w:after="0" w:line="255" w:lineRule="auto"/>
        <w:tabs>
          <w:tab w:leader="none" w:pos="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$159.5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2020 in favor of Civeo.</w:t>
      </w:r>
    </w:p>
    <w:p>
      <w:pPr>
        <w:spacing w:after="0" w:line="190"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On September 30, 2019, the second amendment to the Credit Agreement (as so amended, the Amended Credit Agreement) became effective, which, among other things:</w:t>
      </w:r>
    </w:p>
    <w:p>
      <w:pPr>
        <w:spacing w:after="0" w:line="170" w:lineRule="exact"/>
        <w:rPr>
          <w:sz w:val="20"/>
          <w:szCs w:val="20"/>
          <w:color w:val="auto"/>
        </w:rPr>
      </w:pPr>
    </w:p>
    <w:p>
      <w:pPr>
        <w:ind w:left="820" w:right="160" w:hanging="326"/>
        <w:spacing w:after="0" w:line="342"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the aggregate revolving loan commitments by $24.0 million under the Amended Credit Agreement, to a maximum principal amount of $183.5 million under the Canadian revolving credit facility until November 30, 2020, which will be reduced thereafter as described below;</w:t>
      </w:r>
    </w:p>
    <w:p>
      <w:pPr>
        <w:spacing w:after="0" w:line="123" w:lineRule="exact"/>
        <w:rPr>
          <w:rFonts w:ascii="Arial" w:cs="Arial" w:eastAsia="Arial" w:hAnsi="Arial"/>
          <w:sz w:val="16"/>
          <w:szCs w:val="16"/>
          <w:color w:val="auto"/>
        </w:rPr>
      </w:pPr>
    </w:p>
    <w:p>
      <w:pPr>
        <w:ind w:left="820" w:hanging="326"/>
        <w:spacing w:after="0" w:line="302"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extended the maturity date of the commitments and loans of certain lenders to November 30, 2021. Two lenders did not extend the maturity date of their commitments and loans. One non-extending lender has outstanding Canadian term loans of $6.9 million, a Canadian revolving commitment of $15.7 million and an Australian revolving commitment of $10.4 million that matures on November 30, 2020. The other non-extending lender has a U.S. revolving commitment of $7.4 million and a Canadian revolving commitment of $22.5 million that matures on November 30, 2020; and</w:t>
      </w:r>
    </w:p>
    <w:p>
      <w:pPr>
        <w:spacing w:after="0" w:line="154" w:lineRule="exact"/>
        <w:rPr>
          <w:rFonts w:ascii="Arial" w:cs="Arial" w:eastAsia="Arial" w:hAnsi="Arial"/>
          <w:sz w:val="16"/>
          <w:szCs w:val="16"/>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93"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40" w:type="dxa"/>
            <w:vAlign w:val="bottom"/>
            <w:gridSpan w:val="3"/>
          </w:tcPr>
          <w:p>
            <w:pPr>
              <w:ind w:left="444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4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0"/>
        </w:trPr>
        <w:tc>
          <w:tcPr>
            <w:tcW w:w="9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92"/>
              </w:rPr>
              <w:t>4.25 : 1:00</w:t>
            </w:r>
          </w:p>
        </w:tc>
      </w:tr>
      <w:tr>
        <w:trPr>
          <w:trHeight w:val="224"/>
        </w:trPr>
        <w:tc>
          <w:tcPr>
            <w:tcW w:w="9840" w:type="dxa"/>
            <w:vAlign w:val="bottom"/>
            <w:gridSpan w:val="3"/>
          </w:tcPr>
          <w:p>
            <w:pPr>
              <w:ind w:left="20"/>
              <w:spacing w:after="0"/>
              <w:rPr>
                <w:sz w:val="20"/>
                <w:szCs w:val="20"/>
                <w:color w:val="auto"/>
              </w:rPr>
            </w:pPr>
            <w:r>
              <w:rPr>
                <w:rFonts w:ascii="Arial" w:cs="Arial" w:eastAsia="Arial" w:hAnsi="Arial"/>
                <w:sz w:val="16"/>
                <w:szCs w:val="16"/>
                <w:color w:val="auto"/>
              </w:rPr>
              <w:t>December 31, 2019</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w w:val="92"/>
              </w:rPr>
              <w:t>4.00 : 1:00</w:t>
            </w:r>
          </w:p>
        </w:tc>
      </w:tr>
      <w:tr>
        <w:trPr>
          <w:trHeight w:val="33"/>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March 31, 2020, June 30, 2020 &amp; September 30, 2020</w:t>
            </w:r>
          </w:p>
        </w:tc>
        <w:tc>
          <w:tcPr>
            <w:tcW w:w="1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92"/>
              </w:rPr>
              <w:t>3:75 : 1:00</w:t>
            </w:r>
          </w:p>
        </w:tc>
      </w:tr>
      <w:tr>
        <w:trPr>
          <w:trHeight w:val="224"/>
        </w:trPr>
        <w:tc>
          <w:tcPr>
            <w:tcW w:w="9840" w:type="dxa"/>
            <w:vAlign w:val="bottom"/>
            <w:gridSpan w:val="3"/>
          </w:tcPr>
          <w:p>
            <w:pPr>
              <w:ind w:left="20"/>
              <w:spacing w:after="0"/>
              <w:rPr>
                <w:sz w:val="20"/>
                <w:szCs w:val="20"/>
                <w:color w:val="auto"/>
              </w:rPr>
            </w:pPr>
            <w:r>
              <w:rPr>
                <w:rFonts w:ascii="Arial" w:cs="Arial" w:eastAsia="Arial" w:hAnsi="Arial"/>
                <w:sz w:val="16"/>
                <w:szCs w:val="16"/>
                <w:color w:val="auto"/>
              </w:rPr>
              <w:t>December 31, 2020 &amp; thereafter</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w w:val="92"/>
              </w:rPr>
              <w:t>3.50 : 1:00</w:t>
            </w:r>
          </w:p>
        </w:tc>
      </w:tr>
    </w:tbl>
    <w:p>
      <w:pPr>
        <w:spacing w:after="0" w:line="235" w:lineRule="exact"/>
        <w:rPr>
          <w:sz w:val="20"/>
          <w:szCs w:val="20"/>
          <w:color w:val="auto"/>
        </w:rPr>
      </w:pPr>
    </w:p>
    <w:p>
      <w:pPr>
        <w:ind w:right="40"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debt to consolidated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Amended Credit Agreement bear interest at a variable rate equal to the Bank Bill Swap Bid Rate plus a margin of 2.25% to 4.00%, based on a ratio of our total debt to consolidated EBITDA.</w:t>
      </w:r>
    </w:p>
    <w:p>
      <w:pPr>
        <w:spacing w:after="0" w:line="178"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4.25 to 1.0 (as of September 30, 2019). As noted above, the permitted maximum leverage ratio changes over time. Following a qualified offering of indebtedness with gross proceeds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580"/>
        <w:spacing w:after="0" w:line="259" w:lineRule="auto"/>
        <w:rPr>
          <w:sz w:val="20"/>
          <w:szCs w:val="20"/>
          <w:color w:val="auto"/>
        </w:rPr>
      </w:pPr>
      <w:r>
        <w:rPr>
          <w:rFonts w:ascii="Arial" w:cs="Arial" w:eastAsia="Arial" w:hAnsi="Arial"/>
          <w:sz w:val="18"/>
          <w:szCs w:val="18"/>
          <w:color w:val="auto"/>
        </w:rPr>
        <w:t>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2019.</w:t>
      </w:r>
    </w:p>
    <w:p>
      <w:pPr>
        <w:spacing w:after="0" w:line="187" w:lineRule="exact"/>
        <w:rPr>
          <w:sz w:val="20"/>
          <w:szCs w:val="20"/>
          <w:color w:val="auto"/>
        </w:rPr>
      </w:pPr>
    </w:p>
    <w:p>
      <w:pPr>
        <w:ind w:right="260" w:firstLine="459"/>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September 30, 2019, we have ten lenders that were parties to the Amended Credit Agreement, with total commitments (including both revolving commitments and term commitments) ranging from $24.9 million to $85.4 million. As of September 30, 2019, we had outstanding letters of credit of $0.3 million under the U.S. facility, $0.5 million under the Australian facility and $1.2 million under the Canadian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459"/>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preferred shares we issued in the Noralta acquisition are entitled to receive a 2% annual dividend on the liquidation preference (initially $10,000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 share), subject to increase to up to 3% in certain circumstances, paid quarterly in cash or, at our option, by increasing the preferred shares’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preference, or any combination thereof. Quarterly dividends were paid in-kind on September 30, 2019, thereby increasing the liquidation preference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$10,303 per share as of September 30, 2019. We currently expect to pay dividends on the preferred shares for the foreseeable future through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liquidation preference rather than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2019,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firstLine="459"/>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2018. As of September 30, 2019, except for net borrowings under our revolving credit facilities, there were no material changes to the disclosure regarding our contractual obligations made in our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2018.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4"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September 30, 2019, we had $393.5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$3.9 million annually, based on our floating-rate debt obligations and interest rates in effect as of September 30,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60"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C$0.3 billion and A$0.4 billion, respectively, at September 30, 2019.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2019 would result in translation adjustments of approximately $29 million and $38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459"/>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2019,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20" w:firstLine="459"/>
        <w:spacing w:after="0" w:line="264" w:lineRule="auto"/>
        <w:rPr>
          <w:sz w:val="20"/>
          <w:szCs w:val="20"/>
          <w:color w:val="auto"/>
        </w:rPr>
      </w:pPr>
      <w:r>
        <w:rPr>
          <w:rFonts w:ascii="Arial" w:cs="Arial" w:eastAsia="Arial" w:hAnsi="Arial"/>
          <w:sz w:val="18"/>
          <w:szCs w:val="18"/>
          <w:color w:val="auto"/>
        </w:rPr>
        <w:t>During the three months ended September 30, 2019,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0" w:right="259" w:bottom="1440" w:gutter="0" w:footer="0" w:header="0"/>
        </w:sectPr>
      </w:pPr>
    </w:p>
    <w:bookmarkStart w:id="41" w:name="page42"/>
    <w:bookmarkEnd w:id="41"/>
    <w:p>
      <w:pPr>
        <w:ind w:left="45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included in our Annual Report on Form 10-K for the year ended December 31, 2018.</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580"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hanging="490"/>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500" w:type="dxa"/>
            <w:vAlign w:val="bottom"/>
            <w:gridSpan w:val="7"/>
          </w:tcPr>
          <w:p>
            <w:pPr>
              <w:ind w:left="2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30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Borders>
              <w:bottom w:val="single" w:sz="8" w:color="0000FF"/>
            </w:tcBorders>
            <w:gridSpan w:val="6"/>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Second Amendment to Amended and Restated Syndicated Facility Agreement, dated as of September 30, 2019, among Civeo</w:t>
              </w:r>
            </w:hyperlink>
          </w:p>
        </w:tc>
        <w:tc>
          <w:tcPr>
            <w:tcW w:w="100" w:type="dxa"/>
            <w:vAlign w:val="bottom"/>
            <w:gridSpan w:val="2"/>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gridSpan w:val="8"/>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Corporation and certain of its subsidiaries, as borrowers, the guarantors party thereto, the lenders named therein, Royal Bank</w:t>
              </w:r>
            </w:hyperlink>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of Canada, as Administrative Agent, and the other agents party thereto (incorporated herein by reference to Exhibit 10.1 to the</w:t>
              </w:r>
            </w:hyperlink>
          </w:p>
        </w:tc>
        <w:tc>
          <w:tcPr>
            <w:tcW w:w="6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Current Report on Form 8-K (File No. 001-36246) filed on October 2, 2019).</w:t>
              </w:r>
            </w:hyperlink>
          </w:p>
        </w:tc>
        <w:tc>
          <w:tcPr>
            <w:tcW w:w="3600" w:type="dxa"/>
            <w:vAlign w:val="bottom"/>
            <w:gridSpan w:val="4"/>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520" w:type="dxa"/>
            <w:vAlign w:val="bottom"/>
            <w:gridSpan w:val="9"/>
          </w:tcPr>
          <w:p>
            <w:pPr>
              <w:ind w:left="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5">
              <w:r>
                <w:rPr>
                  <w:rFonts w:ascii="Arial" w:cs="Arial" w:eastAsia="Arial" w:hAnsi="Arial"/>
                  <w:sz w:val="18"/>
                  <w:szCs w:val="18"/>
                  <w:color w:val="0000FF"/>
                  <w:w w:val="94"/>
                </w:rPr>
                <w:t>Certification of Chief Executive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Exchange Act of 1934.</w:t>
              </w:r>
            </w:hyperlink>
          </w:p>
        </w:tc>
        <w:tc>
          <w:tcPr>
            <w:tcW w:w="7500" w:type="dxa"/>
            <w:vAlign w:val="bottom"/>
            <w:tcBorders>
              <w:top w:val="single" w:sz="8" w:color="0000FF"/>
            </w:tcBorders>
            <w:gridSpan w:val="7"/>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520" w:type="dxa"/>
            <w:vAlign w:val="bottom"/>
            <w:gridSpan w:val="9"/>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6">
              <w:r>
                <w:rPr>
                  <w:rFonts w:ascii="Arial" w:cs="Arial" w:eastAsia="Arial" w:hAnsi="Arial"/>
                  <w:sz w:val="18"/>
                  <w:szCs w:val="18"/>
                  <w:color w:val="0000FF"/>
                  <w:w w:val="95"/>
                </w:rPr>
                <w:t>Certification of Chief Financial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Exchange Act of 1934.</w:t>
              </w:r>
            </w:hyperlink>
          </w:p>
        </w:tc>
        <w:tc>
          <w:tcPr>
            <w:tcW w:w="7500" w:type="dxa"/>
            <w:vAlign w:val="bottom"/>
            <w:tcBorders>
              <w:top w:val="single" w:sz="8" w:color="0000FF"/>
            </w:tcBorders>
            <w:gridSpan w:val="7"/>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520" w:type="dxa"/>
            <w:vAlign w:val="bottom"/>
            <w:gridSpan w:val="9"/>
          </w:tcPr>
          <w:p>
            <w:pPr>
              <w:ind w:left="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7">
              <w:r>
                <w:rPr>
                  <w:rFonts w:ascii="Arial" w:cs="Arial" w:eastAsia="Arial" w:hAnsi="Arial"/>
                  <w:sz w:val="18"/>
                  <w:szCs w:val="18"/>
                  <w:color w:val="0000FF"/>
                  <w:w w:val="94"/>
                </w:rPr>
                <w:t>Certification of Chief Executive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Exchange Act of 1934.</w:t>
              </w:r>
            </w:hyperlink>
          </w:p>
        </w:tc>
        <w:tc>
          <w:tcPr>
            <w:tcW w:w="7500" w:type="dxa"/>
            <w:vAlign w:val="bottom"/>
            <w:tcBorders>
              <w:top w:val="single" w:sz="8" w:color="0000FF"/>
            </w:tcBorders>
            <w:gridSpan w:val="7"/>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520" w:type="dxa"/>
            <w:vAlign w:val="bottom"/>
            <w:gridSpan w:val="9"/>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8">
              <w:r>
                <w:rPr>
                  <w:rFonts w:ascii="Arial" w:cs="Arial" w:eastAsia="Arial" w:hAnsi="Arial"/>
                  <w:sz w:val="18"/>
                  <w:szCs w:val="18"/>
                  <w:color w:val="0000FF"/>
                  <w:w w:val="95"/>
                </w:rPr>
                <w:t>Certification of Chief Financial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Exchange Act of 1934.</w:t>
              </w:r>
            </w:hyperlink>
          </w:p>
        </w:tc>
        <w:tc>
          <w:tcPr>
            <w:tcW w:w="7500" w:type="dxa"/>
            <w:vAlign w:val="bottom"/>
            <w:tcBorders>
              <w:top w:val="single" w:sz="8" w:color="0000FF"/>
            </w:tcBorders>
            <w:gridSpan w:val="7"/>
          </w:tcPr>
          <w:p>
            <w:pPr>
              <w:spacing w:after="0"/>
              <w:rPr>
                <w:sz w:val="17"/>
                <w:szCs w:val="17"/>
                <w:color w:val="auto"/>
              </w:rPr>
            </w:pPr>
          </w:p>
        </w:tc>
      </w:tr>
      <w:tr>
        <w:trPr>
          <w:trHeight w:val="561"/>
        </w:trPr>
        <w:tc>
          <w:tcPr>
            <w:tcW w:w="30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101.INS*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1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30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101.SCH*</w:t>
            </w:r>
          </w:p>
        </w:tc>
        <w:tc>
          <w:tcPr>
            <w:tcW w:w="9520" w:type="dxa"/>
            <w:vAlign w:val="bottom"/>
            <w:gridSpan w:val="9"/>
          </w:tcPr>
          <w:p>
            <w:pPr>
              <w:ind w:left="40"/>
              <w:spacing w:after="0"/>
              <w:rPr>
                <w:sz w:val="20"/>
                <w:szCs w:val="20"/>
                <w:color w:val="auto"/>
              </w:rPr>
            </w:pPr>
            <w:r>
              <w:rPr>
                <w:rFonts w:ascii="Arial" w:cs="Arial" w:eastAsia="Arial" w:hAnsi="Arial"/>
                <w:sz w:val="18"/>
                <w:szCs w:val="18"/>
                <w:color w:val="auto"/>
              </w:rPr>
              <w:t>—  XBRL Taxonomy Extension Schema Document</w:t>
            </w:r>
          </w:p>
        </w:tc>
      </w:tr>
      <w:tr>
        <w:trPr>
          <w:trHeight w:val="540"/>
        </w:trPr>
        <w:tc>
          <w:tcPr>
            <w:tcW w:w="30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101.CAL*</w:t>
            </w:r>
          </w:p>
        </w:tc>
        <w:tc>
          <w:tcPr>
            <w:tcW w:w="9520" w:type="dxa"/>
            <w:vAlign w:val="bottom"/>
            <w:gridSpan w:val="9"/>
          </w:tcPr>
          <w:p>
            <w:pPr>
              <w:ind w:left="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40"/>
        </w:trPr>
        <w:tc>
          <w:tcPr>
            <w:tcW w:w="30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101.DEF*</w:t>
            </w:r>
          </w:p>
        </w:tc>
        <w:tc>
          <w:tcPr>
            <w:tcW w:w="9520" w:type="dxa"/>
            <w:vAlign w:val="bottom"/>
            <w:gridSpan w:val="9"/>
          </w:tcPr>
          <w:p>
            <w:pPr>
              <w:ind w:left="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40"/>
        </w:trPr>
        <w:tc>
          <w:tcPr>
            <w:tcW w:w="30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101.LAB*</w:t>
            </w:r>
          </w:p>
        </w:tc>
        <w:tc>
          <w:tcPr>
            <w:tcW w:w="9520" w:type="dxa"/>
            <w:vAlign w:val="bottom"/>
            <w:gridSpan w:val="9"/>
          </w:tcPr>
          <w:p>
            <w:pPr>
              <w:ind w:left="40"/>
              <w:spacing w:after="0"/>
              <w:rPr>
                <w:sz w:val="20"/>
                <w:szCs w:val="20"/>
                <w:color w:val="auto"/>
              </w:rPr>
            </w:pPr>
            <w:r>
              <w:rPr>
                <w:rFonts w:ascii="Arial" w:cs="Arial" w:eastAsia="Arial" w:hAnsi="Arial"/>
                <w:sz w:val="18"/>
                <w:szCs w:val="18"/>
                <w:color w:val="auto"/>
              </w:rPr>
              <w:t>—  XBRL Taxonomy Extension Label Linkbase Document</w:t>
            </w:r>
          </w:p>
        </w:tc>
      </w:tr>
      <w:tr>
        <w:trPr>
          <w:trHeight w:val="540"/>
        </w:trPr>
        <w:tc>
          <w:tcPr>
            <w:tcW w:w="300" w:type="dxa"/>
            <w:vAlign w:val="bottom"/>
          </w:tcPr>
          <w:p>
            <w:pPr>
              <w:spacing w:after="0"/>
              <w:rPr>
                <w:sz w:val="24"/>
                <w:szCs w:val="24"/>
                <w:color w:val="auto"/>
              </w:rPr>
            </w:pP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101.PRE*</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1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820" w:type="dxa"/>
            <w:vAlign w:val="bottom"/>
            <w:gridSpan w:val="2"/>
          </w:tcPr>
          <w:p>
            <w:pPr>
              <w:jc w:val="right"/>
              <w:ind w:right="190"/>
              <w:spacing w:after="0"/>
              <w:rPr>
                <w:sz w:val="20"/>
                <w:szCs w:val="20"/>
                <w:color w:val="auto"/>
              </w:rPr>
            </w:pPr>
            <w:r>
              <w:rPr>
                <w:rFonts w:ascii="Arial" w:cs="Arial" w:eastAsia="Arial" w:hAnsi="Arial"/>
                <w:sz w:val="18"/>
                <w:szCs w:val="18"/>
                <w:color w:val="auto"/>
                <w:w w:val="96"/>
              </w:rPr>
              <w:t>---------</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78"/>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Filed herewith.</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0"/>
              <w:spacing w:after="0"/>
              <w:rPr>
                <w:sz w:val="20"/>
                <w:szCs w:val="20"/>
                <w:color w:val="auto"/>
              </w:rPr>
            </w:pPr>
            <w:r>
              <w:rPr>
                <w:rFonts w:ascii="Arial" w:cs="Arial" w:eastAsia="Arial" w:hAnsi="Arial"/>
                <w:sz w:val="18"/>
                <w:szCs w:val="18"/>
                <w:color w:val="auto"/>
                <w:w w:val="91"/>
              </w:rPr>
              <w:t>Furnished herewith.</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CIVEO CORPORATION</w:t>
      </w:r>
    </w:p>
    <w:p>
      <w:pPr>
        <w:spacing w:after="0" w:line="383" w:lineRule="exact"/>
        <w:rPr>
          <w:sz w:val="20"/>
          <w:szCs w:val="20"/>
          <w:color w:val="auto"/>
        </w:rPr>
      </w:pPr>
    </w:p>
    <w:p>
      <w:pPr>
        <w:ind w:left="40"/>
        <w:spacing w:after="0"/>
        <w:tabs>
          <w:tab w:leader="none" w:pos="5500" w:val="left"/>
          <w:tab w:leader="none" w:pos="6780" w:val="left"/>
        </w:tabs>
        <w:rPr>
          <w:sz w:val="20"/>
          <w:szCs w:val="20"/>
          <w:color w:val="auto"/>
        </w:rPr>
      </w:pPr>
      <w:r>
        <w:rPr>
          <w:rFonts w:ascii="Arial" w:cs="Arial" w:eastAsia="Arial" w:hAnsi="Arial"/>
          <w:sz w:val="18"/>
          <w:szCs w:val="18"/>
          <w:u w:val="single" w:color="auto"/>
          <w:color w:val="auto"/>
        </w:rPr>
        <w:t>Date: October 29, 2019</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-7620</wp:posOffset>
            </wp:positionV>
            <wp:extent cx="2322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322195" cy="8890"/>
                    </a:xfrm>
                    <a:prstGeom prst="rect">
                      <a:avLst/>
                    </a:prstGeom>
                    <a:noFill/>
                  </pic:spPr>
                </pic:pic>
              </a:graphicData>
            </a:graphic>
          </wp:anchor>
        </w:drawing>
      </w:r>
    </w:p>
    <w:p>
      <w:pPr>
        <w:spacing w:after="0" w:line="4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Carolyn J. Stone</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Chief Accounting Officer and Vice President, Controller and Corporate</w:t>
      </w:r>
    </w:p>
    <w:p>
      <w:pPr>
        <w:spacing w:after="0" w:line="3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Secretary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Bradley J. Dodson, certify that:</w:t>
      </w:r>
    </w:p>
    <w:p>
      <w:pPr>
        <w:spacing w:after="0" w:line="387" w:lineRule="exact"/>
        <w:rPr>
          <w:sz w:val="20"/>
          <w:szCs w:val="20"/>
          <w:color w:val="auto"/>
        </w:rPr>
      </w:pPr>
    </w:p>
    <w:p>
      <w:pPr>
        <w:ind w:left="300" w:hanging="265"/>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00" w:right="2220" w:hanging="265"/>
        <w:spacing w:after="0" w:line="264"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00" w:right="2220" w:hanging="297"/>
        <w:spacing w:after="0" w:line="305" w:lineRule="auto"/>
        <w:rPr>
          <w:rFonts w:ascii="Arial" w:cs="Arial" w:eastAsia="Arial" w:hAnsi="Arial"/>
          <w:sz w:val="18"/>
          <w:szCs w:val="18"/>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00" w:right="2220" w:hanging="265"/>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00" w:right="2220" w:hanging="297"/>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Frank C. Steininger, certify that:</w:t>
      </w:r>
    </w:p>
    <w:p>
      <w:pPr>
        <w:spacing w:after="0" w:line="387"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 have reviewed this Quarterly Report on Form 10-Q of Civeo Corporation (Registrant);</w:t>
      </w:r>
    </w:p>
    <w:p>
      <w:pPr>
        <w:spacing w:after="0" w:line="63" w:lineRule="exact"/>
        <w:rPr>
          <w:sz w:val="20"/>
          <w:szCs w:val="20"/>
          <w:color w:val="auto"/>
        </w:rPr>
      </w:pPr>
    </w:p>
    <w:p>
      <w:pPr>
        <w:jc w:val="both"/>
        <w:ind w:left="280" w:right="2320" w:hanging="245"/>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280" w:right="2320" w:hanging="245"/>
        <w:spacing w:after="0" w:line="264"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20" w:right="2320" w:hanging="33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Frank C. Steininger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Chief Financial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2019,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2019</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2019,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26327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Frank C. Steininger</w:t>
      </w:r>
    </w:p>
    <w:p>
      <w:pPr>
        <w:spacing w:after="0" w:line="63"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1)"/>
      <w:numFmt w:val="upperLetter"/>
      <w:start w:val="2"/>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upperLetter"/>
      <w:start w:val="2"/>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bullet"/>
      <w:start w:val="1"/>
    </w:lvl>
  </w:abstractNum>
  <w:abstractNum w:abstractNumId="23">
    <w:nsid w:val="836C40E"/>
    <w:multiLevelType w:val="hybridMultilevel"/>
    <w:lvl w:ilvl="0">
      <w:lvlJc w:val="left"/>
      <w:lvlText w:val="2"/>
      <w:numFmt w:val="bullet"/>
      <w:start w:val="1"/>
    </w:lvl>
  </w:abstractNum>
  <w:abstractNum w:abstractNumId="24">
    <w:nsid w:val="2901D82"/>
    <w:multiLevelType w:val="hybridMultilevel"/>
    <w:lvl w:ilvl="0">
      <w:lvlJc w:val="left"/>
      <w:lvlText w:val="3"/>
      <w:numFmt w:val="bullet"/>
      <w:start w:val="1"/>
    </w:lvl>
  </w:abstractNum>
  <w:abstractNum w:abstractNumId="25">
    <w:nsid w:val="3A95F874"/>
    <w:multiLevelType w:val="hybridMultilevel"/>
    <w:lvl w:ilvl="0">
      <w:lvlJc w:val="left"/>
      <w:lvlText w:val="4"/>
      <w:numFmt w:val="bullet"/>
      <w:start w:val="1"/>
    </w:lvl>
  </w:abstractNum>
  <w:abstractNum w:abstractNumId="26">
    <w:nsid w:val="8138641"/>
    <w:multiLevelType w:val="hybridMultilevel"/>
    <w:lvl w:ilvl="0">
      <w:lvlJc w:val="left"/>
      <w:lvlText w:val="5"/>
      <w:numFmt w:val="bullet"/>
      <w:start w:val="1"/>
    </w:lvl>
  </w:abstractNum>
  <w:abstractNum w:abstractNumId="27">
    <w:nsid w:val="1E7FF521"/>
    <w:multiLevelType w:val="hybridMultilevel"/>
    <w:lvl w:ilvl="0">
      <w:lvlJc w:val="left"/>
      <w:lvlText w:val="2"/>
      <w:numFmt w:val="bullet"/>
      <w:start w:val="1"/>
    </w:lvl>
  </w:abstractNum>
  <w:abstractNum w:abstractNumId="28">
    <w:nsid w:val="7C3DBD3D"/>
    <w:multiLevelType w:val="hybridMultilevel"/>
    <w:lvl w:ilvl="0">
      <w:lvlJc w:val="left"/>
      <w:lvlText w:val="3"/>
      <w:numFmt w:val="bullet"/>
      <w:start w:val="1"/>
    </w:lvl>
  </w:abstractNum>
  <w:abstractNum w:abstractNumId="29">
    <w:nsid w:val="737B8DDC"/>
    <w:multiLevelType w:val="hybridMultilevel"/>
    <w:lvl w:ilvl="0">
      <w:lvlJc w:val="left"/>
      <w:lvlText w:val="4"/>
      <w:numFmt w:val="bullet"/>
      <w:start w:val="1"/>
    </w:lvl>
  </w:abstractNum>
  <w:abstractNum w:abstractNumId="30">
    <w:nsid w:val="6CEAF087"/>
    <w:multiLevelType w:val="hybridMultilevel"/>
    <w:lvl w:ilvl="0">
      <w:lvlJc w:val="left"/>
      <w:lvlText w:val="5"/>
      <w:numFmt w:val="bullet"/>
      <w:start w:val="1"/>
    </w:lvl>
  </w:abstractNum>
  <w:abstractNum w:abstractNumId="31">
    <w:nsid w:val="22221A70"/>
    <w:multiLevelType w:val="hybridMultilevel"/>
    <w:lvl w:ilvl="0">
      <w:lvlJc w:val="left"/>
      <w:lvlText w:val="2"/>
      <w:numFmt w:val="bullet"/>
      <w:start w:val="1"/>
    </w:lvl>
  </w:abstractNum>
  <w:abstractNum w:abstractNumId="32">
    <w:nsid w:val="4516DDE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0" Type="http://schemas.openxmlformats.org/officeDocument/2006/relationships/hyperlink" Target="http://www.sec.gov/Archives/edgar/data/1590584/000159058419000113/a32166363_1xciveo-second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2019-12-28T04:31:38Z</dcterms:created>
  <dcterms:modified xsi:type="dcterms:W3CDTF">2019-12-28T04:31:38Z</dcterms:modified>
</cp:coreProperties>
</file>