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3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8" w:lineRule="exact"/>
        <w:rPr>
          <w:rFonts w:ascii="MS PGothic" w:cs="MS PGothic" w:eastAsia="MS PGothic" w:hAnsi="MS PGothic"/>
          <w:sz w:val="18"/>
          <w:szCs w:val="18"/>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Soliciting Material Pursuant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240.14a-12</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1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4"/>
          <w:szCs w:val="24"/>
          <w:color w:val="auto"/>
        </w:rPr>
      </w:pPr>
    </w:p>
    <w:p>
      <w:pPr>
        <w:spacing w:after="0" w:line="316" w:lineRule="exact"/>
        <w:rPr>
          <w:sz w:val="24"/>
          <w:szCs w:val="24"/>
          <w:color w:val="auto"/>
        </w:rPr>
      </w:pPr>
    </w:p>
    <w:p>
      <w:pPr>
        <w:ind w:left="540" w:hanging="51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Fee paid previously with preliminary materials</w:t>
      </w:r>
    </w:p>
    <w:p>
      <w:pPr>
        <w:spacing w:after="0" w:line="69" w:lineRule="exact"/>
        <w:rPr>
          <w:rFonts w:ascii="MS PGothic" w:cs="MS PGothic" w:eastAsia="MS PGothic" w:hAnsi="MS PGothic"/>
          <w:sz w:val="18"/>
          <w:szCs w:val="18"/>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tabs>
          <w:tab w:leader="none" w:pos="5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846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5"/>
          <w:szCs w:val="45"/>
          <w:b w:val="1"/>
          <w:bCs w:val="1"/>
          <w:color w:val="006DB6"/>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5374640" cy="1234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74640" cy="123444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DB6"/>
        </w:rPr>
        <w:t>DATE AND TIME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May 18, 2022 (Wednesday)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9:00 a.m., Houston, Texas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LOCATION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DB6"/>
        </w:rPr>
        <w:t>The Baldwin Hotel, 400 Dallas Street, Houston, Texas 77002</w:t>
      </w:r>
    </w:p>
    <w:p>
      <w:pPr>
        <w:spacing w:after="0" w:line="95" w:lineRule="exact"/>
        <w:rPr>
          <w:sz w:val="20"/>
          <w:szCs w:val="20"/>
          <w:color w:val="auto"/>
        </w:rPr>
      </w:pPr>
    </w:p>
    <w:p>
      <w:pPr>
        <w:spacing w:after="0" w:line="252" w:lineRule="auto"/>
        <w:rPr>
          <w:sz w:val="20"/>
          <w:szCs w:val="20"/>
          <w:color w:val="auto"/>
        </w:rPr>
      </w:pPr>
      <w:r>
        <w:rPr>
          <w:rFonts w:ascii="Arial" w:cs="Arial" w:eastAsia="Arial" w:hAnsi="Arial"/>
          <w:sz w:val="14"/>
          <w:szCs w:val="14"/>
          <w:color w:val="006DB6"/>
        </w:rPr>
        <w:t>We are actively monitoring the public health and safety concerns relating to COVID-19. We may make alternate arrangements relating to the annual general meeting, which could include changing the date, time and/or location of the meeting. We will announce any alternative arrangements for the annual general meeting as promptly as practicable.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RECORD DATE</w:t>
      </w:r>
    </w:p>
    <w:p>
      <w:pPr>
        <w:spacing w:after="0" w:line="15"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Only shareholders of record at the close of business on March 29, 2022 are entitled to notice of and to vote during the annual general meeting or at any adjournment or postponement thereof that may take place.</w:t>
      </w:r>
    </w:p>
    <w:p>
      <w:pPr>
        <w:spacing w:after="0" w:line="357" w:lineRule="exact"/>
        <w:rPr>
          <w:sz w:val="20"/>
          <w:szCs w:val="20"/>
          <w:color w:val="auto"/>
        </w:rPr>
      </w:pPr>
    </w:p>
    <w:p>
      <w:pPr>
        <w:sectPr>
          <w:pgSz w:w="11900" w:h="16838" w:orient="portrait"/>
          <w:cols w:equalWidth="0" w:num="3">
            <w:col w:w="2000" w:space="720"/>
            <w:col w:w="4940" w:space="400"/>
            <w:col w:w="3180"/>
          </w:cols>
          <w:pgMar w:left="320" w:top="969"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006DB6"/>
        </w:rPr>
        <w:t>Voting Items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2"/>
          </w:tcPr>
          <w:p>
            <w:pPr>
              <w:ind w:left="20"/>
              <w:spacing w:after="0"/>
              <w:rPr>
                <w:sz w:val="20"/>
                <w:szCs w:val="20"/>
                <w:color w:val="auto"/>
              </w:rPr>
            </w:pPr>
            <w:r>
              <w:rPr>
                <w:rFonts w:ascii="Arial" w:cs="Arial" w:eastAsia="Arial" w:hAnsi="Arial"/>
                <w:sz w:val="13"/>
                <w:szCs w:val="13"/>
                <w:b w:val="1"/>
                <w:bCs w:val="1"/>
                <w:color w:val="706F6F"/>
              </w:rPr>
              <w:t>Proposals</w:t>
            </w:r>
          </w:p>
        </w:tc>
        <w:tc>
          <w:tcPr>
            <w:tcW w:w="2040" w:type="dxa"/>
            <w:vAlign w:val="bottom"/>
          </w:tcPr>
          <w:p>
            <w:pPr>
              <w:ind w:left="120"/>
              <w:spacing w:after="0"/>
              <w:rPr>
                <w:sz w:val="20"/>
                <w:szCs w:val="20"/>
                <w:color w:val="auto"/>
              </w:rPr>
            </w:pPr>
            <w:r>
              <w:rPr>
                <w:rFonts w:ascii="Arial" w:cs="Arial" w:eastAsia="Arial" w:hAnsi="Arial"/>
                <w:sz w:val="13"/>
                <w:szCs w:val="13"/>
                <w:b w:val="1"/>
                <w:bCs w:val="1"/>
                <w:color w:val="706F6F"/>
              </w:rPr>
              <w:t>Board Vote Recommendation</w:t>
            </w:r>
          </w:p>
        </w:tc>
        <w:tc>
          <w:tcPr>
            <w:tcW w:w="1600" w:type="dxa"/>
            <w:vAlign w:val="bottom"/>
          </w:tcPr>
          <w:p>
            <w:pPr>
              <w:ind w:left="60"/>
              <w:spacing w:after="0"/>
              <w:rPr>
                <w:sz w:val="20"/>
                <w:szCs w:val="20"/>
                <w:color w:val="auto"/>
              </w:rPr>
            </w:pPr>
            <w:r>
              <w:rPr>
                <w:rFonts w:ascii="Arial" w:cs="Arial" w:eastAsia="Arial" w:hAnsi="Arial"/>
                <w:sz w:val="13"/>
                <w:szCs w:val="13"/>
                <w:b w:val="1"/>
                <w:bCs w:val="1"/>
                <w:color w:val="706F6F"/>
              </w:rPr>
              <w:t>For Further Details</w:t>
            </w:r>
          </w:p>
        </w:tc>
        <w:tc>
          <w:tcPr>
            <w:tcW w:w="0" w:type="dxa"/>
            <w:vAlign w:val="bottom"/>
          </w:tcPr>
          <w:p>
            <w:pPr>
              <w:spacing w:after="0"/>
              <w:rPr>
                <w:sz w:val="1"/>
                <w:szCs w:val="1"/>
                <w:color w:val="auto"/>
              </w:rPr>
            </w:pPr>
          </w:p>
        </w:tc>
      </w:tr>
      <w:tr>
        <w:trPr>
          <w:trHeight w:val="22"/>
        </w:trPr>
        <w:tc>
          <w:tcPr>
            <w:tcW w:w="220" w:type="dxa"/>
            <w:vAlign w:val="bottom"/>
            <w:tcBorders>
              <w:bottom w:val="single" w:sz="8" w:color="006DB6"/>
            </w:tcBorders>
          </w:tcPr>
          <w:p>
            <w:pPr>
              <w:spacing w:after="0" w:line="20" w:lineRule="exact"/>
              <w:rPr>
                <w:sz w:val="1"/>
                <w:szCs w:val="1"/>
                <w:color w:val="auto"/>
              </w:rPr>
            </w:pPr>
          </w:p>
        </w:tc>
        <w:tc>
          <w:tcPr>
            <w:tcW w:w="7380" w:type="dxa"/>
            <w:vAlign w:val="bottom"/>
            <w:tcBorders>
              <w:bottom w:val="single" w:sz="8" w:color="006DB6"/>
            </w:tcBorders>
          </w:tcPr>
          <w:p>
            <w:pPr>
              <w:spacing w:after="0" w:line="20" w:lineRule="exact"/>
              <w:rPr>
                <w:sz w:val="1"/>
                <w:szCs w:val="1"/>
                <w:color w:val="auto"/>
              </w:rPr>
            </w:pPr>
          </w:p>
        </w:tc>
        <w:tc>
          <w:tcPr>
            <w:tcW w:w="2040" w:type="dxa"/>
            <w:vAlign w:val="bottom"/>
            <w:tcBorders>
              <w:bottom w:val="single" w:sz="8" w:color="006DB6"/>
            </w:tcBorders>
          </w:tcPr>
          <w:p>
            <w:pPr>
              <w:spacing w:after="0" w:line="20" w:lineRule="exact"/>
              <w:rPr>
                <w:sz w:val="1"/>
                <w:szCs w:val="1"/>
                <w:color w:val="auto"/>
              </w:rPr>
            </w:pPr>
          </w:p>
        </w:tc>
        <w:tc>
          <w:tcPr>
            <w:tcW w:w="1600" w:type="dxa"/>
            <w:vAlign w:val="bottom"/>
            <w:tcBorders>
              <w:bottom w:val="single" w:sz="8" w:color="006D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20" w:type="dxa"/>
            <w:vAlign w:val="bottom"/>
          </w:tcPr>
          <w:p>
            <w:pPr>
              <w:ind w:left="20"/>
              <w:spacing w:after="0"/>
              <w:rPr>
                <w:sz w:val="20"/>
                <w:szCs w:val="20"/>
                <w:color w:val="auto"/>
              </w:rPr>
            </w:pPr>
            <w:r>
              <w:rPr>
                <w:rFonts w:ascii="Arial" w:cs="Arial" w:eastAsia="Arial" w:hAnsi="Arial"/>
                <w:sz w:val="14"/>
                <w:szCs w:val="14"/>
                <w:color w:val="auto"/>
              </w:rPr>
              <w:t>1.</w:t>
            </w:r>
          </w:p>
        </w:tc>
        <w:tc>
          <w:tcPr>
            <w:tcW w:w="7380" w:type="dxa"/>
            <w:vAlign w:val="bottom"/>
          </w:tcPr>
          <w:p>
            <w:pPr>
              <w:ind w:left="80"/>
              <w:spacing w:after="0"/>
              <w:rPr>
                <w:sz w:val="20"/>
                <w:szCs w:val="20"/>
                <w:color w:val="auto"/>
              </w:rPr>
            </w:pPr>
            <w:r>
              <w:rPr>
                <w:rFonts w:ascii="Arial" w:cs="Arial" w:eastAsia="Arial" w:hAnsi="Arial"/>
                <w:sz w:val="14"/>
                <w:szCs w:val="14"/>
                <w:color w:val="auto"/>
              </w:rPr>
              <w:t>To elect the three persons named in this proxy statement as Class II members of Civeo’s board of directors, each</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 each director nominee</w:t>
            </w:r>
          </w:p>
        </w:tc>
        <w:tc>
          <w:tcPr>
            <w:tcW w:w="1600" w:type="dxa"/>
            <w:vAlign w:val="bottom"/>
            <w:vMerge w:val="restart"/>
          </w:tcPr>
          <w:p>
            <w:pPr>
              <w:ind w:left="6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FFC03C"/>
              </w:rPr>
              <w:t>9</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7380" w:type="dxa"/>
            <w:vAlign w:val="bottom"/>
            <w:vMerge w:val="restart"/>
          </w:tcPr>
          <w:p>
            <w:pPr>
              <w:ind w:left="80"/>
              <w:spacing w:after="0"/>
              <w:rPr>
                <w:sz w:val="20"/>
                <w:szCs w:val="20"/>
                <w:color w:val="auto"/>
              </w:rPr>
            </w:pPr>
            <w:r>
              <w:rPr>
                <w:rFonts w:ascii="Arial" w:cs="Arial" w:eastAsia="Arial" w:hAnsi="Arial"/>
                <w:sz w:val="14"/>
                <w:szCs w:val="14"/>
                <w:color w:val="auto"/>
              </w:rPr>
              <w:t>for a term of three years ending at the 2025 annual general meeting of shareholders</w:t>
            </w:r>
          </w:p>
        </w:tc>
        <w:tc>
          <w:tcPr>
            <w:tcW w:w="204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73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20" w:type="dxa"/>
            <w:vAlign w:val="bottom"/>
            <w:tcBorders>
              <w:bottom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20" w:type="dxa"/>
            <w:vAlign w:val="bottom"/>
          </w:tcPr>
          <w:p>
            <w:pPr>
              <w:ind w:left="20"/>
              <w:spacing w:after="0"/>
              <w:rPr>
                <w:sz w:val="20"/>
                <w:szCs w:val="20"/>
                <w:color w:val="auto"/>
              </w:rPr>
            </w:pPr>
            <w:r>
              <w:rPr>
                <w:rFonts w:ascii="Arial" w:cs="Arial" w:eastAsia="Arial" w:hAnsi="Arial"/>
                <w:sz w:val="14"/>
                <w:szCs w:val="14"/>
                <w:color w:val="auto"/>
              </w:rPr>
              <w:t>2.</w:t>
            </w:r>
          </w:p>
        </w:tc>
        <w:tc>
          <w:tcPr>
            <w:tcW w:w="7380" w:type="dxa"/>
            <w:vAlign w:val="bottom"/>
          </w:tcPr>
          <w:p>
            <w:pPr>
              <w:ind w:left="80"/>
              <w:spacing w:after="0"/>
              <w:rPr>
                <w:sz w:val="20"/>
                <w:szCs w:val="20"/>
                <w:color w:val="auto"/>
              </w:rPr>
            </w:pPr>
            <w:r>
              <w:rPr>
                <w:rFonts w:ascii="Arial" w:cs="Arial" w:eastAsia="Arial" w:hAnsi="Arial"/>
                <w:sz w:val="14"/>
                <w:szCs w:val="14"/>
                <w:color w:val="auto"/>
              </w:rPr>
              <w:t>To approve, on an advisory basis, the compensation of Civeo’s named executive officers</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vMerge w:val="restart"/>
          </w:tcPr>
          <w:p>
            <w:pPr>
              <w:ind w:left="6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FFC03C"/>
              </w:rPr>
              <w:t>32</w:t>
            </w:r>
          </w:p>
        </w:tc>
        <w:tc>
          <w:tcPr>
            <w:tcW w:w="0" w:type="dxa"/>
            <w:vAlign w:val="bottom"/>
          </w:tcPr>
          <w:p>
            <w:pPr>
              <w:spacing w:after="0"/>
              <w:rPr>
                <w:sz w:val="1"/>
                <w:szCs w:val="1"/>
                <w:color w:val="auto"/>
              </w:rPr>
            </w:pPr>
          </w:p>
        </w:tc>
      </w:tr>
      <w:tr>
        <w:trPr>
          <w:trHeight w:val="114"/>
        </w:trPr>
        <w:tc>
          <w:tcPr>
            <w:tcW w:w="2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20" w:type="dxa"/>
            <w:vAlign w:val="bottom"/>
          </w:tcPr>
          <w:p>
            <w:pPr>
              <w:ind w:left="20"/>
              <w:spacing w:after="0"/>
              <w:rPr>
                <w:sz w:val="20"/>
                <w:szCs w:val="20"/>
                <w:color w:val="auto"/>
              </w:rPr>
            </w:pPr>
            <w:r>
              <w:rPr>
                <w:rFonts w:ascii="Arial" w:cs="Arial" w:eastAsia="Arial" w:hAnsi="Arial"/>
                <w:sz w:val="14"/>
                <w:szCs w:val="14"/>
                <w:color w:val="auto"/>
              </w:rPr>
              <w:t>3.</w:t>
            </w:r>
          </w:p>
        </w:tc>
        <w:tc>
          <w:tcPr>
            <w:tcW w:w="7380" w:type="dxa"/>
            <w:vAlign w:val="bottom"/>
          </w:tcPr>
          <w:p>
            <w:pPr>
              <w:ind w:left="80"/>
              <w:spacing w:after="0"/>
              <w:rPr>
                <w:sz w:val="20"/>
                <w:szCs w:val="20"/>
                <w:color w:val="auto"/>
              </w:rPr>
            </w:pPr>
            <w:r>
              <w:rPr>
                <w:rFonts w:ascii="Arial" w:cs="Arial" w:eastAsia="Arial" w:hAnsi="Arial"/>
                <w:sz w:val="14"/>
                <w:szCs w:val="14"/>
                <w:color w:val="auto"/>
              </w:rPr>
              <w:t>To ratify the appointment of Ernst &amp; Young LLP as Civeo’s independent registered public accounting firm for the</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vMerge w:val="restart"/>
          </w:tcPr>
          <w:p>
            <w:pPr>
              <w:ind w:left="6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FFC03C"/>
              </w:rPr>
              <w:t>58</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7380" w:type="dxa"/>
            <w:vAlign w:val="bottom"/>
          </w:tcPr>
          <w:p>
            <w:pPr>
              <w:ind w:left="80"/>
              <w:spacing w:after="0"/>
              <w:rPr>
                <w:sz w:val="20"/>
                <w:szCs w:val="20"/>
                <w:color w:val="auto"/>
              </w:rPr>
            </w:pPr>
            <w:r>
              <w:rPr>
                <w:rFonts w:ascii="Arial" w:cs="Arial" w:eastAsia="Arial" w:hAnsi="Arial"/>
                <w:sz w:val="14"/>
                <w:szCs w:val="14"/>
                <w:color w:val="auto"/>
              </w:rPr>
              <w:t>year ending December 31, 2022 and until the next annual general meeting of shareholders and to authorize the</w:t>
            </w:r>
          </w:p>
        </w:tc>
        <w:tc>
          <w:tcPr>
            <w:tcW w:w="204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00" w:right="3700"/>
        <w:spacing w:after="0" w:line="264" w:lineRule="auto"/>
        <w:rPr>
          <w:sz w:val="20"/>
          <w:szCs w:val="20"/>
          <w:color w:val="auto"/>
        </w:rPr>
      </w:pPr>
      <w:r>
        <w:rPr>
          <w:rFonts w:ascii="Arial" w:cs="Arial" w:eastAsia="Arial" w:hAnsi="Arial"/>
          <w:sz w:val="14"/>
          <w:szCs w:val="14"/>
          <w:color w:val="auto"/>
        </w:rPr>
        <w:t>directors of Civeo, acting through the Audit Committee, to determine the remuneration to be paid to Ernst &amp; Young LLP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Shareholders will also conduct any other business as may properly come before the annual general meeting or any adjournment or postponement thereof.</w:t>
      </w:r>
    </w:p>
    <w:p>
      <w:pPr>
        <w:spacing w:after="0" w:line="109" w:lineRule="exact"/>
        <w:rPr>
          <w:sz w:val="20"/>
          <w:szCs w:val="20"/>
          <w:color w:val="auto"/>
        </w:rPr>
      </w:pPr>
    </w:p>
    <w:p>
      <w:pPr>
        <w:ind w:right="180"/>
        <w:spacing w:after="0" w:line="256" w:lineRule="auto"/>
        <w:rPr>
          <w:sz w:val="20"/>
          <w:szCs w:val="20"/>
          <w:color w:val="auto"/>
        </w:rPr>
      </w:pPr>
      <w:r>
        <w:rPr>
          <w:rFonts w:ascii="Arial" w:cs="Arial" w:eastAsia="Arial" w:hAnsi="Arial"/>
          <w:sz w:val="14"/>
          <w:szCs w:val="14"/>
          <w:color w:val="auto"/>
        </w:rPr>
        <w:t>We are actively monitoring the public health and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time and/or location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pacing w:after="0" w:line="69" w:lineRule="exact"/>
        <w:rPr>
          <w:sz w:val="20"/>
          <w:szCs w:val="20"/>
          <w:color w:val="auto"/>
        </w:rPr>
      </w:pPr>
    </w:p>
    <w:p>
      <w:pPr>
        <w:ind w:right="660"/>
        <w:spacing w:after="0" w:line="285" w:lineRule="auto"/>
        <w:rPr>
          <w:sz w:val="20"/>
          <w:szCs w:val="20"/>
          <w:color w:val="auto"/>
        </w:rPr>
      </w:pPr>
      <w:r>
        <w:rPr>
          <w:rFonts w:ascii="Arial" w:cs="Arial" w:eastAsia="Arial" w:hAnsi="Arial"/>
          <w:sz w:val="14"/>
          <w:szCs w:val="14"/>
          <w:color w:val="auto"/>
        </w:rPr>
        <w:t>The proposals are more fully described in the proxy statement accompanying this notice. Please give your attention to all of the information in the accompanying proxy statement.</w:t>
      </w:r>
    </w:p>
    <w:p>
      <w:pPr>
        <w:spacing w:after="0" w:line="50" w:lineRule="exact"/>
        <w:rPr>
          <w:sz w:val="20"/>
          <w:szCs w:val="20"/>
          <w:color w:val="auto"/>
        </w:rPr>
      </w:pPr>
    </w:p>
    <w:p>
      <w:pPr>
        <w:ind w:right="20"/>
        <w:spacing w:after="0" w:line="258" w:lineRule="auto"/>
        <w:rPr>
          <w:rFonts w:ascii="Arial" w:cs="Arial" w:eastAsia="Arial" w:hAnsi="Arial"/>
          <w:sz w:val="14"/>
          <w:szCs w:val="14"/>
          <w:color w:val="auto"/>
        </w:rPr>
      </w:pPr>
      <w:r>
        <w:rPr>
          <w:rFonts w:ascii="Arial" w:cs="Arial" w:eastAsia="Arial" w:hAnsi="Arial"/>
          <w:sz w:val="14"/>
          <w:szCs w:val="14"/>
          <w:color w:val="auto"/>
        </w:rPr>
        <w:t xml:space="preserve">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during the annual general meeting. For specific information regarding the voting of your shares, please refer to the section entitled “General Information About the Annual General Meeting,” beginning on page </w:t>
      </w:r>
      <w:hyperlink w:anchor="page67">
        <w:r>
          <w:rPr>
            <w:rFonts w:ascii="Arial" w:cs="Arial" w:eastAsia="Arial" w:hAnsi="Arial"/>
            <w:sz w:val="14"/>
            <w:szCs w:val="14"/>
            <w:u w:val="single" w:color="auto"/>
            <w:color w:val="0000FF"/>
          </w:rPr>
          <w:t>63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accompanying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3408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4085" cy="2571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LaTosha N. Fraley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April 7, 2022</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88"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INTERNET</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You may vote your shares through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51"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TELEPHONE</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If you are located within the U.S., you may vote your shares by calling 1-800-690-6903 and following 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168910</wp:posOffset>
            </wp:positionV>
            <wp:extent cx="25717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51"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MAIL</w:t>
      </w:r>
    </w:p>
    <w:p>
      <w:pPr>
        <w:spacing w:after="0" w:line="15" w:lineRule="exact"/>
        <w:rPr>
          <w:sz w:val="20"/>
          <w:szCs w:val="20"/>
          <w:color w:val="auto"/>
        </w:rPr>
      </w:pPr>
    </w:p>
    <w:p>
      <w:pPr>
        <w:ind w:left="880" w:right="280"/>
        <w:spacing w:after="0" w:line="264" w:lineRule="auto"/>
        <w:rPr>
          <w:sz w:val="20"/>
          <w:szCs w:val="20"/>
          <w:color w:val="auto"/>
        </w:rPr>
      </w:pPr>
      <w:r>
        <w:rPr>
          <w:rFonts w:ascii="Arial" w:cs="Arial" w:eastAsia="Arial" w:hAnsi="Arial"/>
          <w:sz w:val="14"/>
          <w:szCs w:val="14"/>
          <w:color w:val="auto"/>
        </w:rPr>
        <w:t>If you received printed copies of the proxy materials by mail, you may vote by mail. You would need to mark, sign, date and mail the enclosed proxy card in the postage-paid envelope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248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11" w:lineRule="exact"/>
        <w:rPr>
          <w:sz w:val="20"/>
          <w:szCs w:val="20"/>
          <w:color w:val="auto"/>
        </w:rPr>
      </w:pPr>
    </w:p>
    <w:p>
      <w:pPr>
        <w:ind w:left="20" w:right="380"/>
        <w:spacing w:after="0" w:line="294" w:lineRule="auto"/>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MAY 18, 2022: A COPY OF THIS PROXY STATEMENT, PROXY VOTING CARD AND THE CIVEO 2021 ANNUAL REPORT ARE AVAILABLE AT WWW.PROXYVOTE.COM.</w:t>
      </w:r>
    </w:p>
    <w:p>
      <w:pPr>
        <w:sectPr>
          <w:pgSz w:w="11900" w:h="16838" w:orient="portrait"/>
          <w:cols w:equalWidth="0" w:num="1">
            <w:col w:w="11240"/>
          </w:cols>
          <w:pgMar w:left="320" w:top="96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5"/>
          <w:szCs w:val="45"/>
          <w:b w:val="1"/>
          <w:bCs w:val="1"/>
          <w:color w:val="006DB6"/>
        </w:rPr>
        <w:t>Table of Contents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Proxy Statement Summary</w:t>
            </w:r>
          </w:p>
        </w:tc>
        <w:tc>
          <w:tcPr>
            <w:tcW w:w="180" w:type="dxa"/>
            <w:vAlign w:val="bottom"/>
            <w:gridSpan w:val="2"/>
          </w:tcPr>
          <w:p>
            <w:pPr>
              <w:jc w:val="right"/>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1</w:t>
              </w:r>
            </w:hyperlink>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Company Overview</w:t>
            </w:r>
          </w:p>
        </w:tc>
        <w:tc>
          <w:tcPr>
            <w:tcW w:w="180" w:type="dxa"/>
            <w:vAlign w:val="bottom"/>
            <w:gridSpan w:val="2"/>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2</w:t>
              </w:r>
            </w:hyperlink>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2021 Performance Highlights</w:t>
            </w:r>
          </w:p>
        </w:tc>
        <w:tc>
          <w:tcPr>
            <w:tcW w:w="180" w:type="dxa"/>
            <w:vAlign w:val="bottom"/>
            <w:gridSpan w:val="2"/>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Voting Matters and Recommendations</w:t>
            </w:r>
          </w:p>
        </w:tc>
        <w:tc>
          <w:tcPr>
            <w:tcW w:w="180" w:type="dxa"/>
            <w:vAlign w:val="bottom"/>
            <w:gridSpan w:val="2"/>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Corporate Governance Highlights</w:t>
            </w:r>
          </w:p>
        </w:tc>
        <w:tc>
          <w:tcPr>
            <w:tcW w:w="180" w:type="dxa"/>
            <w:vAlign w:val="bottom"/>
            <w:gridSpan w:val="2"/>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Independent Registered Public Accounting Firm’s Fees</w:t>
            </w:r>
          </w:p>
        </w:tc>
        <w:tc>
          <w:tcPr>
            <w:tcW w:w="180" w:type="dxa"/>
            <w:vAlign w:val="bottom"/>
            <w:gridSpan w:val="2"/>
          </w:tcPr>
          <w:p>
            <w:pPr>
              <w:jc w:val="right"/>
              <w:spacing w:after="0"/>
              <w:rPr>
                <w:rFonts w:ascii="Arial" w:cs="Arial" w:eastAsia="Arial" w:hAnsi="Arial"/>
                <w:sz w:val="16"/>
                <w:szCs w:val="16"/>
                <w:color w:val="0000FF"/>
              </w:rPr>
            </w:pPr>
            <w:hyperlink w:anchor="page12">
              <w:r>
                <w:rPr>
                  <w:rFonts w:ascii="Arial" w:cs="Arial" w:eastAsia="Arial" w:hAnsi="Arial"/>
                  <w:sz w:val="16"/>
                  <w:szCs w:val="16"/>
                  <w:color w:val="0000FF"/>
                </w:rPr>
                <w:t>8</w:t>
              </w:r>
            </w:hyperlink>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Corporate Governance</w:t>
            </w:r>
          </w:p>
        </w:tc>
        <w:tc>
          <w:tcPr>
            <w:tcW w:w="180" w:type="dxa"/>
            <w:vAlign w:val="bottom"/>
            <w:gridSpan w:val="2"/>
          </w:tcPr>
          <w:p>
            <w:pPr>
              <w:jc w:val="right"/>
              <w:spacing w:after="0"/>
              <w:rPr>
                <w:rFonts w:ascii="Arial" w:cs="Arial" w:eastAsia="Arial" w:hAnsi="Arial"/>
                <w:sz w:val="16"/>
                <w:szCs w:val="16"/>
                <w:b w:val="1"/>
                <w:bCs w:val="1"/>
                <w:color w:val="0000FF"/>
              </w:rPr>
            </w:pPr>
            <w:hyperlink w:anchor="page12">
              <w:r>
                <w:rPr>
                  <w:rFonts w:ascii="Arial" w:cs="Arial" w:eastAsia="Arial" w:hAnsi="Arial"/>
                  <w:sz w:val="16"/>
                  <w:szCs w:val="16"/>
                  <w:b w:val="1"/>
                  <w:bCs w:val="1"/>
                  <w:color w:val="0000FF"/>
                </w:rPr>
                <w:t>9</w:t>
              </w:r>
            </w:hyperlink>
          </w:p>
        </w:tc>
        <w:tc>
          <w:tcPr>
            <w:tcW w:w="0" w:type="dxa"/>
            <w:vAlign w:val="bottom"/>
          </w:tcPr>
          <w:p>
            <w:pPr>
              <w:spacing w:after="0"/>
              <w:rPr>
                <w:sz w:val="1"/>
                <w:szCs w:val="1"/>
                <w:color w:val="auto"/>
              </w:rPr>
            </w:pPr>
          </w:p>
        </w:tc>
      </w:tr>
      <w:tr>
        <w:trPr>
          <w:trHeight w:val="34"/>
        </w:trPr>
        <w:tc>
          <w:tcPr>
            <w:tcW w:w="1540" w:type="dxa"/>
            <w:vAlign w:val="bottom"/>
          </w:tcPr>
          <w:p>
            <w:pPr>
              <w:spacing w:after="0"/>
              <w:rPr>
                <w:sz w:val="2"/>
                <w:szCs w:val="2"/>
                <w:color w:val="auto"/>
              </w:rPr>
            </w:pPr>
          </w:p>
        </w:tc>
        <w:tc>
          <w:tcPr>
            <w:tcW w:w="950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Election of Directors</w:t>
            </w: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1540" w:type="dxa"/>
            <w:vAlign w:val="bottom"/>
            <w:vMerge w:val="restart"/>
            <w:shd w:val="clear" w:color="auto" w:fill="006DB6"/>
          </w:tcPr>
          <w:p>
            <w:pPr>
              <w:ind w:left="120"/>
              <w:spacing w:after="0"/>
              <w:rPr>
                <w:sz w:val="20"/>
                <w:szCs w:val="20"/>
                <w:color w:val="auto"/>
              </w:rPr>
            </w:pPr>
            <w:r>
              <w:rPr>
                <w:rFonts w:ascii="Arial" w:cs="Arial" w:eastAsia="Arial" w:hAnsi="Arial"/>
                <w:sz w:val="16"/>
                <w:szCs w:val="16"/>
                <w:b w:val="1"/>
                <w:bCs w:val="1"/>
                <w:color w:val="FFFFFF"/>
              </w:rPr>
              <w:t>PROPOSAL 1</w:t>
            </w:r>
          </w:p>
        </w:tc>
        <w:tc>
          <w:tcPr>
            <w:tcW w:w="9500" w:type="dxa"/>
            <w:vAlign w:val="bottom"/>
            <w:vMerge w:val="continue"/>
          </w:tcPr>
          <w:p>
            <w:pPr>
              <w:spacing w:after="0"/>
              <w:rPr>
                <w:sz w:val="24"/>
                <w:szCs w:val="24"/>
                <w:color w:val="auto"/>
              </w:rPr>
            </w:pPr>
          </w:p>
        </w:tc>
        <w:tc>
          <w:tcPr>
            <w:tcW w:w="180" w:type="dxa"/>
            <w:vAlign w:val="bottom"/>
            <w:gridSpan w:val="2"/>
            <w:vMerge w:val="restart"/>
          </w:tcPr>
          <w:p>
            <w:pPr>
              <w:jc w:val="right"/>
              <w:spacing w:after="0"/>
              <w:rPr>
                <w:rFonts w:ascii="Arial" w:cs="Arial" w:eastAsia="Arial" w:hAnsi="Arial"/>
                <w:sz w:val="16"/>
                <w:szCs w:val="16"/>
                <w:b w:val="1"/>
                <w:bCs w:val="1"/>
                <w:color w:val="0000FF"/>
              </w:rPr>
            </w:pPr>
            <w:hyperlink w:anchor="page13">
              <w:r>
                <w:rPr>
                  <w:rFonts w:ascii="Arial" w:cs="Arial" w:eastAsia="Arial" w:hAnsi="Arial"/>
                  <w:sz w:val="16"/>
                  <w:szCs w:val="16"/>
                  <w:b w:val="1"/>
                  <w:bCs w:val="1"/>
                  <w:color w:val="0000FF"/>
                </w:rPr>
                <w:t>9</w:t>
              </w:r>
            </w:hyperlink>
          </w:p>
        </w:tc>
        <w:tc>
          <w:tcPr>
            <w:tcW w:w="0" w:type="dxa"/>
            <w:vAlign w:val="bottom"/>
          </w:tcPr>
          <w:p>
            <w:pPr>
              <w:spacing w:after="0"/>
              <w:rPr>
                <w:sz w:val="1"/>
                <w:szCs w:val="1"/>
                <w:color w:val="auto"/>
              </w:rPr>
            </w:pPr>
          </w:p>
        </w:tc>
      </w:tr>
      <w:tr>
        <w:trPr>
          <w:trHeight w:val="62"/>
        </w:trPr>
        <w:tc>
          <w:tcPr>
            <w:tcW w:w="1540" w:type="dxa"/>
            <w:vAlign w:val="bottom"/>
            <w:vMerge w:val="continue"/>
            <w:shd w:val="clear" w:color="auto" w:fill="006DB6"/>
          </w:tcPr>
          <w:p>
            <w:pPr>
              <w:spacing w:after="0"/>
              <w:rPr>
                <w:sz w:val="5"/>
                <w:szCs w:val="5"/>
                <w:color w:val="auto"/>
              </w:rPr>
            </w:pPr>
          </w:p>
        </w:tc>
        <w:tc>
          <w:tcPr>
            <w:tcW w:w="95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540" w:type="dxa"/>
            <w:vAlign w:val="bottom"/>
            <w:tcBorders>
              <w:top w:val="single" w:sz="8" w:color="006DB6"/>
            </w:tcBorders>
            <w:shd w:val="clear" w:color="auto" w:fill="006DB6"/>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Directors—Skills and Experience</w:t>
            </w:r>
          </w:p>
        </w:tc>
        <w:tc>
          <w:tcPr>
            <w:tcW w:w="180" w:type="dxa"/>
            <w:vAlign w:val="bottom"/>
            <w:gridSpan w:val="2"/>
          </w:tcPr>
          <w:p>
            <w:pPr>
              <w:jc w:val="right"/>
              <w:spacing w:after="0"/>
              <w:rPr>
                <w:rFonts w:ascii="Arial" w:cs="Arial" w:eastAsia="Arial" w:hAnsi="Arial"/>
                <w:sz w:val="16"/>
                <w:szCs w:val="16"/>
                <w:color w:val="0000FF"/>
              </w:rPr>
            </w:pPr>
            <w:hyperlink w:anchor="page13">
              <w:r>
                <w:rPr>
                  <w:rFonts w:ascii="Arial" w:cs="Arial" w:eastAsia="Arial" w:hAnsi="Arial"/>
                  <w:sz w:val="16"/>
                  <w:szCs w:val="16"/>
                  <w:color w:val="0000FF"/>
                </w:rPr>
                <w:t>9</w:t>
              </w:r>
            </w:hyperlink>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Directors—Role and Responsibilities</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17</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Directors—Structure</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21</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Directors—Practices, Policies and Processes</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24</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Director Compensation</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1">
              <w:r>
                <w:rPr>
                  <w:rFonts w:ascii="Arial" w:cs="Arial" w:eastAsia="Arial" w:hAnsi="Arial"/>
                  <w:sz w:val="16"/>
                  <w:szCs w:val="16"/>
                  <w:color w:val="0000FF"/>
                  <w:w w:val="89"/>
                </w:rPr>
                <w:t>28</w:t>
              </w:r>
            </w:hyperlink>
          </w:p>
        </w:tc>
        <w:tc>
          <w:tcPr>
            <w:tcW w:w="0" w:type="dxa"/>
            <w:vAlign w:val="bottom"/>
          </w:tcPr>
          <w:p>
            <w:pPr>
              <w:spacing w:after="0"/>
              <w:rPr>
                <w:sz w:val="1"/>
                <w:szCs w:val="1"/>
                <w:color w:val="auto"/>
              </w:rPr>
            </w:pPr>
          </w:p>
        </w:tc>
      </w:tr>
      <w:tr>
        <w:trPr>
          <w:trHeight w:val="223"/>
        </w:trPr>
        <w:tc>
          <w:tcPr>
            <w:tcW w:w="1540" w:type="dxa"/>
            <w:vAlign w:val="bottom"/>
          </w:tcPr>
          <w:p>
            <w:pPr>
              <w:ind w:left="20"/>
              <w:spacing w:after="0"/>
              <w:rPr>
                <w:sz w:val="20"/>
                <w:szCs w:val="20"/>
                <w:color w:val="auto"/>
              </w:rPr>
            </w:pPr>
            <w:r>
              <w:rPr>
                <w:rFonts w:ascii="Arial" w:cs="Arial" w:eastAsia="Arial" w:hAnsi="Arial"/>
                <w:sz w:val="16"/>
                <w:szCs w:val="16"/>
                <w:b w:val="1"/>
                <w:bCs w:val="1"/>
                <w:color w:val="006DB6"/>
              </w:rPr>
              <w:t>Executive Officers</w:t>
            </w:r>
          </w:p>
        </w:tc>
        <w:tc>
          <w:tcPr>
            <w:tcW w:w="95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b w:val="1"/>
                <w:bCs w:val="1"/>
                <w:color w:val="0000FF"/>
                <w:w w:val="89"/>
              </w:rPr>
            </w:pPr>
            <w:hyperlink w:anchor="page33">
              <w:r>
                <w:rPr>
                  <w:rFonts w:ascii="Arial" w:cs="Arial" w:eastAsia="Arial" w:hAnsi="Arial"/>
                  <w:sz w:val="16"/>
                  <w:szCs w:val="16"/>
                  <w:b w:val="1"/>
                  <w:bCs w:val="1"/>
                  <w:color w:val="0000FF"/>
                  <w:w w:val="89"/>
                </w:rPr>
                <w:t>30</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Executive Compensation</w:t>
            </w:r>
          </w:p>
        </w:tc>
        <w:tc>
          <w:tcPr>
            <w:tcW w:w="180" w:type="dxa"/>
            <w:vAlign w:val="bottom"/>
            <w:tcBorders>
              <w:bottom w:val="single" w:sz="8" w:color="0000FF"/>
            </w:tcBorders>
            <w:gridSpan w:val="2"/>
          </w:tcPr>
          <w:p>
            <w:pPr>
              <w:jc w:val="right"/>
              <w:spacing w:after="0"/>
              <w:rPr>
                <w:rFonts w:ascii="Arial" w:cs="Arial" w:eastAsia="Arial" w:hAnsi="Arial"/>
                <w:sz w:val="16"/>
                <w:szCs w:val="16"/>
                <w:b w:val="1"/>
                <w:bCs w:val="1"/>
                <w:color w:val="0000FF"/>
                <w:w w:val="89"/>
              </w:rPr>
            </w:pPr>
            <w:hyperlink w:anchor="page35">
              <w:r>
                <w:rPr>
                  <w:rFonts w:ascii="Arial" w:cs="Arial" w:eastAsia="Arial" w:hAnsi="Arial"/>
                  <w:sz w:val="16"/>
                  <w:szCs w:val="16"/>
                  <w:b w:val="1"/>
                  <w:bCs w:val="1"/>
                  <w:color w:val="0000FF"/>
                  <w:w w:val="89"/>
                </w:rPr>
                <w:t>32</w:t>
              </w:r>
            </w:hyperlink>
          </w:p>
        </w:tc>
        <w:tc>
          <w:tcPr>
            <w:tcW w:w="0" w:type="dxa"/>
            <w:vAlign w:val="bottom"/>
          </w:tcPr>
          <w:p>
            <w:pPr>
              <w:spacing w:after="0"/>
              <w:rPr>
                <w:sz w:val="1"/>
                <w:szCs w:val="1"/>
                <w:color w:val="auto"/>
              </w:rPr>
            </w:pPr>
          </w:p>
        </w:tc>
      </w:tr>
      <w:tr>
        <w:trPr>
          <w:trHeight w:val="34"/>
        </w:trPr>
        <w:tc>
          <w:tcPr>
            <w:tcW w:w="1540" w:type="dxa"/>
            <w:vAlign w:val="bottom"/>
          </w:tcPr>
          <w:p>
            <w:pPr>
              <w:spacing w:after="0"/>
              <w:rPr>
                <w:sz w:val="2"/>
                <w:szCs w:val="2"/>
                <w:color w:val="auto"/>
              </w:rPr>
            </w:pPr>
          </w:p>
        </w:tc>
        <w:tc>
          <w:tcPr>
            <w:tcW w:w="950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Advisory Vote to Approve Executive Compensation</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540" w:type="dxa"/>
            <w:vAlign w:val="bottom"/>
            <w:vMerge w:val="restart"/>
            <w:shd w:val="clear" w:color="auto" w:fill="006DB6"/>
          </w:tcPr>
          <w:p>
            <w:pPr>
              <w:ind w:left="120"/>
              <w:spacing w:after="0"/>
              <w:rPr>
                <w:sz w:val="20"/>
                <w:szCs w:val="20"/>
                <w:color w:val="auto"/>
              </w:rPr>
            </w:pPr>
            <w:r>
              <w:rPr>
                <w:rFonts w:ascii="Arial" w:cs="Arial" w:eastAsia="Arial" w:hAnsi="Arial"/>
                <w:sz w:val="16"/>
                <w:szCs w:val="16"/>
                <w:b w:val="1"/>
                <w:bCs w:val="1"/>
                <w:color w:val="FFFFFF"/>
              </w:rPr>
              <w:t>PROPOSAL 2</w:t>
            </w:r>
          </w:p>
        </w:tc>
        <w:tc>
          <w:tcPr>
            <w:tcW w:w="9500" w:type="dxa"/>
            <w:vAlign w:val="bottom"/>
            <w:vMerge w:val="continue"/>
          </w:tcPr>
          <w:p>
            <w:pPr>
              <w:spacing w:after="0"/>
              <w:rPr>
                <w:sz w:val="22"/>
                <w:szCs w:val="22"/>
                <w:color w:val="auto"/>
              </w:rPr>
            </w:pPr>
          </w:p>
        </w:tc>
        <w:tc>
          <w:tcPr>
            <w:tcW w:w="180" w:type="dxa"/>
            <w:vAlign w:val="bottom"/>
            <w:gridSpan w:val="2"/>
            <w:vMerge w:val="restart"/>
          </w:tcPr>
          <w:p>
            <w:pPr>
              <w:jc w:val="right"/>
              <w:spacing w:after="0"/>
              <w:rPr>
                <w:rFonts w:ascii="Arial" w:cs="Arial" w:eastAsia="Arial" w:hAnsi="Arial"/>
                <w:sz w:val="16"/>
                <w:szCs w:val="16"/>
                <w:b w:val="1"/>
                <w:bCs w:val="1"/>
                <w:color w:val="0000FF"/>
                <w:w w:val="89"/>
              </w:rPr>
            </w:pPr>
            <w:hyperlink w:anchor="page36">
              <w:r>
                <w:rPr>
                  <w:rFonts w:ascii="Arial" w:cs="Arial" w:eastAsia="Arial" w:hAnsi="Arial"/>
                  <w:sz w:val="16"/>
                  <w:szCs w:val="16"/>
                  <w:b w:val="1"/>
                  <w:bCs w:val="1"/>
                  <w:color w:val="0000FF"/>
                  <w:w w:val="89"/>
                </w:rPr>
                <w:t>32</w:t>
              </w:r>
            </w:hyperlink>
          </w:p>
        </w:tc>
        <w:tc>
          <w:tcPr>
            <w:tcW w:w="0" w:type="dxa"/>
            <w:vAlign w:val="bottom"/>
          </w:tcPr>
          <w:p>
            <w:pPr>
              <w:spacing w:after="0"/>
              <w:rPr>
                <w:sz w:val="1"/>
                <w:szCs w:val="1"/>
                <w:color w:val="auto"/>
              </w:rPr>
            </w:pPr>
          </w:p>
        </w:tc>
      </w:tr>
      <w:tr>
        <w:trPr>
          <w:trHeight w:val="87"/>
        </w:trPr>
        <w:tc>
          <w:tcPr>
            <w:tcW w:w="1540" w:type="dxa"/>
            <w:vAlign w:val="bottom"/>
            <w:tcBorders>
              <w:bottom w:val="single" w:sz="8" w:color="006DB6"/>
            </w:tcBorders>
            <w:vMerge w:val="continue"/>
            <w:shd w:val="clear" w:color="auto" w:fill="006DB6"/>
          </w:tcPr>
          <w:p>
            <w:pPr>
              <w:spacing w:after="0"/>
              <w:rPr>
                <w:sz w:val="7"/>
                <w:szCs w:val="7"/>
                <w:color w:val="auto"/>
              </w:rPr>
            </w:pPr>
          </w:p>
        </w:tc>
        <w:tc>
          <w:tcPr>
            <w:tcW w:w="9500" w:type="dxa"/>
            <w:vAlign w:val="bottom"/>
          </w:tcPr>
          <w:p>
            <w:pPr>
              <w:spacing w:after="0"/>
              <w:rPr>
                <w:sz w:val="7"/>
                <w:szCs w:val="7"/>
                <w:color w:val="auto"/>
              </w:rPr>
            </w:pPr>
          </w:p>
        </w:tc>
        <w:tc>
          <w:tcPr>
            <w:tcW w:w="180" w:type="dxa"/>
            <w:vAlign w:val="bottom"/>
            <w:tcBorders>
              <w:bottom w:val="single" w:sz="8" w:color="0000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Compensation Discussion and Analysis</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33</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Compensation Committee Report</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50</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Executive Compensation Tables</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51</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Pay Ratio Disclosure</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57</w:t>
              </w:r>
            </w:hyperlink>
          </w:p>
        </w:tc>
        <w:tc>
          <w:tcPr>
            <w:tcW w:w="0" w:type="dxa"/>
            <w:vAlign w:val="bottom"/>
          </w:tcPr>
          <w:p>
            <w:pPr>
              <w:spacing w:after="0"/>
              <w:rPr>
                <w:sz w:val="1"/>
                <w:szCs w:val="1"/>
                <w:color w:val="auto"/>
              </w:rPr>
            </w:pPr>
          </w:p>
        </w:tc>
      </w:tr>
      <w:tr>
        <w:trPr>
          <w:trHeight w:val="223"/>
        </w:trPr>
        <w:tc>
          <w:tcPr>
            <w:tcW w:w="1540" w:type="dxa"/>
            <w:vAlign w:val="bottom"/>
          </w:tcPr>
          <w:p>
            <w:pPr>
              <w:ind w:left="20"/>
              <w:spacing w:after="0"/>
              <w:rPr>
                <w:sz w:val="20"/>
                <w:szCs w:val="20"/>
                <w:color w:val="auto"/>
              </w:rPr>
            </w:pPr>
            <w:r>
              <w:rPr>
                <w:rFonts w:ascii="Arial" w:cs="Arial" w:eastAsia="Arial" w:hAnsi="Arial"/>
                <w:sz w:val="16"/>
                <w:szCs w:val="16"/>
                <w:b w:val="1"/>
                <w:bCs w:val="1"/>
                <w:color w:val="006DB6"/>
              </w:rPr>
              <w:t>Audit Matters</w:t>
            </w:r>
          </w:p>
        </w:tc>
        <w:tc>
          <w:tcPr>
            <w:tcW w:w="95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b w:val="1"/>
                <w:bCs w:val="1"/>
                <w:color w:val="0000FF"/>
                <w:w w:val="89"/>
              </w:rPr>
            </w:pPr>
            <w:hyperlink w:anchor="page61">
              <w:r>
                <w:rPr>
                  <w:rFonts w:ascii="Arial" w:cs="Arial" w:eastAsia="Arial" w:hAnsi="Arial"/>
                  <w:sz w:val="16"/>
                  <w:szCs w:val="16"/>
                  <w:b w:val="1"/>
                  <w:bCs w:val="1"/>
                  <w:color w:val="0000FF"/>
                  <w:w w:val="89"/>
                </w:rPr>
                <w:t>58</w:t>
              </w:r>
            </w:hyperlink>
          </w:p>
        </w:tc>
        <w:tc>
          <w:tcPr>
            <w:tcW w:w="0" w:type="dxa"/>
            <w:vAlign w:val="bottom"/>
          </w:tcPr>
          <w:p>
            <w:pPr>
              <w:spacing w:after="0"/>
              <w:rPr>
                <w:sz w:val="1"/>
                <w:szCs w:val="1"/>
                <w:color w:val="auto"/>
              </w:rPr>
            </w:pPr>
          </w:p>
        </w:tc>
      </w:tr>
      <w:tr>
        <w:trPr>
          <w:trHeight w:val="34"/>
        </w:trPr>
        <w:tc>
          <w:tcPr>
            <w:tcW w:w="1540" w:type="dxa"/>
            <w:vAlign w:val="bottom"/>
          </w:tcPr>
          <w:p>
            <w:pPr>
              <w:spacing w:after="0"/>
              <w:rPr>
                <w:sz w:val="2"/>
                <w:szCs w:val="2"/>
                <w:color w:val="auto"/>
              </w:rPr>
            </w:pPr>
          </w:p>
        </w:tc>
        <w:tc>
          <w:tcPr>
            <w:tcW w:w="950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Ratification of Auditors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540" w:type="dxa"/>
            <w:vAlign w:val="bottom"/>
            <w:vMerge w:val="restart"/>
            <w:shd w:val="clear" w:color="auto" w:fill="006DB6"/>
          </w:tcPr>
          <w:p>
            <w:pPr>
              <w:ind w:left="120"/>
              <w:spacing w:after="0"/>
              <w:rPr>
                <w:sz w:val="20"/>
                <w:szCs w:val="20"/>
                <w:color w:val="auto"/>
              </w:rPr>
            </w:pPr>
            <w:r>
              <w:rPr>
                <w:rFonts w:ascii="Arial" w:cs="Arial" w:eastAsia="Arial" w:hAnsi="Arial"/>
                <w:sz w:val="16"/>
                <w:szCs w:val="16"/>
                <w:b w:val="1"/>
                <w:bCs w:val="1"/>
                <w:color w:val="FFFFFF"/>
              </w:rPr>
              <w:t>PROPOSAL 3</w:t>
            </w:r>
          </w:p>
        </w:tc>
        <w:tc>
          <w:tcPr>
            <w:tcW w:w="9500" w:type="dxa"/>
            <w:vAlign w:val="bottom"/>
            <w:vMerge w:val="continue"/>
          </w:tcPr>
          <w:p>
            <w:pPr>
              <w:spacing w:after="0"/>
              <w:rPr>
                <w:sz w:val="22"/>
                <w:szCs w:val="22"/>
                <w:color w:val="auto"/>
              </w:rPr>
            </w:pPr>
          </w:p>
        </w:tc>
        <w:tc>
          <w:tcPr>
            <w:tcW w:w="180" w:type="dxa"/>
            <w:vAlign w:val="bottom"/>
            <w:gridSpan w:val="2"/>
            <w:vMerge w:val="restart"/>
          </w:tcPr>
          <w:p>
            <w:pPr>
              <w:jc w:val="right"/>
              <w:spacing w:after="0"/>
              <w:rPr>
                <w:rFonts w:ascii="Arial" w:cs="Arial" w:eastAsia="Arial" w:hAnsi="Arial"/>
                <w:sz w:val="16"/>
                <w:szCs w:val="16"/>
                <w:b w:val="1"/>
                <w:bCs w:val="1"/>
                <w:color w:val="0000FF"/>
                <w:w w:val="89"/>
              </w:rPr>
            </w:pPr>
            <w:hyperlink w:anchor="page62">
              <w:r>
                <w:rPr>
                  <w:rFonts w:ascii="Arial" w:cs="Arial" w:eastAsia="Arial" w:hAnsi="Arial"/>
                  <w:sz w:val="16"/>
                  <w:szCs w:val="16"/>
                  <w:b w:val="1"/>
                  <w:bCs w:val="1"/>
                  <w:color w:val="0000FF"/>
                  <w:w w:val="89"/>
                </w:rPr>
                <w:t>58</w:t>
              </w:r>
            </w:hyperlink>
          </w:p>
        </w:tc>
        <w:tc>
          <w:tcPr>
            <w:tcW w:w="0" w:type="dxa"/>
            <w:vAlign w:val="bottom"/>
          </w:tcPr>
          <w:p>
            <w:pPr>
              <w:spacing w:after="0"/>
              <w:rPr>
                <w:sz w:val="1"/>
                <w:szCs w:val="1"/>
                <w:color w:val="auto"/>
              </w:rPr>
            </w:pPr>
          </w:p>
        </w:tc>
      </w:tr>
      <w:tr>
        <w:trPr>
          <w:trHeight w:val="87"/>
        </w:trPr>
        <w:tc>
          <w:tcPr>
            <w:tcW w:w="1540" w:type="dxa"/>
            <w:vAlign w:val="bottom"/>
            <w:tcBorders>
              <w:bottom w:val="single" w:sz="8" w:color="006DB6"/>
            </w:tcBorders>
            <w:vMerge w:val="continue"/>
            <w:shd w:val="clear" w:color="auto" w:fill="006DB6"/>
          </w:tcPr>
          <w:p>
            <w:pPr>
              <w:spacing w:after="0"/>
              <w:rPr>
                <w:sz w:val="7"/>
                <w:szCs w:val="7"/>
                <w:color w:val="auto"/>
              </w:rPr>
            </w:pPr>
          </w:p>
        </w:tc>
        <w:tc>
          <w:tcPr>
            <w:tcW w:w="9500" w:type="dxa"/>
            <w:vAlign w:val="bottom"/>
          </w:tcPr>
          <w:p>
            <w:pPr>
              <w:spacing w:after="0"/>
              <w:rPr>
                <w:sz w:val="7"/>
                <w:szCs w:val="7"/>
                <w:color w:val="auto"/>
              </w:rPr>
            </w:pPr>
          </w:p>
        </w:tc>
        <w:tc>
          <w:tcPr>
            <w:tcW w:w="180" w:type="dxa"/>
            <w:vAlign w:val="bottom"/>
            <w:tcBorders>
              <w:bottom w:val="single" w:sz="8" w:color="0000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Audit Fee Disclosure</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58</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Pre-Approval Policy</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59</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Audit Committee Report</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59</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Security Ownership of Management and Certain Beneficial Owners</w:t>
            </w:r>
          </w:p>
        </w:tc>
        <w:tc>
          <w:tcPr>
            <w:tcW w:w="180" w:type="dxa"/>
            <w:vAlign w:val="bottom"/>
            <w:tcBorders>
              <w:bottom w:val="single" w:sz="8" w:color="0000FF"/>
            </w:tcBorders>
            <w:gridSpan w:val="2"/>
          </w:tcPr>
          <w:p>
            <w:pPr>
              <w:jc w:val="right"/>
              <w:spacing w:after="0"/>
              <w:rPr>
                <w:rFonts w:ascii="Arial" w:cs="Arial" w:eastAsia="Arial" w:hAnsi="Arial"/>
                <w:sz w:val="16"/>
                <w:szCs w:val="16"/>
                <w:b w:val="1"/>
                <w:bCs w:val="1"/>
                <w:color w:val="0000FF"/>
                <w:w w:val="89"/>
              </w:rPr>
            </w:pPr>
            <w:hyperlink w:anchor="page64">
              <w:r>
                <w:rPr>
                  <w:rFonts w:ascii="Arial" w:cs="Arial" w:eastAsia="Arial" w:hAnsi="Arial"/>
                  <w:sz w:val="16"/>
                  <w:szCs w:val="16"/>
                  <w:b w:val="1"/>
                  <w:bCs w:val="1"/>
                  <w:color w:val="0000FF"/>
                  <w:w w:val="89"/>
                </w:rPr>
                <w:t>61</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Additional Information</w:t>
            </w:r>
          </w:p>
        </w:tc>
        <w:tc>
          <w:tcPr>
            <w:tcW w:w="180" w:type="dxa"/>
            <w:vAlign w:val="bottom"/>
            <w:tcBorders>
              <w:bottom w:val="single" w:sz="8" w:color="0000FF"/>
            </w:tcBorders>
            <w:gridSpan w:val="2"/>
          </w:tcPr>
          <w:p>
            <w:pPr>
              <w:jc w:val="right"/>
              <w:spacing w:after="0"/>
              <w:rPr>
                <w:rFonts w:ascii="Arial" w:cs="Arial" w:eastAsia="Arial" w:hAnsi="Arial"/>
                <w:sz w:val="16"/>
                <w:szCs w:val="16"/>
                <w:b w:val="1"/>
                <w:bCs w:val="1"/>
                <w:color w:val="0000FF"/>
                <w:w w:val="89"/>
              </w:rPr>
            </w:pPr>
            <w:hyperlink w:anchor="page66">
              <w:r>
                <w:rPr>
                  <w:rFonts w:ascii="Arial" w:cs="Arial" w:eastAsia="Arial" w:hAnsi="Arial"/>
                  <w:sz w:val="16"/>
                  <w:szCs w:val="16"/>
                  <w:b w:val="1"/>
                  <w:bCs w:val="1"/>
                  <w:color w:val="0000FF"/>
                  <w:w w:val="89"/>
                </w:rPr>
                <w:t>63</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General Information about the Annual General Meeting</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7">
              <w:r>
                <w:rPr>
                  <w:rFonts w:ascii="Arial" w:cs="Arial" w:eastAsia="Arial" w:hAnsi="Arial"/>
                  <w:sz w:val="16"/>
                  <w:szCs w:val="16"/>
                  <w:color w:val="0000FF"/>
                  <w:w w:val="89"/>
                </w:rPr>
                <w:t>63</w:t>
              </w:r>
            </w:hyperlink>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Future Shareholder Proposals</w:t>
            </w: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65</w:t>
              </w:r>
            </w:hyperlink>
          </w:p>
        </w:tc>
        <w:tc>
          <w:tcPr>
            <w:tcW w:w="0" w:type="dxa"/>
            <w:vAlign w:val="bottom"/>
          </w:tcPr>
          <w:p>
            <w:pPr>
              <w:spacing w:after="0"/>
              <w:rPr>
                <w:sz w:val="1"/>
                <w:szCs w:val="1"/>
                <w:color w:val="auto"/>
              </w:rPr>
            </w:pPr>
          </w:p>
        </w:tc>
      </w:tr>
      <w:tr>
        <w:trPr>
          <w:trHeight w:val="223"/>
        </w:trPr>
        <w:tc>
          <w:tcPr>
            <w:tcW w:w="1540" w:type="dxa"/>
            <w:vAlign w:val="bottom"/>
          </w:tcPr>
          <w:p>
            <w:pPr>
              <w:ind w:left="260"/>
              <w:spacing w:after="0"/>
              <w:rPr>
                <w:sz w:val="20"/>
                <w:szCs w:val="20"/>
                <w:color w:val="auto"/>
              </w:rPr>
            </w:pPr>
            <w:r>
              <w:rPr>
                <w:rFonts w:ascii="Arial" w:cs="Arial" w:eastAsia="Arial" w:hAnsi="Arial"/>
                <w:sz w:val="16"/>
                <w:szCs w:val="16"/>
                <w:color w:val="auto"/>
              </w:rPr>
              <w:t>Householding</w:t>
            </w:r>
          </w:p>
        </w:tc>
        <w:tc>
          <w:tcPr>
            <w:tcW w:w="95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70">
              <w:r>
                <w:rPr>
                  <w:rFonts w:ascii="Arial" w:cs="Arial" w:eastAsia="Arial" w:hAnsi="Arial"/>
                  <w:sz w:val="16"/>
                  <w:szCs w:val="16"/>
                  <w:color w:val="0000FF"/>
                  <w:w w:val="89"/>
                </w:rPr>
                <w:t>67</w:t>
              </w:r>
            </w:hyperlink>
          </w:p>
        </w:tc>
        <w:tc>
          <w:tcPr>
            <w:tcW w:w="0" w:type="dxa"/>
            <w:vAlign w:val="bottom"/>
          </w:tcPr>
          <w:p>
            <w:pPr>
              <w:spacing w:after="0"/>
              <w:rPr>
                <w:sz w:val="1"/>
                <w:szCs w:val="1"/>
                <w:color w:val="auto"/>
              </w:rPr>
            </w:pPr>
          </w:p>
        </w:tc>
      </w:tr>
      <w:tr>
        <w:trPr>
          <w:trHeight w:val="223"/>
        </w:trPr>
        <w:tc>
          <w:tcPr>
            <w:tcW w:w="1540" w:type="dxa"/>
            <w:vAlign w:val="bottom"/>
          </w:tcPr>
          <w:p>
            <w:pPr>
              <w:ind w:left="20"/>
              <w:spacing w:after="0"/>
              <w:rPr>
                <w:sz w:val="20"/>
                <w:szCs w:val="20"/>
                <w:color w:val="auto"/>
              </w:rPr>
            </w:pPr>
            <w:r>
              <w:rPr>
                <w:rFonts w:ascii="Arial" w:cs="Arial" w:eastAsia="Arial" w:hAnsi="Arial"/>
                <w:sz w:val="16"/>
                <w:szCs w:val="16"/>
                <w:b w:val="1"/>
                <w:bCs w:val="1"/>
                <w:color w:val="006DB6"/>
              </w:rPr>
              <w:t>Appendix</w:t>
            </w:r>
          </w:p>
        </w:tc>
        <w:tc>
          <w:tcPr>
            <w:tcW w:w="95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b w:val="1"/>
                <w:bCs w:val="1"/>
                <w:color w:val="0000FF"/>
                <w:w w:val="89"/>
              </w:rPr>
            </w:pPr>
            <w:hyperlink w:anchor="page71">
              <w:r>
                <w:rPr>
                  <w:rFonts w:ascii="Arial" w:cs="Arial" w:eastAsia="Arial" w:hAnsi="Arial"/>
                  <w:sz w:val="16"/>
                  <w:szCs w:val="16"/>
                  <w:b w:val="1"/>
                  <w:bCs w:val="1"/>
                  <w:color w:val="0000FF"/>
                  <w:w w:val="89"/>
                </w:rPr>
                <w:t>68</w:t>
              </w:r>
            </w:hyperlink>
          </w:p>
        </w:tc>
        <w:tc>
          <w:tcPr>
            <w:tcW w:w="0" w:type="dxa"/>
            <w:vAlign w:val="bottom"/>
          </w:tcPr>
          <w:p>
            <w:pPr>
              <w:spacing w:after="0"/>
              <w:rPr>
                <w:sz w:val="1"/>
                <w:szCs w:val="1"/>
                <w:color w:val="auto"/>
              </w:rPr>
            </w:pPr>
          </w:p>
        </w:tc>
      </w:tr>
    </w:tbl>
    <w:p>
      <w:pPr>
        <w:sectPr>
          <w:pgSz w:w="11900" w:h="16838" w:orient="portrait"/>
          <w:cols w:equalWidth="0" w:num="1">
            <w:col w:w="11220"/>
          </w:cols>
          <w:pgMar w:left="320" w:top="969" w:right="359" w:bottom="1440" w:gutter="0" w:footer="0" w:header="0"/>
        </w:sectPr>
      </w:pPr>
    </w:p>
    <w:bookmarkStart w:id="4" w:name="page5"/>
    <w:bookmarkEnd w:id="4"/>
    <w:p>
      <w:pPr>
        <w:spacing w:after="0"/>
        <w:rPr>
          <w:sz w:val="20"/>
          <w:szCs w:val="20"/>
          <w:color w:val="auto"/>
        </w:rPr>
      </w:pPr>
      <w:r>
        <w:rPr>
          <w:rFonts w:ascii="Arial" w:cs="Arial" w:eastAsia="Arial" w:hAnsi="Arial"/>
          <w:sz w:val="45"/>
          <w:szCs w:val="45"/>
          <w:b w:val="1"/>
          <w:bCs w:val="1"/>
          <w:color w:val="006DB6"/>
        </w:rPr>
        <w:t>Proxy Statement Summary</w:t>
      </w:r>
    </w:p>
    <w:p>
      <w:pPr>
        <w:spacing w:after="0" w:line="13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This proxy statement is being furnished to shareholders of Civeo Corporation (“Civeo”) in connection with the solicitation of proxies by its board of directors for use at the 2022 annual general meeting of shareholders (the “annual general meeting”), which will be held at the Baldwin Hotel, 400 Dallas Street, Houston, Texas 77002 on May 18, 2022 at 9:00 a.m., local time. During the annual general meeting, shareholders will have the opportunity to vote on the proposals to elect the following three persons as Class II members of Civeo’s board of directors: Richard A. Navarre, Martin A. Lambert, and Constance B. Moore, each for a term of three years ending at the 2025 annual general meeting of shareholders or until their successors are duly elected and qualified (the “Director Proposal”); to approve, on an advisory basis, the compensation of Civeo's named executive officers (the"Say-on-Pay Proposal"); to ratify the appointment of Ernst &amp; Young LLP as Civeo’s independent registered public accounting firm for the year ending December 31, 2022 and until the next annual general meeting of shareholders and to authorize the directors, acting through the Audit Committee, to determine the remuneration to be paid to Ernst &amp; Young LLP for 2022 (the “Auditor Proposal”); and to conduct any other business as may properly come before the annual general meeting or any adjournment or postponement thereof. The approximate date of first mailing of this proxy statement, the accompanying proxy and Civeo’s 2021 annual report is April 7, 2022.</w:t>
      </w:r>
    </w:p>
    <w:p>
      <w:pPr>
        <w:spacing w:after="0" w:line="257"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Only shareholders of record at the close of business on March 29, 2022 are entitled to notice of and to vote during the annual general meeting or at any adjournment or postponement thereof that may take place. On March 29, 2022, we had 14,185,269 common shares outstanding and entitled to vote. Each common share is entitled to one vote for each Class II director nominee and one vote for each other item to be voted on at the annual general meeting. The presence of shareholders, by voting during the annual general meeting or by proxy, holding at least a majority of the outstanding common shares will be required to establish a quorum. Abstentions, withheld votes and broker non-votes will be counted as present for purposes of determining whether there is a quorum.</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this proxy statement, we sometimes refer to Civeo and its subsidiaries as “we,” “us,” “our,” or “Civeo.” Unless otherwise indicated, all references in this proxy statement to “dollars” or “$” are to U.S. dollars. Our principal executive offices are located at Three Allen Center, 333 Clay Street, Suite 4980, Houston, Texas 77002.</w:t>
      </w:r>
    </w:p>
    <w:p>
      <w:pPr>
        <w:spacing w:after="0" w:line="6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To assist you in reviewing the proposals to be considered at the annual general meeting, we call your attention to the following summary, which includes information about our fiscal 2021 financial performance. For more information, please review our 2021 Annual Report on Form 10-K and the other sections of this proxy statement.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Arial" w:cs="Arial" w:eastAsia="Arial" w:hAnsi="Arial"/>
                <w:sz w:val="14"/>
                <w:szCs w:val="14"/>
                <w:color w:val="auto"/>
              </w:rPr>
              <w:t>2022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bl>
    <w:p>
      <w:pPr>
        <w:sectPr>
          <w:pgSz w:w="11900" w:h="16838" w:orient="portrait"/>
          <w:cols w:equalWidth="0" w:num="1">
            <w:col w:w="11220"/>
          </w:cols>
          <w:pgMar w:left="320" w:top="753"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Company Overview</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417"/>
        </w:trPr>
        <w:tc>
          <w:tcPr>
            <w:tcW w:w="3700" w:type="dxa"/>
            <w:vAlign w:val="bottom"/>
            <w:tcBorders>
              <w:right w:val="single" w:sz="8" w:color="auto"/>
            </w:tcBorders>
          </w:tcPr>
          <w:p>
            <w:pPr>
              <w:spacing w:after="0"/>
              <w:rPr>
                <w:sz w:val="20"/>
                <w:szCs w:val="20"/>
                <w:color w:val="auto"/>
              </w:rPr>
            </w:pPr>
            <w:r>
              <w:rPr>
                <w:rFonts w:ascii="Arial" w:cs="Arial" w:eastAsia="Arial" w:hAnsi="Arial"/>
                <w:sz w:val="29"/>
                <w:szCs w:val="29"/>
                <w:b w:val="1"/>
                <w:bCs w:val="1"/>
                <w:color w:val="006DB6"/>
              </w:rPr>
              <w:t>Who We Are</w:t>
            </w:r>
          </w:p>
        </w:tc>
        <w:tc>
          <w:tcPr>
            <w:tcW w:w="4420" w:type="dxa"/>
            <w:vAlign w:val="bottom"/>
          </w:tcPr>
          <w:p>
            <w:pPr>
              <w:ind w:left="280"/>
              <w:spacing w:after="0"/>
              <w:rPr>
                <w:sz w:val="20"/>
                <w:szCs w:val="20"/>
                <w:color w:val="auto"/>
              </w:rPr>
            </w:pPr>
            <w:r>
              <w:rPr>
                <w:rFonts w:ascii="Arial" w:cs="Arial" w:eastAsia="Arial" w:hAnsi="Arial"/>
                <w:sz w:val="29"/>
                <w:szCs w:val="29"/>
                <w:b w:val="1"/>
                <w:bCs w:val="1"/>
                <w:color w:val="006DB6"/>
              </w:rPr>
              <w:t>Where We Operate</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BUSINESS</w:t>
            </w:r>
          </w:p>
        </w:tc>
        <w:tc>
          <w:tcPr>
            <w:tcW w:w="4420" w:type="dxa"/>
            <w:vAlign w:val="bottom"/>
          </w:tcPr>
          <w:p>
            <w:pPr>
              <w:ind w:left="280"/>
              <w:spacing w:after="0"/>
              <w:rPr>
                <w:sz w:val="20"/>
                <w:szCs w:val="20"/>
                <w:color w:val="auto"/>
              </w:rPr>
            </w:pPr>
            <w:r>
              <w:rPr>
                <w:rFonts w:ascii="Arial" w:cs="Arial" w:eastAsia="Arial" w:hAnsi="Arial"/>
                <w:sz w:val="16"/>
                <w:szCs w:val="16"/>
                <w:b w:val="1"/>
                <w:bCs w:val="1"/>
                <w:color w:val="auto"/>
              </w:rPr>
              <w:t>CANADA – 54% OF 2021 REVENUE</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are a leading provider of a full suite of</w:t>
            </w:r>
          </w:p>
        </w:tc>
        <w:tc>
          <w:tcPr>
            <w:tcW w:w="7500" w:type="dxa"/>
            <w:vAlign w:val="bottom"/>
            <w:gridSpan w:val="2"/>
          </w:tcPr>
          <w:p>
            <w:pPr>
              <w:ind w:left="43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16 lodges with approximately 19,000</w:t>
            </w:r>
          </w:p>
        </w:tc>
        <w:tc>
          <w:tcPr>
            <w:tcW w:w="0" w:type="dxa"/>
            <w:vAlign w:val="bottom"/>
          </w:tcPr>
          <w:p>
            <w:pPr>
              <w:spacing w:after="0"/>
              <w:rPr>
                <w:sz w:val="1"/>
                <w:szCs w:val="1"/>
                <w:color w:val="auto"/>
              </w:rPr>
            </w:pPr>
          </w:p>
        </w:tc>
      </w:tr>
      <w:tr>
        <w:trPr>
          <w:trHeight w:val="189"/>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hospitality services, including lodging, food</w:t>
            </w:r>
          </w:p>
        </w:tc>
        <w:tc>
          <w:tcPr>
            <w:tcW w:w="4420" w:type="dxa"/>
            <w:vAlign w:val="bottom"/>
          </w:tcPr>
          <w:p>
            <w:pPr>
              <w:spacing w:after="0"/>
              <w:rPr>
                <w:sz w:val="16"/>
                <w:szCs w:val="16"/>
                <w:color w:val="auto"/>
              </w:rPr>
            </w:pPr>
          </w:p>
        </w:tc>
        <w:tc>
          <w:tcPr>
            <w:tcW w:w="3080" w:type="dxa"/>
            <w:vAlign w:val="bottom"/>
          </w:tcPr>
          <w:p>
            <w:pPr>
              <w:ind w:left="80"/>
              <w:spacing w:after="0"/>
              <w:rPr>
                <w:sz w:val="20"/>
                <w:szCs w:val="20"/>
                <w:color w:val="auto"/>
              </w:rPr>
            </w:pPr>
            <w:r>
              <w:rPr>
                <w:rFonts w:ascii="Arial" w:cs="Arial" w:eastAsia="Arial" w:hAnsi="Arial"/>
                <w:sz w:val="16"/>
                <w:szCs w:val="16"/>
                <w:color w:val="auto"/>
              </w:rPr>
              <w:t>rooms</w:t>
            </w:r>
          </w:p>
        </w:tc>
        <w:tc>
          <w:tcPr>
            <w:tcW w:w="0" w:type="dxa"/>
            <w:vAlign w:val="bottom"/>
          </w:tcPr>
          <w:p>
            <w:pPr>
              <w:spacing w:after="0"/>
              <w:rPr>
                <w:sz w:val="1"/>
                <w:szCs w:val="1"/>
                <w:color w:val="auto"/>
              </w:rPr>
            </w:pPr>
          </w:p>
        </w:tc>
      </w:tr>
      <w:tr>
        <w:trPr>
          <w:trHeight w:val="189"/>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services, housekeeping and maintenance of</w:t>
            </w:r>
          </w:p>
        </w:tc>
        <w:tc>
          <w:tcPr>
            <w:tcW w:w="7500" w:type="dxa"/>
            <w:vAlign w:val="bottom"/>
            <w:gridSpan w:val="2"/>
            <w:vMerge w:val="restart"/>
          </w:tcPr>
          <w:p>
            <w:pPr>
              <w:ind w:left="43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 is oil sands production and</w:t>
            </w:r>
          </w:p>
        </w:tc>
        <w:tc>
          <w:tcPr>
            <w:tcW w:w="0" w:type="dxa"/>
            <w:vAlign w:val="bottom"/>
          </w:tcPr>
          <w:p>
            <w:pPr>
              <w:spacing w:after="0"/>
              <w:rPr>
                <w:sz w:val="1"/>
                <w:szCs w:val="1"/>
                <w:color w:val="auto"/>
              </w:rPr>
            </w:pPr>
          </w:p>
        </w:tc>
      </w:tr>
      <w:tr>
        <w:trPr>
          <w:trHeight w:val="68"/>
        </w:trPr>
        <w:tc>
          <w:tcPr>
            <w:tcW w:w="37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accommodations facilities that we or our</w:t>
            </w:r>
          </w:p>
        </w:tc>
        <w:tc>
          <w:tcPr>
            <w:tcW w:w="7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700" w:type="dxa"/>
            <w:vAlign w:val="bottom"/>
            <w:tcBorders>
              <w:right w:val="single" w:sz="8" w:color="auto"/>
            </w:tcBorders>
            <w:vMerge w:val="continue"/>
          </w:tcPr>
          <w:p>
            <w:pPr>
              <w:spacing w:after="0"/>
              <w:rPr>
                <w:sz w:val="10"/>
                <w:szCs w:val="10"/>
                <w:color w:val="auto"/>
              </w:rPr>
            </w:pPr>
          </w:p>
        </w:tc>
        <w:tc>
          <w:tcPr>
            <w:tcW w:w="44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16"/>
                <w:szCs w:val="16"/>
                <w:color w:val="auto"/>
              </w:rPr>
              <w:t>activity</w:t>
            </w:r>
          </w:p>
        </w:tc>
        <w:tc>
          <w:tcPr>
            <w:tcW w:w="0" w:type="dxa"/>
            <w:vAlign w:val="bottom"/>
          </w:tcPr>
          <w:p>
            <w:pPr>
              <w:spacing w:after="0"/>
              <w:rPr>
                <w:sz w:val="1"/>
                <w:szCs w:val="1"/>
                <w:color w:val="auto"/>
              </w:rPr>
            </w:pPr>
          </w:p>
        </w:tc>
      </w:tr>
      <w:tr>
        <w:trPr>
          <w:trHeight w:val="93"/>
        </w:trPr>
        <w:tc>
          <w:tcPr>
            <w:tcW w:w="37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customers own.</w:t>
            </w:r>
          </w:p>
        </w:tc>
        <w:tc>
          <w:tcPr>
            <w:tcW w:w="442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00" w:type="dxa"/>
            <w:vAlign w:val="bottom"/>
            <w:tcBorders>
              <w:right w:val="single" w:sz="8" w:color="auto"/>
            </w:tcBorders>
            <w:vMerge w:val="continue"/>
          </w:tcPr>
          <w:p>
            <w:pPr>
              <w:spacing w:after="0"/>
              <w:rPr>
                <w:sz w:val="10"/>
                <w:szCs w:val="10"/>
                <w:color w:val="auto"/>
              </w:rPr>
            </w:pPr>
          </w:p>
        </w:tc>
        <w:tc>
          <w:tcPr>
            <w:tcW w:w="4420" w:type="dxa"/>
            <w:vAlign w:val="bottom"/>
            <w:vMerge w:val="restart"/>
          </w:tcPr>
          <w:p>
            <w:pPr>
              <w:ind w:left="4320"/>
              <w:spacing w:after="0"/>
              <w:rPr>
                <w:sz w:val="20"/>
                <w:szCs w:val="20"/>
                <w:color w:val="auto"/>
              </w:rPr>
            </w:pPr>
            <w:r>
              <w:rPr>
                <w:rFonts w:ascii="Arial" w:cs="Arial" w:eastAsia="Arial" w:hAnsi="Arial"/>
                <w:sz w:val="16"/>
                <w:szCs w:val="16"/>
                <w:color w:val="006DB6"/>
              </w:rPr>
              <w:t>•</w:t>
            </w:r>
          </w:p>
        </w:tc>
        <w:tc>
          <w:tcPr>
            <w:tcW w:w="3080" w:type="dxa"/>
            <w:vAlign w:val="bottom"/>
            <w:vMerge w:val="restart"/>
          </w:tcPr>
          <w:p>
            <w:pPr>
              <w:ind w:left="60"/>
              <w:spacing w:after="0"/>
              <w:rPr>
                <w:sz w:val="20"/>
                <w:szCs w:val="20"/>
                <w:color w:val="auto"/>
              </w:rPr>
            </w:pPr>
            <w:r>
              <w:rPr>
                <w:rFonts w:ascii="Arial" w:cs="Arial" w:eastAsia="Arial" w:hAnsi="Arial"/>
                <w:sz w:val="16"/>
                <w:szCs w:val="16"/>
                <w:color w:val="auto"/>
              </w:rPr>
              <w:t>Growth from LNG Canada project moving</w:t>
            </w:r>
          </w:p>
        </w:tc>
        <w:tc>
          <w:tcPr>
            <w:tcW w:w="0" w:type="dxa"/>
            <w:vAlign w:val="bottom"/>
          </w:tcPr>
          <w:p>
            <w:pPr>
              <w:spacing w:after="0"/>
              <w:rPr>
                <w:sz w:val="1"/>
                <w:szCs w:val="1"/>
                <w:color w:val="auto"/>
              </w:rPr>
            </w:pPr>
          </w:p>
        </w:tc>
      </w:tr>
      <w:tr>
        <w:trPr>
          <w:trHeight w:val="123"/>
        </w:trPr>
        <w:tc>
          <w:tcPr>
            <w:tcW w:w="37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MARKETS</w:t>
            </w:r>
          </w:p>
        </w:tc>
        <w:tc>
          <w:tcPr>
            <w:tcW w:w="4420" w:type="dxa"/>
            <w:vAlign w:val="bottom"/>
            <w:vMerge w:val="continue"/>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vMerge w:val="continue"/>
          </w:tcPr>
          <w:p>
            <w:pPr>
              <w:spacing w:after="0"/>
              <w:rPr>
                <w:sz w:val="18"/>
                <w:szCs w:val="18"/>
                <w:color w:val="auto"/>
              </w:rPr>
            </w:pPr>
          </w:p>
        </w:tc>
        <w:tc>
          <w:tcPr>
            <w:tcW w:w="44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6"/>
                <w:szCs w:val="16"/>
                <w:color w:val="auto"/>
              </w:rPr>
              <w:t>forward in British Columbia</w:t>
            </w:r>
          </w:p>
        </w:tc>
        <w:tc>
          <w:tcPr>
            <w:tcW w:w="0" w:type="dxa"/>
            <w:vAlign w:val="bottom"/>
          </w:tcPr>
          <w:p>
            <w:pPr>
              <w:spacing w:after="0"/>
              <w:rPr>
                <w:sz w:val="1"/>
                <w:szCs w:val="1"/>
                <w:color w:val="auto"/>
              </w:rPr>
            </w:pPr>
          </w:p>
        </w:tc>
      </w:tr>
      <w:tr>
        <w:trPr>
          <w:trHeight w:val="231"/>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serve natural resource producers in some</w:t>
            </w:r>
          </w:p>
        </w:tc>
        <w:tc>
          <w:tcPr>
            <w:tcW w:w="44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of the world’s most active oil, met coal, LNG</w:t>
            </w:r>
          </w:p>
        </w:tc>
        <w:tc>
          <w:tcPr>
            <w:tcW w:w="44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and iron ore producing regions in Canada,</w:t>
            </w:r>
          </w:p>
        </w:tc>
        <w:tc>
          <w:tcPr>
            <w:tcW w:w="44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AUSTRALIA – 42% OF 2021 REVENUE</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Australia and the U.S.</w:t>
            </w:r>
          </w:p>
        </w:tc>
        <w:tc>
          <w:tcPr>
            <w:tcW w:w="442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GROSS PROFIT BY ACTIVITY DRIVER</w:t>
            </w:r>
          </w:p>
        </w:tc>
        <w:tc>
          <w:tcPr>
            <w:tcW w:w="7500" w:type="dxa"/>
            <w:vAlign w:val="bottom"/>
            <w:gridSpan w:val="2"/>
          </w:tcPr>
          <w:p>
            <w:pPr>
              <w:ind w:left="43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9 villages with over 9,000 rooms</w:t>
            </w:r>
          </w:p>
        </w:tc>
        <w:tc>
          <w:tcPr>
            <w:tcW w:w="0" w:type="dxa"/>
            <w:vAlign w:val="bottom"/>
          </w:tcPr>
          <w:p>
            <w:pPr>
              <w:spacing w:after="0"/>
              <w:rPr>
                <w:sz w:val="1"/>
                <w:szCs w:val="1"/>
                <w:color w:val="auto"/>
              </w:rPr>
            </w:pPr>
          </w:p>
        </w:tc>
      </w:tr>
      <w:tr>
        <w:trPr>
          <w:trHeight w:val="196"/>
        </w:trPr>
        <w:tc>
          <w:tcPr>
            <w:tcW w:w="3700" w:type="dxa"/>
            <w:vAlign w:val="bottom"/>
            <w:tcBorders>
              <w:right w:val="single" w:sz="8" w:color="auto"/>
            </w:tcBorders>
          </w:tcPr>
          <w:p>
            <w:pPr>
              <w:spacing w:after="0"/>
              <w:rPr>
                <w:sz w:val="17"/>
                <w:szCs w:val="17"/>
                <w:color w:val="auto"/>
              </w:rPr>
            </w:pPr>
          </w:p>
        </w:tc>
        <w:tc>
          <w:tcPr>
            <w:tcW w:w="7500" w:type="dxa"/>
            <w:vAlign w:val="bottom"/>
            <w:gridSpan w:val="2"/>
          </w:tcPr>
          <w:p>
            <w:pPr>
              <w:ind w:left="43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drivers are met coal and iron ore</w:t>
            </w: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6"/>
                <w:szCs w:val="16"/>
                <w:color w:val="auto"/>
              </w:rPr>
              <w:t>production and activity</w:t>
            </w:r>
          </w:p>
        </w:tc>
        <w:tc>
          <w:tcPr>
            <w:tcW w:w="0" w:type="dxa"/>
            <w:vAlign w:val="bottom"/>
          </w:tcPr>
          <w:p>
            <w:pPr>
              <w:spacing w:after="0"/>
              <w:rPr>
                <w:sz w:val="1"/>
                <w:szCs w:val="1"/>
                <w:color w:val="auto"/>
              </w:rPr>
            </w:pPr>
          </w:p>
        </w:tc>
      </w:tr>
      <w:tr>
        <w:trPr>
          <w:trHeight w:val="244"/>
        </w:trPr>
        <w:tc>
          <w:tcPr>
            <w:tcW w:w="3700" w:type="dxa"/>
            <w:vAlign w:val="bottom"/>
            <w:tcBorders>
              <w:right w:val="single" w:sz="8" w:color="auto"/>
            </w:tcBorders>
          </w:tcPr>
          <w:p>
            <w:pPr>
              <w:spacing w:after="0"/>
              <w:rPr>
                <w:sz w:val="21"/>
                <w:szCs w:val="21"/>
                <w:color w:val="auto"/>
              </w:rPr>
            </w:pPr>
          </w:p>
        </w:tc>
        <w:tc>
          <w:tcPr>
            <w:tcW w:w="7500" w:type="dxa"/>
            <w:vAlign w:val="bottom"/>
            <w:gridSpan w:val="2"/>
          </w:tcPr>
          <w:p>
            <w:pPr>
              <w:ind w:left="43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Growing presence in Western Australia</w:t>
            </w: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6"/>
                <w:szCs w:val="16"/>
                <w:color w:val="auto"/>
              </w:rPr>
              <w:t>managing customer assets</w:t>
            </w:r>
          </w:p>
        </w:tc>
        <w:tc>
          <w:tcPr>
            <w:tcW w:w="0" w:type="dxa"/>
            <w:vAlign w:val="bottom"/>
          </w:tcPr>
          <w:p>
            <w:pPr>
              <w:spacing w:after="0"/>
              <w:rPr>
                <w:sz w:val="1"/>
                <w:szCs w:val="1"/>
                <w:color w:val="auto"/>
              </w:rPr>
            </w:pPr>
          </w:p>
        </w:tc>
      </w:tr>
      <w:tr>
        <w:trPr>
          <w:trHeight w:val="257"/>
        </w:trPr>
        <w:tc>
          <w:tcPr>
            <w:tcW w:w="3700" w:type="dxa"/>
            <w:vAlign w:val="bottom"/>
            <w:tcBorders>
              <w:right w:val="single" w:sz="8" w:color="auto"/>
            </w:tcBorders>
          </w:tcPr>
          <w:p>
            <w:pPr>
              <w:spacing w:after="0"/>
              <w:rPr>
                <w:sz w:val="22"/>
                <w:szCs w:val="22"/>
                <w:color w:val="auto"/>
              </w:rPr>
            </w:pPr>
          </w:p>
        </w:tc>
        <w:tc>
          <w:tcPr>
            <w:tcW w:w="7500" w:type="dxa"/>
            <w:vAlign w:val="bottom"/>
            <w:gridSpan w:val="2"/>
          </w:tcPr>
          <w:p>
            <w:pPr>
              <w:ind w:left="43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Also serve gold, lithium, and LNG projects</w:t>
            </w:r>
          </w:p>
        </w:tc>
        <w:tc>
          <w:tcPr>
            <w:tcW w:w="0" w:type="dxa"/>
            <w:vAlign w:val="bottom"/>
          </w:tcPr>
          <w:p>
            <w:pPr>
              <w:spacing w:after="0"/>
              <w:rPr>
                <w:sz w:val="1"/>
                <w:szCs w:val="1"/>
                <w:color w:val="auto"/>
              </w:rPr>
            </w:pPr>
          </w:p>
        </w:tc>
      </w:tr>
      <w:tr>
        <w:trPr>
          <w:trHeight w:val="885"/>
        </w:trPr>
        <w:tc>
          <w:tcPr>
            <w:tcW w:w="3700" w:type="dxa"/>
            <w:vAlign w:val="bottom"/>
            <w:tcBorders>
              <w:right w:val="single" w:sz="8" w:color="auto"/>
            </w:tcBorders>
          </w:tcPr>
          <w:p>
            <w:pPr>
              <w:spacing w:after="0"/>
              <w:rPr>
                <w:sz w:val="24"/>
                <w:szCs w:val="24"/>
                <w:color w:val="auto"/>
              </w:rPr>
            </w:pPr>
          </w:p>
        </w:tc>
        <w:tc>
          <w:tcPr>
            <w:tcW w:w="4420" w:type="dxa"/>
            <w:vAlign w:val="bottom"/>
          </w:tcPr>
          <w:p>
            <w:pPr>
              <w:ind w:left="280"/>
              <w:spacing w:after="0"/>
              <w:rPr>
                <w:sz w:val="20"/>
                <w:szCs w:val="20"/>
                <w:color w:val="auto"/>
              </w:rPr>
            </w:pPr>
            <w:r>
              <w:rPr>
                <w:rFonts w:ascii="Arial" w:cs="Arial" w:eastAsia="Arial" w:hAnsi="Arial"/>
                <w:sz w:val="16"/>
                <w:szCs w:val="16"/>
                <w:b w:val="1"/>
                <w:bCs w:val="1"/>
                <w:color w:val="auto"/>
              </w:rPr>
              <w:t>USA – 4% OF 2021 REVENUE</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Global steel demand drives demand for</w:t>
            </w:r>
          </w:p>
        </w:tc>
        <w:tc>
          <w:tcPr>
            <w:tcW w:w="4420" w:type="dxa"/>
            <w:vAlign w:val="bottom"/>
          </w:tcPr>
          <w:p>
            <w:pPr>
              <w:ind w:left="4320"/>
              <w:spacing w:after="0"/>
              <w:rPr>
                <w:sz w:val="20"/>
                <w:szCs w:val="20"/>
                <w:color w:val="auto"/>
              </w:rPr>
            </w:pPr>
            <w:r>
              <w:rPr>
                <w:rFonts w:ascii="Arial" w:cs="Arial" w:eastAsia="Arial" w:hAnsi="Arial"/>
                <w:sz w:val="16"/>
                <w:szCs w:val="16"/>
                <w:color w:val="006DB6"/>
              </w:rPr>
              <w:t>•</w:t>
            </w:r>
          </w:p>
        </w:tc>
        <w:tc>
          <w:tcPr>
            <w:tcW w:w="3080" w:type="dxa"/>
            <w:vAlign w:val="bottom"/>
          </w:tcPr>
          <w:p>
            <w:pPr>
              <w:ind w:left="60"/>
              <w:spacing w:after="0"/>
              <w:rPr>
                <w:sz w:val="20"/>
                <w:szCs w:val="20"/>
                <w:color w:val="auto"/>
              </w:rPr>
            </w:pPr>
            <w:r>
              <w:rPr>
                <w:rFonts w:ascii="Arial" w:cs="Arial" w:eastAsia="Arial" w:hAnsi="Arial"/>
                <w:sz w:val="16"/>
                <w:szCs w:val="16"/>
                <w:color w:val="auto"/>
              </w:rPr>
              <w:t>2 lodges with over 500 rooms</w:t>
            </w:r>
          </w:p>
        </w:tc>
        <w:tc>
          <w:tcPr>
            <w:tcW w:w="0" w:type="dxa"/>
            <w:vAlign w:val="bottom"/>
          </w:tcPr>
          <w:p>
            <w:pPr>
              <w:spacing w:after="0"/>
              <w:rPr>
                <w:sz w:val="1"/>
                <w:szCs w:val="1"/>
                <w:color w:val="auto"/>
              </w:rPr>
            </w:pPr>
          </w:p>
        </w:tc>
      </w:tr>
      <w:tr>
        <w:trPr>
          <w:trHeight w:val="189"/>
        </w:trPr>
        <w:tc>
          <w:tcPr>
            <w:tcW w:w="37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met coal and iron ore, which are projects</w:t>
            </w:r>
          </w:p>
        </w:tc>
        <w:tc>
          <w:tcPr>
            <w:tcW w:w="4420" w:type="dxa"/>
            <w:vAlign w:val="bottom"/>
            <w:vMerge w:val="restart"/>
          </w:tcPr>
          <w:p>
            <w:pPr>
              <w:ind w:left="4320"/>
              <w:spacing w:after="0"/>
              <w:rPr>
                <w:sz w:val="20"/>
                <w:szCs w:val="20"/>
                <w:color w:val="auto"/>
              </w:rPr>
            </w:pPr>
            <w:r>
              <w:rPr>
                <w:rFonts w:ascii="Arial" w:cs="Arial" w:eastAsia="Arial" w:hAnsi="Arial"/>
                <w:sz w:val="16"/>
                <w:szCs w:val="16"/>
                <w:color w:val="006DB6"/>
              </w:rPr>
              <w:t>•</w:t>
            </w:r>
          </w:p>
        </w:tc>
        <w:tc>
          <w:tcPr>
            <w:tcW w:w="3080" w:type="dxa"/>
            <w:vAlign w:val="bottom"/>
            <w:vMerge w:val="restart"/>
          </w:tcPr>
          <w:p>
            <w:pPr>
              <w:ind w:left="60"/>
              <w:spacing w:after="0"/>
              <w:rPr>
                <w:sz w:val="20"/>
                <w:szCs w:val="20"/>
                <w:color w:val="auto"/>
              </w:rPr>
            </w:pPr>
            <w:r>
              <w:rPr>
                <w:rFonts w:ascii="Arial" w:cs="Arial" w:eastAsia="Arial" w:hAnsi="Arial"/>
                <w:sz w:val="16"/>
                <w:szCs w:val="16"/>
                <w:color w:val="auto"/>
              </w:rPr>
              <w:t>Wellsite services units</w:t>
            </w:r>
          </w:p>
        </w:tc>
        <w:tc>
          <w:tcPr>
            <w:tcW w:w="0" w:type="dxa"/>
            <w:vAlign w:val="bottom"/>
          </w:tcPr>
          <w:p>
            <w:pPr>
              <w:spacing w:after="0"/>
              <w:rPr>
                <w:sz w:val="1"/>
                <w:szCs w:val="1"/>
                <w:color w:val="auto"/>
              </w:rPr>
            </w:pPr>
          </w:p>
        </w:tc>
      </w:tr>
      <w:tr>
        <w:trPr>
          <w:trHeight w:val="107"/>
        </w:trPr>
        <w:tc>
          <w:tcPr>
            <w:tcW w:w="37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we serve in Australia.</w:t>
            </w:r>
          </w:p>
        </w:tc>
        <w:tc>
          <w:tcPr>
            <w:tcW w:w="4420" w:type="dxa"/>
            <w:vAlign w:val="bottom"/>
            <w:vMerge w:val="continue"/>
          </w:tcPr>
          <w:p>
            <w:pPr>
              <w:spacing w:after="0"/>
              <w:rPr>
                <w:sz w:val="9"/>
                <w:szCs w:val="9"/>
                <w:color w:val="auto"/>
              </w:rPr>
            </w:pPr>
          </w:p>
        </w:tc>
        <w:tc>
          <w:tcPr>
            <w:tcW w:w="3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700" w:type="dxa"/>
            <w:vAlign w:val="bottom"/>
            <w:tcBorders>
              <w:right w:val="single" w:sz="8" w:color="auto"/>
            </w:tcBorders>
            <w:vMerge w:val="continue"/>
          </w:tcPr>
          <w:p>
            <w:pPr>
              <w:spacing w:after="0"/>
              <w:rPr>
                <w:sz w:val="10"/>
                <w:szCs w:val="10"/>
                <w:color w:val="auto"/>
              </w:rPr>
            </w:pPr>
          </w:p>
        </w:tc>
        <w:tc>
          <w:tcPr>
            <w:tcW w:w="7500" w:type="dxa"/>
            <w:vAlign w:val="bottom"/>
            <w:gridSpan w:val="2"/>
            <w:vMerge w:val="restart"/>
          </w:tcPr>
          <w:p>
            <w:pPr>
              <w:ind w:left="43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 is oil shale play</w:t>
            </w:r>
          </w:p>
        </w:tc>
        <w:tc>
          <w:tcPr>
            <w:tcW w:w="0" w:type="dxa"/>
            <w:vAlign w:val="bottom"/>
          </w:tcPr>
          <w:p>
            <w:pPr>
              <w:spacing w:after="0"/>
              <w:rPr>
                <w:sz w:val="1"/>
                <w:szCs w:val="1"/>
                <w:color w:val="auto"/>
              </w:rPr>
            </w:pPr>
          </w:p>
        </w:tc>
      </w:tr>
      <w:tr>
        <w:trPr>
          <w:trHeight w:val="128"/>
        </w:trPr>
        <w:tc>
          <w:tcPr>
            <w:tcW w:w="3700" w:type="dxa"/>
            <w:vAlign w:val="bottom"/>
            <w:tcBorders>
              <w:right w:val="single" w:sz="8" w:color="auto"/>
            </w:tcBorders>
          </w:tcPr>
          <w:p>
            <w:pPr>
              <w:spacing w:after="0"/>
              <w:rPr>
                <w:sz w:val="11"/>
                <w:szCs w:val="11"/>
                <w:color w:val="auto"/>
              </w:rPr>
            </w:pPr>
          </w:p>
        </w:tc>
        <w:tc>
          <w:tcPr>
            <w:tcW w:w="7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00" w:type="dxa"/>
            <w:vAlign w:val="bottom"/>
            <w:tcBorders>
              <w:right w:val="single" w:sz="8" w:color="auto"/>
            </w:tcBorders>
          </w:tcPr>
          <w:p>
            <w:pPr>
              <w:spacing w:after="0"/>
              <w:rPr>
                <w:sz w:val="16"/>
                <w:szCs w:val="16"/>
                <w:color w:val="auto"/>
              </w:rPr>
            </w:pPr>
          </w:p>
        </w:tc>
        <w:tc>
          <w:tcPr>
            <w:tcW w:w="4420" w:type="dxa"/>
            <w:vAlign w:val="bottom"/>
          </w:tcPr>
          <w:p>
            <w:pPr>
              <w:spacing w:after="0"/>
              <w:rPr>
                <w:sz w:val="16"/>
                <w:szCs w:val="16"/>
                <w:color w:val="auto"/>
              </w:rPr>
            </w:pPr>
          </w:p>
        </w:tc>
        <w:tc>
          <w:tcPr>
            <w:tcW w:w="3080" w:type="dxa"/>
            <w:vAlign w:val="bottom"/>
          </w:tcPr>
          <w:p>
            <w:pPr>
              <w:ind w:left="80"/>
              <w:spacing w:after="0"/>
              <w:rPr>
                <w:sz w:val="20"/>
                <w:szCs w:val="20"/>
                <w:color w:val="auto"/>
              </w:rPr>
            </w:pPr>
            <w:r>
              <w:rPr>
                <w:rFonts w:ascii="Arial" w:cs="Arial" w:eastAsia="Arial" w:hAnsi="Arial"/>
                <w:sz w:val="16"/>
                <w:szCs w:val="16"/>
                <w:color w:val="auto"/>
              </w:rPr>
              <w:t>development, particularly in the Permian</w:t>
            </w: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6"/>
                <w:szCs w:val="16"/>
                <w:color w:val="auto"/>
              </w:rPr>
              <w:t>and Mid-Continent areas</w:t>
            </w:r>
          </w:p>
        </w:tc>
        <w:tc>
          <w:tcPr>
            <w:tcW w:w="0" w:type="dxa"/>
            <w:vAlign w:val="bottom"/>
          </w:tcPr>
          <w:p>
            <w:pPr>
              <w:spacing w:after="0"/>
              <w:rPr>
                <w:sz w:val="1"/>
                <w:szCs w:val="1"/>
                <w:color w:val="auto"/>
              </w:rPr>
            </w:pPr>
          </w:p>
        </w:tc>
      </w:tr>
      <w:tr>
        <w:trPr>
          <w:trHeight w:val="313"/>
        </w:trPr>
        <w:tc>
          <w:tcPr>
            <w:tcW w:w="3700" w:type="dxa"/>
            <w:vAlign w:val="bottom"/>
            <w:tcBorders>
              <w:right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-3771265</wp:posOffset>
            </wp:positionV>
            <wp:extent cx="4612005" cy="4123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12005" cy="41230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220"/>
          </w:cols>
          <w:pgMar w:left="320" w:top="233"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2021 Performance Highlights</w:t>
      </w:r>
    </w:p>
    <w:p>
      <w:pPr>
        <w:spacing w:after="0" w:line="10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Despite continuing headwinds faced by the energy sector throughout 2021, we successfully completed a number of significant financial and operational objectives. We continued to strengthen our balance sheet and reduce our leverage while marking a promising recovery from the impact of COVID-19 and a successful navigation through a challenging economic landscape. In particular, during 2021 we achieved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shd w:val="clear" w:color="auto" w:fill="E8EEF7"/>
          </w:tcPr>
          <w:p>
            <w:pPr>
              <w:ind w:left="20"/>
              <w:spacing w:after="0"/>
              <w:rPr>
                <w:sz w:val="20"/>
                <w:szCs w:val="20"/>
                <w:color w:val="auto"/>
              </w:rPr>
            </w:pPr>
            <w:r>
              <w:rPr>
                <w:rFonts w:ascii="Arial" w:cs="Arial" w:eastAsia="Arial" w:hAnsi="Arial"/>
                <w:sz w:val="16"/>
                <w:szCs w:val="16"/>
                <w:color w:val="auto"/>
              </w:rPr>
              <w:t>Reduced total debt by $76 million from</w:t>
            </w:r>
          </w:p>
        </w:tc>
        <w:tc>
          <w:tcPr>
            <w:tcW w:w="200" w:type="dxa"/>
            <w:vAlign w:val="bottom"/>
          </w:tcPr>
          <w:p>
            <w:pPr>
              <w:spacing w:after="0"/>
              <w:rPr>
                <w:sz w:val="22"/>
                <w:szCs w:val="22"/>
                <w:color w:val="auto"/>
              </w:rPr>
            </w:pPr>
          </w:p>
        </w:tc>
        <w:tc>
          <w:tcPr>
            <w:tcW w:w="3680" w:type="dxa"/>
            <w:vAlign w:val="bottom"/>
            <w:shd w:val="clear" w:color="auto" w:fill="E8EEF7"/>
          </w:tcPr>
          <w:p>
            <w:pPr>
              <w:ind w:left="20"/>
              <w:spacing w:after="0"/>
              <w:rPr>
                <w:sz w:val="20"/>
                <w:szCs w:val="20"/>
                <w:color w:val="auto"/>
              </w:rPr>
            </w:pPr>
            <w:r>
              <w:rPr>
                <w:rFonts w:ascii="Arial" w:cs="Arial" w:eastAsia="Arial" w:hAnsi="Arial"/>
                <w:sz w:val="16"/>
                <w:szCs w:val="16"/>
                <w:color w:val="auto"/>
              </w:rPr>
              <w:t>Decreased our net leverage ratio to 1.49 times at</w:t>
            </w:r>
          </w:p>
        </w:tc>
        <w:tc>
          <w:tcPr>
            <w:tcW w:w="200" w:type="dxa"/>
            <w:vAlign w:val="bottom"/>
          </w:tcPr>
          <w:p>
            <w:pPr>
              <w:spacing w:after="0"/>
              <w:rPr>
                <w:sz w:val="22"/>
                <w:szCs w:val="22"/>
                <w:color w:val="auto"/>
              </w:rPr>
            </w:pPr>
          </w:p>
        </w:tc>
        <w:tc>
          <w:tcPr>
            <w:tcW w:w="3580" w:type="dxa"/>
            <w:vAlign w:val="bottom"/>
            <w:shd w:val="clear" w:color="auto" w:fill="E8EEF7"/>
          </w:tcPr>
          <w:p>
            <w:pPr>
              <w:ind w:left="20"/>
              <w:spacing w:after="0"/>
              <w:rPr>
                <w:sz w:val="20"/>
                <w:szCs w:val="20"/>
                <w:color w:val="auto"/>
              </w:rPr>
            </w:pPr>
            <w:r>
              <w:rPr>
                <w:rFonts w:ascii="Arial" w:cs="Arial" w:eastAsia="Arial" w:hAnsi="Arial"/>
                <w:sz w:val="16"/>
                <w:szCs w:val="16"/>
                <w:color w:val="auto"/>
              </w:rPr>
              <w:t>Generated $94 million of Adjusted Operating</w:t>
            </w:r>
          </w:p>
        </w:tc>
      </w:tr>
      <w:tr>
        <w:trPr>
          <w:trHeight w:val="189"/>
        </w:trPr>
        <w:tc>
          <w:tcPr>
            <w:tcW w:w="3560" w:type="dxa"/>
            <w:vAlign w:val="bottom"/>
            <w:shd w:val="clear" w:color="auto" w:fill="E8EEF7"/>
          </w:tcPr>
          <w:p>
            <w:pPr>
              <w:ind w:left="20"/>
              <w:spacing w:after="0"/>
              <w:rPr>
                <w:sz w:val="20"/>
                <w:szCs w:val="20"/>
                <w:color w:val="auto"/>
              </w:rPr>
            </w:pPr>
            <w:r>
              <w:rPr>
                <w:rFonts w:ascii="Arial" w:cs="Arial" w:eastAsia="Arial" w:hAnsi="Arial"/>
                <w:sz w:val="16"/>
                <w:szCs w:val="16"/>
                <w:color w:val="auto"/>
              </w:rPr>
              <w:t>December 31, 2020 to December 31, 2021</w:t>
            </w:r>
          </w:p>
        </w:tc>
        <w:tc>
          <w:tcPr>
            <w:tcW w:w="200" w:type="dxa"/>
            <w:vAlign w:val="bottom"/>
          </w:tcPr>
          <w:p>
            <w:pPr>
              <w:spacing w:after="0"/>
              <w:rPr>
                <w:sz w:val="16"/>
                <w:szCs w:val="16"/>
                <w:color w:val="auto"/>
              </w:rPr>
            </w:pPr>
          </w:p>
        </w:tc>
        <w:tc>
          <w:tcPr>
            <w:tcW w:w="3680" w:type="dxa"/>
            <w:vAlign w:val="bottom"/>
            <w:shd w:val="clear" w:color="auto" w:fill="E8EEF7"/>
          </w:tcPr>
          <w:p>
            <w:pPr>
              <w:ind w:left="20"/>
              <w:spacing w:after="0"/>
              <w:rPr>
                <w:sz w:val="20"/>
                <w:szCs w:val="20"/>
                <w:color w:val="auto"/>
              </w:rPr>
            </w:pPr>
            <w:r>
              <w:rPr>
                <w:rFonts w:ascii="Arial" w:cs="Arial" w:eastAsia="Arial" w:hAnsi="Arial"/>
                <w:sz w:val="16"/>
                <w:szCs w:val="16"/>
                <w:color w:val="auto"/>
              </w:rPr>
              <w:t>December 31, 2021, from 2.06 times at</w:t>
            </w:r>
          </w:p>
        </w:tc>
        <w:tc>
          <w:tcPr>
            <w:tcW w:w="200" w:type="dxa"/>
            <w:vAlign w:val="bottom"/>
          </w:tcPr>
          <w:p>
            <w:pPr>
              <w:spacing w:after="0"/>
              <w:rPr>
                <w:sz w:val="16"/>
                <w:szCs w:val="16"/>
                <w:color w:val="auto"/>
              </w:rPr>
            </w:pPr>
          </w:p>
        </w:tc>
        <w:tc>
          <w:tcPr>
            <w:tcW w:w="3580" w:type="dxa"/>
            <w:vAlign w:val="bottom"/>
            <w:shd w:val="clear" w:color="auto" w:fill="E8EEF7"/>
          </w:tcPr>
          <w:p>
            <w:pPr>
              <w:ind w:left="20"/>
              <w:spacing w:after="0"/>
              <w:rPr>
                <w:sz w:val="20"/>
                <w:szCs w:val="20"/>
                <w:color w:val="auto"/>
              </w:rPr>
            </w:pPr>
            <w:r>
              <w:rPr>
                <w:rFonts w:ascii="Arial" w:cs="Arial" w:eastAsia="Arial" w:hAnsi="Arial"/>
                <w:sz w:val="16"/>
                <w:szCs w:val="16"/>
                <w:color w:val="auto"/>
              </w:rPr>
              <w:t>Cash Flow during the year</w:t>
            </w:r>
          </w:p>
        </w:tc>
      </w:tr>
      <w:tr>
        <w:trPr>
          <w:trHeight w:val="215"/>
        </w:trPr>
        <w:tc>
          <w:tcPr>
            <w:tcW w:w="356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shd w:val="clear" w:color="auto" w:fill="E8EEF7"/>
          </w:tcPr>
          <w:p>
            <w:pPr>
              <w:ind w:left="20"/>
              <w:spacing w:after="0"/>
              <w:rPr>
                <w:sz w:val="20"/>
                <w:szCs w:val="20"/>
                <w:color w:val="auto"/>
              </w:rPr>
            </w:pPr>
            <w:r>
              <w:rPr>
                <w:rFonts w:ascii="Arial" w:cs="Arial" w:eastAsia="Arial" w:hAnsi="Arial"/>
                <w:sz w:val="16"/>
                <w:szCs w:val="16"/>
                <w:color w:val="auto"/>
              </w:rPr>
              <w:t>December 31, 2020</w:t>
            </w:r>
          </w:p>
        </w:tc>
        <w:tc>
          <w:tcPr>
            <w:tcW w:w="200" w:type="dxa"/>
            <w:vAlign w:val="bottom"/>
          </w:tcPr>
          <w:p>
            <w:pPr>
              <w:spacing w:after="0"/>
              <w:rPr>
                <w:sz w:val="18"/>
                <w:szCs w:val="18"/>
                <w:color w:val="auto"/>
              </w:rPr>
            </w:pPr>
          </w:p>
        </w:tc>
        <w:tc>
          <w:tcPr>
            <w:tcW w:w="3580" w:type="dxa"/>
            <w:vAlign w:val="bottom"/>
            <w:shd w:val="clear" w:color="auto" w:fill="E8EEF7"/>
          </w:tcPr>
          <w:p>
            <w:pPr>
              <w:spacing w:after="0"/>
              <w:rPr>
                <w:sz w:val="18"/>
                <w:szCs w:val="18"/>
                <w:color w:val="auto"/>
              </w:rPr>
            </w:pPr>
          </w:p>
        </w:tc>
      </w:tr>
      <w:tr>
        <w:trPr>
          <w:trHeight w:val="70"/>
        </w:trPr>
        <w:tc>
          <w:tcPr>
            <w:tcW w:w="356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368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3580" w:type="dxa"/>
            <w:vAlign w:val="bottom"/>
            <w:shd w:val="clear" w:color="auto" w:fill="E8EEF7"/>
          </w:tcPr>
          <w:p>
            <w:pPr>
              <w:spacing w:after="0"/>
              <w:rPr>
                <w:sz w:val="6"/>
                <w:szCs w:val="6"/>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80" w:type="dxa"/>
            <w:vAlign w:val="bottom"/>
            <w:shd w:val="clear" w:color="auto" w:fill="E8EEF7"/>
          </w:tcPr>
          <w:p>
            <w:pPr>
              <w:ind w:left="20"/>
              <w:spacing w:after="0"/>
              <w:rPr>
                <w:sz w:val="20"/>
                <w:szCs w:val="20"/>
                <w:color w:val="auto"/>
              </w:rPr>
            </w:pPr>
            <w:r>
              <w:rPr>
                <w:rFonts w:ascii="Arial" w:cs="Arial" w:eastAsia="Arial" w:hAnsi="Arial"/>
                <w:sz w:val="16"/>
                <w:szCs w:val="16"/>
                <w:color w:val="auto"/>
              </w:rPr>
              <w:t>Replaced and refinanced existing credit agreement, extending maturity to</w:t>
            </w:r>
          </w:p>
        </w:tc>
        <w:tc>
          <w:tcPr>
            <w:tcW w:w="220" w:type="dxa"/>
            <w:vAlign w:val="bottom"/>
          </w:tcPr>
          <w:p>
            <w:pPr>
              <w:spacing w:after="0"/>
              <w:rPr>
                <w:sz w:val="22"/>
                <w:szCs w:val="22"/>
                <w:color w:val="auto"/>
              </w:rPr>
            </w:pPr>
          </w:p>
        </w:tc>
        <w:tc>
          <w:tcPr>
            <w:tcW w:w="5520" w:type="dxa"/>
            <w:vAlign w:val="bottom"/>
            <w:shd w:val="clear" w:color="auto" w:fill="E8EEF7"/>
          </w:tcPr>
          <w:p>
            <w:pPr>
              <w:spacing w:after="0"/>
              <w:rPr>
                <w:sz w:val="20"/>
                <w:szCs w:val="20"/>
                <w:color w:val="auto"/>
              </w:rPr>
            </w:pPr>
            <w:r>
              <w:rPr>
                <w:rFonts w:ascii="Arial" w:cs="Arial" w:eastAsia="Arial" w:hAnsi="Arial"/>
                <w:sz w:val="16"/>
                <w:szCs w:val="16"/>
                <w:color w:val="auto"/>
              </w:rPr>
              <w:t>Authorized a share repurchase program for the Company to repurchase up</w:t>
            </w:r>
          </w:p>
        </w:tc>
      </w:tr>
      <w:tr>
        <w:trPr>
          <w:trHeight w:val="189"/>
        </w:trPr>
        <w:tc>
          <w:tcPr>
            <w:tcW w:w="5480" w:type="dxa"/>
            <w:vAlign w:val="bottom"/>
            <w:shd w:val="clear" w:color="auto" w:fill="E8EEF7"/>
          </w:tcPr>
          <w:p>
            <w:pPr>
              <w:ind w:left="20"/>
              <w:spacing w:after="0"/>
              <w:rPr>
                <w:sz w:val="20"/>
                <w:szCs w:val="20"/>
                <w:color w:val="auto"/>
              </w:rPr>
            </w:pPr>
            <w:r>
              <w:rPr>
                <w:rFonts w:ascii="Arial" w:cs="Arial" w:eastAsia="Arial" w:hAnsi="Arial"/>
                <w:sz w:val="16"/>
                <w:szCs w:val="16"/>
                <w:color w:val="auto"/>
              </w:rPr>
              <w:t>September 8, 2025</w:t>
            </w:r>
          </w:p>
        </w:tc>
        <w:tc>
          <w:tcPr>
            <w:tcW w:w="220" w:type="dxa"/>
            <w:vAlign w:val="bottom"/>
          </w:tcPr>
          <w:p>
            <w:pPr>
              <w:spacing w:after="0"/>
              <w:rPr>
                <w:sz w:val="16"/>
                <w:szCs w:val="16"/>
                <w:color w:val="auto"/>
              </w:rPr>
            </w:pPr>
          </w:p>
        </w:tc>
        <w:tc>
          <w:tcPr>
            <w:tcW w:w="5520" w:type="dxa"/>
            <w:vAlign w:val="bottom"/>
            <w:shd w:val="clear" w:color="auto" w:fill="E8EEF7"/>
          </w:tcPr>
          <w:p>
            <w:pPr>
              <w:spacing w:after="0"/>
              <w:rPr>
                <w:sz w:val="20"/>
                <w:szCs w:val="20"/>
                <w:color w:val="auto"/>
              </w:rPr>
            </w:pPr>
            <w:r>
              <w:rPr>
                <w:rFonts w:ascii="Arial" w:cs="Arial" w:eastAsia="Arial" w:hAnsi="Arial"/>
                <w:sz w:val="16"/>
                <w:szCs w:val="16"/>
                <w:color w:val="auto"/>
              </w:rPr>
              <w:t>to 5% of its total common shares outstanding, or approximately 715,000</w:t>
            </w:r>
          </w:p>
        </w:tc>
      </w:tr>
      <w:tr>
        <w:trPr>
          <w:trHeight w:val="215"/>
        </w:trPr>
        <w:tc>
          <w:tcPr>
            <w:tcW w:w="5480" w:type="dxa"/>
            <w:vAlign w:val="bottom"/>
            <w:shd w:val="clear" w:color="auto" w:fill="E8EEF7"/>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shd w:val="clear" w:color="auto" w:fill="E8EEF7"/>
          </w:tcPr>
          <w:p>
            <w:pPr>
              <w:spacing w:after="0"/>
              <w:rPr>
                <w:sz w:val="20"/>
                <w:szCs w:val="20"/>
                <w:color w:val="auto"/>
              </w:rPr>
            </w:pPr>
            <w:r>
              <w:rPr>
                <w:rFonts w:ascii="Arial" w:cs="Arial" w:eastAsia="Arial" w:hAnsi="Arial"/>
                <w:sz w:val="16"/>
                <w:szCs w:val="16"/>
                <w:color w:val="auto"/>
              </w:rPr>
              <w:t>common shares, over a twelve-month period</w:t>
            </w:r>
          </w:p>
        </w:tc>
      </w:tr>
      <w:tr>
        <w:trPr>
          <w:trHeight w:val="70"/>
        </w:trPr>
        <w:tc>
          <w:tcPr>
            <w:tcW w:w="5480" w:type="dxa"/>
            <w:vAlign w:val="bottom"/>
            <w:shd w:val="clear" w:color="auto" w:fill="E8EEF7"/>
          </w:tcPr>
          <w:p>
            <w:pPr>
              <w:spacing w:after="0"/>
              <w:rPr>
                <w:sz w:val="6"/>
                <w:szCs w:val="6"/>
                <w:color w:val="auto"/>
              </w:rPr>
            </w:pPr>
          </w:p>
        </w:tc>
        <w:tc>
          <w:tcPr>
            <w:tcW w:w="22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Continued to safely and profitably execute on the Coastal Gaslink Pipeline</w:t>
            </w:r>
          </w:p>
        </w:tc>
        <w:tc>
          <w:tcPr>
            <w:tcW w:w="200" w:type="dxa"/>
            <w:vAlign w:val="bottom"/>
          </w:tcPr>
          <w:p>
            <w:pPr>
              <w:spacing w:after="0"/>
              <w:rPr>
                <w:sz w:val="22"/>
                <w:szCs w:val="22"/>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Completed the sale of our West Permian Lodge to a third-party on October</w:t>
            </w:r>
          </w:p>
        </w:tc>
      </w:tr>
      <w:tr>
        <w:trPr>
          <w:trHeight w:val="215"/>
        </w:trPr>
        <w:tc>
          <w:tcPr>
            <w:tcW w:w="5500" w:type="dxa"/>
            <w:vAlign w:val="bottom"/>
            <w:shd w:val="clear" w:color="auto" w:fill="E8EEF7"/>
          </w:tcPr>
          <w:p>
            <w:pPr>
              <w:ind w:left="20"/>
              <w:spacing w:after="0"/>
              <w:rPr>
                <w:sz w:val="20"/>
                <w:szCs w:val="20"/>
                <w:color w:val="auto"/>
              </w:rPr>
            </w:pPr>
            <w:r>
              <w:rPr>
                <w:rFonts w:ascii="Arial" w:cs="Arial" w:eastAsia="Arial" w:hAnsi="Arial"/>
                <w:sz w:val="16"/>
                <w:szCs w:val="16"/>
                <w:color w:val="auto"/>
              </w:rPr>
              <w:t>("CGL") contract</w:t>
            </w:r>
          </w:p>
        </w:tc>
        <w:tc>
          <w:tcPr>
            <w:tcW w:w="200" w:type="dxa"/>
            <w:vAlign w:val="bottom"/>
          </w:tcPr>
          <w:p>
            <w:pPr>
              <w:spacing w:after="0"/>
              <w:rPr>
                <w:sz w:val="18"/>
                <w:szCs w:val="18"/>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2, 2021</w:t>
            </w:r>
          </w:p>
        </w:tc>
      </w:tr>
      <w:tr>
        <w:trPr>
          <w:trHeight w:val="70"/>
        </w:trPr>
        <w:tc>
          <w:tcPr>
            <w:tcW w:w="550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r>
        <w:trPr>
          <w:trHeight w:val="94"/>
        </w:trPr>
        <w:tc>
          <w:tcPr>
            <w:tcW w:w="5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520" w:type="dxa"/>
            <w:vAlign w:val="bottom"/>
          </w:tcPr>
          <w:p>
            <w:pPr>
              <w:spacing w:after="0"/>
              <w:rPr>
                <w:sz w:val="8"/>
                <w:szCs w:val="8"/>
                <w:color w:val="auto"/>
              </w:rPr>
            </w:pPr>
          </w:p>
        </w:tc>
      </w:tr>
      <w:tr>
        <w:trPr>
          <w:trHeight w:val="256"/>
        </w:trPr>
        <w:tc>
          <w:tcPr>
            <w:tcW w:w="5500" w:type="dxa"/>
            <w:vAlign w:val="bottom"/>
            <w:shd w:val="clear" w:color="auto" w:fill="E8EEF7"/>
          </w:tcPr>
          <w:p>
            <w:pPr>
              <w:ind w:left="20"/>
              <w:spacing w:after="0"/>
              <w:rPr>
                <w:sz w:val="20"/>
                <w:szCs w:val="20"/>
                <w:color w:val="auto"/>
              </w:rPr>
            </w:pPr>
            <w:r>
              <w:rPr>
                <w:rFonts w:ascii="Arial" w:cs="Arial" w:eastAsia="Arial" w:hAnsi="Arial"/>
                <w:sz w:val="16"/>
                <w:szCs w:val="16"/>
                <w:color w:val="auto"/>
              </w:rPr>
              <w:t>Billed rooms increased by 15% in Canada in 2021</w:t>
            </w:r>
          </w:p>
        </w:tc>
        <w:tc>
          <w:tcPr>
            <w:tcW w:w="200" w:type="dxa"/>
            <w:vAlign w:val="bottom"/>
          </w:tcPr>
          <w:p>
            <w:pPr>
              <w:spacing w:after="0"/>
              <w:rPr>
                <w:sz w:val="22"/>
                <w:szCs w:val="22"/>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Continued strong safety performance across all regions, resulting in a 2021</w:t>
            </w:r>
          </w:p>
        </w:tc>
      </w:tr>
      <w:tr>
        <w:trPr>
          <w:trHeight w:val="189"/>
        </w:trPr>
        <w:tc>
          <w:tcPr>
            <w:tcW w:w="5500" w:type="dxa"/>
            <w:vAlign w:val="bottom"/>
            <w:shd w:val="clear" w:color="auto" w:fill="E8EEF7"/>
          </w:tcPr>
          <w:p>
            <w:pPr>
              <w:spacing w:after="0"/>
              <w:rPr>
                <w:sz w:val="16"/>
                <w:szCs w:val="16"/>
                <w:color w:val="auto"/>
              </w:rPr>
            </w:pPr>
          </w:p>
        </w:tc>
        <w:tc>
          <w:tcPr>
            <w:tcW w:w="200" w:type="dxa"/>
            <w:vAlign w:val="bottom"/>
          </w:tcPr>
          <w:p>
            <w:pPr>
              <w:spacing w:after="0"/>
              <w:rPr>
                <w:sz w:val="16"/>
                <w:szCs w:val="16"/>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Global TRIR of 0.42, considerably better than the hotel industry average of</w:t>
            </w:r>
          </w:p>
        </w:tc>
      </w:tr>
      <w:tr>
        <w:trPr>
          <w:trHeight w:val="215"/>
        </w:trPr>
        <w:tc>
          <w:tcPr>
            <w:tcW w:w="550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4.5</w:t>
            </w:r>
          </w:p>
        </w:tc>
      </w:tr>
      <w:tr>
        <w:trPr>
          <w:trHeight w:val="70"/>
        </w:trPr>
        <w:tc>
          <w:tcPr>
            <w:tcW w:w="550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r>
        <w:trPr>
          <w:trHeight w:val="661"/>
        </w:trPr>
        <w:tc>
          <w:tcPr>
            <w:tcW w:w="5500" w:type="dxa"/>
            <w:vAlign w:val="bottom"/>
          </w:tcPr>
          <w:p>
            <w:pPr>
              <w:jc w:val="center"/>
              <w:ind w:left="2099"/>
              <w:spacing w:after="0"/>
              <w:rPr>
                <w:sz w:val="20"/>
                <w:szCs w:val="20"/>
                <w:color w:val="auto"/>
              </w:rPr>
            </w:pPr>
            <w:r>
              <w:rPr>
                <w:rFonts w:ascii="Arial" w:cs="Arial" w:eastAsia="Arial" w:hAnsi="Arial"/>
                <w:sz w:val="16"/>
                <w:szCs w:val="16"/>
                <w:b w:val="1"/>
                <w:bCs w:val="1"/>
                <w:color w:val="auto"/>
              </w:rPr>
              <w:t>AICP EBITDA</w:t>
            </w:r>
          </w:p>
        </w:tc>
        <w:tc>
          <w:tcPr>
            <w:tcW w:w="200" w:type="dxa"/>
            <w:vAlign w:val="bottom"/>
          </w:tcPr>
          <w:p>
            <w:pPr>
              <w:spacing w:after="0"/>
              <w:rPr>
                <w:sz w:val="24"/>
                <w:szCs w:val="24"/>
                <w:color w:val="auto"/>
              </w:rPr>
            </w:pPr>
          </w:p>
        </w:tc>
        <w:tc>
          <w:tcPr>
            <w:tcW w:w="5520" w:type="dxa"/>
            <w:vAlign w:val="bottom"/>
          </w:tcPr>
          <w:p>
            <w:pPr>
              <w:ind w:left="700"/>
              <w:spacing w:after="0"/>
              <w:rPr>
                <w:sz w:val="20"/>
                <w:szCs w:val="20"/>
                <w:color w:val="auto"/>
              </w:rPr>
            </w:pPr>
            <w:r>
              <w:rPr>
                <w:rFonts w:ascii="Arial" w:cs="Arial" w:eastAsia="Arial" w:hAnsi="Arial"/>
                <w:sz w:val="16"/>
                <w:szCs w:val="16"/>
                <w:b w:val="1"/>
                <w:bCs w:val="1"/>
                <w:color w:val="auto"/>
              </w:rPr>
              <w:t>TOTAL RECORDABLE</w:t>
            </w:r>
          </w:p>
        </w:tc>
      </w:tr>
      <w:tr>
        <w:trPr>
          <w:trHeight w:val="223"/>
        </w:trPr>
        <w:tc>
          <w:tcPr>
            <w:tcW w:w="5500" w:type="dxa"/>
            <w:vAlign w:val="bottom"/>
          </w:tcPr>
          <w:p>
            <w:pPr>
              <w:jc w:val="center"/>
              <w:ind w:left="2079"/>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9"/>
                <w:szCs w:val="19"/>
                <w:color w:val="auto"/>
              </w:rPr>
            </w:pPr>
          </w:p>
        </w:tc>
        <w:tc>
          <w:tcPr>
            <w:tcW w:w="5520" w:type="dxa"/>
            <w:vAlign w:val="bottom"/>
          </w:tcPr>
          <w:p>
            <w:pPr>
              <w:ind w:left="940"/>
              <w:spacing w:after="0"/>
              <w:rPr>
                <w:sz w:val="20"/>
                <w:szCs w:val="20"/>
                <w:color w:val="auto"/>
              </w:rPr>
            </w:pPr>
            <w:r>
              <w:rPr>
                <w:rFonts w:ascii="Arial" w:cs="Arial" w:eastAsia="Arial" w:hAnsi="Arial"/>
                <w:sz w:val="16"/>
                <w:szCs w:val="16"/>
                <w:b w:val="1"/>
                <w:bCs w:val="1"/>
                <w:color w:val="auto"/>
              </w:rPr>
              <w:t>INCIDENT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99060</wp:posOffset>
            </wp:positionV>
            <wp:extent cx="3797300" cy="128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9730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Note: Please see the Appendix for a reconciliation of Adjusted Operating Cash Flow and AICP EBITDA to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Arial" w:cs="Arial" w:eastAsia="Arial" w:hAnsi="Arial"/>
                <w:sz w:val="14"/>
                <w:szCs w:val="14"/>
                <w:color w:val="auto"/>
              </w:rPr>
              <w:t>2022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Voting Matters and Recommendations</w:t>
      </w:r>
    </w:p>
    <w:p>
      <w:pPr>
        <w:spacing w:after="0" w:line="35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Below is a summary of the proposals on which you are being asked to vote. Please review the complete information regarding these proposals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Election of Directors</w:t>
      </w:r>
    </w:p>
    <w:p>
      <w:pPr>
        <w:spacing w:after="0" w:line="33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596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each of the three Class II director nominees.                             </w:t>
      </w:r>
      <w:r>
        <w:rPr>
          <w:sz w:val="1"/>
          <w:szCs w:val="1"/>
          <w:color w:val="auto"/>
        </w:rPr>
        <w:drawing>
          <wp:inline distT="0" distB="0" distL="0" distR="0">
            <wp:extent cx="43180" cy="514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9</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our board of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706F6F"/>
              </w:rPr>
              <w:t>Director</w:t>
            </w:r>
          </w:p>
        </w:tc>
        <w:tc>
          <w:tcPr>
            <w:tcW w:w="160" w:type="dxa"/>
            <w:vAlign w:val="bottom"/>
            <w:tcBorders>
              <w:bottom w:val="single" w:sz="8" w:color="006DB6"/>
            </w:tcBorders>
          </w:tcPr>
          <w:p>
            <w:pPr>
              <w:spacing w:after="0"/>
              <w:rPr>
                <w:sz w:val="17"/>
                <w:szCs w:val="17"/>
                <w:color w:val="auto"/>
              </w:rPr>
            </w:pPr>
          </w:p>
        </w:tc>
        <w:tc>
          <w:tcPr>
            <w:tcW w:w="360" w:type="dxa"/>
            <w:vAlign w:val="bottom"/>
            <w:tcBorders>
              <w:bottom w:val="single" w:sz="8" w:color="006DB6"/>
            </w:tcBorders>
          </w:tcPr>
          <w:p>
            <w:pPr>
              <w:spacing w:after="0"/>
              <w:rPr>
                <w:sz w:val="17"/>
                <w:szCs w:val="17"/>
                <w:color w:val="auto"/>
              </w:rPr>
            </w:pPr>
          </w:p>
        </w:tc>
        <w:tc>
          <w:tcPr>
            <w:tcW w:w="1760" w:type="dxa"/>
            <w:vAlign w:val="bottom"/>
            <w:tcBorders>
              <w:bottom w:val="single" w:sz="8" w:color="006DB6"/>
            </w:tcBorders>
            <w:gridSpan w:val="2"/>
          </w:tcPr>
          <w:p>
            <w:pPr>
              <w:ind w:left="60"/>
              <w:spacing w:after="0"/>
              <w:rPr>
                <w:sz w:val="20"/>
                <w:szCs w:val="20"/>
                <w:color w:val="auto"/>
              </w:rPr>
            </w:pPr>
            <w:r>
              <w:rPr>
                <w:rFonts w:ascii="Arial" w:cs="Arial" w:eastAsia="Arial" w:hAnsi="Arial"/>
                <w:sz w:val="14"/>
                <w:szCs w:val="14"/>
                <w:b w:val="1"/>
                <w:bCs w:val="1"/>
                <w:color w:val="706F6F"/>
              </w:rPr>
              <w:t>Committee Membership</w:t>
            </w:r>
          </w:p>
        </w:tc>
        <w:tc>
          <w:tcPr>
            <w:tcW w:w="520" w:type="dxa"/>
            <w:vAlign w:val="bottom"/>
            <w:tcBorders>
              <w:bottom w:val="single" w:sz="8" w:color="006DB6"/>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706F6F"/>
              </w:rPr>
              <w:t>Name and Primary Occupation</w:t>
            </w:r>
          </w:p>
        </w:tc>
        <w:tc>
          <w:tcPr>
            <w:tcW w:w="7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706F6F"/>
              </w:rPr>
              <w:t>Age</w:t>
            </w: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706F6F"/>
              </w:rPr>
              <w:t>Since</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706F6F"/>
              </w:rPr>
              <w:t>AC</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706F6F"/>
              </w:rPr>
              <w:t>CC</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706F6F"/>
              </w:rPr>
              <w:t>ESGNC</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706F6F"/>
              </w:rPr>
              <w:t>FIC</w:t>
            </w: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E8EEF7"/>
          </w:tcPr>
          <w:p>
            <w:pPr>
              <w:ind w:left="20"/>
              <w:spacing w:after="0"/>
              <w:rPr>
                <w:sz w:val="20"/>
                <w:szCs w:val="20"/>
                <w:color w:val="auto"/>
              </w:rPr>
            </w:pPr>
            <w:r>
              <w:rPr>
                <w:rFonts w:ascii="Arial" w:cs="Arial" w:eastAsia="Arial" w:hAnsi="Arial"/>
                <w:sz w:val="16"/>
                <w:szCs w:val="16"/>
                <w:b w:val="1"/>
                <w:bCs w:val="1"/>
                <w:color w:val="auto"/>
              </w:rPr>
              <w:t>Class II Directors Whose Terms Expire at the 2022 Annual Meeting of Shareholders</w:t>
            </w:r>
          </w:p>
        </w:tc>
        <w:tc>
          <w:tcPr>
            <w:tcW w:w="420" w:type="dxa"/>
            <w:vAlign w:val="bottom"/>
            <w:shd w:val="clear" w:color="auto" w:fill="E8EEF7"/>
          </w:tcPr>
          <w:p>
            <w:pPr>
              <w:spacing w:after="0"/>
              <w:rPr>
                <w:sz w:val="20"/>
                <w:szCs w:val="20"/>
                <w:color w:val="auto"/>
              </w:rPr>
            </w:pPr>
          </w:p>
        </w:tc>
        <w:tc>
          <w:tcPr>
            <w:tcW w:w="360" w:type="dxa"/>
            <w:vAlign w:val="bottom"/>
            <w:shd w:val="clear" w:color="auto" w:fill="E8EEF7"/>
          </w:tcPr>
          <w:p>
            <w:pPr>
              <w:spacing w:after="0"/>
              <w:rPr>
                <w:sz w:val="20"/>
                <w:szCs w:val="20"/>
                <w:color w:val="auto"/>
              </w:rPr>
            </w:pPr>
          </w:p>
        </w:tc>
        <w:tc>
          <w:tcPr>
            <w:tcW w:w="740" w:type="dxa"/>
            <w:vAlign w:val="bottom"/>
            <w:shd w:val="clear" w:color="auto" w:fill="E8EEF7"/>
          </w:tcPr>
          <w:p>
            <w:pPr>
              <w:spacing w:after="0"/>
              <w:rPr>
                <w:sz w:val="20"/>
                <w:szCs w:val="20"/>
                <w:color w:val="auto"/>
              </w:rPr>
            </w:pPr>
          </w:p>
        </w:tc>
        <w:tc>
          <w:tcPr>
            <w:tcW w:w="160" w:type="dxa"/>
            <w:vAlign w:val="bottom"/>
            <w:shd w:val="clear" w:color="auto" w:fill="E8EEF7"/>
          </w:tcPr>
          <w:p>
            <w:pPr>
              <w:spacing w:after="0"/>
              <w:rPr>
                <w:sz w:val="20"/>
                <w:szCs w:val="20"/>
                <w:color w:val="auto"/>
              </w:rPr>
            </w:pPr>
          </w:p>
        </w:tc>
        <w:tc>
          <w:tcPr>
            <w:tcW w:w="360" w:type="dxa"/>
            <w:vAlign w:val="bottom"/>
            <w:shd w:val="clear" w:color="auto" w:fill="E8EEF7"/>
          </w:tcPr>
          <w:p>
            <w:pPr>
              <w:spacing w:after="0"/>
              <w:rPr>
                <w:sz w:val="20"/>
                <w:szCs w:val="20"/>
                <w:color w:val="auto"/>
              </w:rPr>
            </w:pPr>
          </w:p>
        </w:tc>
        <w:tc>
          <w:tcPr>
            <w:tcW w:w="780" w:type="dxa"/>
            <w:vAlign w:val="bottom"/>
            <w:shd w:val="clear" w:color="auto" w:fill="E8EEF7"/>
          </w:tcPr>
          <w:p>
            <w:pPr>
              <w:spacing w:after="0"/>
              <w:rPr>
                <w:sz w:val="20"/>
                <w:szCs w:val="20"/>
                <w:color w:val="auto"/>
              </w:rPr>
            </w:pPr>
          </w:p>
        </w:tc>
        <w:tc>
          <w:tcPr>
            <w:tcW w:w="980" w:type="dxa"/>
            <w:vAlign w:val="bottom"/>
            <w:shd w:val="clear" w:color="auto" w:fill="E8EEF7"/>
          </w:tcPr>
          <w:p>
            <w:pPr>
              <w:spacing w:after="0"/>
              <w:rPr>
                <w:sz w:val="20"/>
                <w:szCs w:val="20"/>
                <w:color w:val="auto"/>
              </w:rPr>
            </w:pPr>
          </w:p>
        </w:tc>
        <w:tc>
          <w:tcPr>
            <w:tcW w:w="520" w:type="dxa"/>
            <w:vAlign w:val="bottom"/>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00" w:type="dxa"/>
            <w:vAlign w:val="bottom"/>
            <w:shd w:val="clear" w:color="auto" w:fill="E8EEF7"/>
          </w:tcPr>
          <w:p>
            <w:pPr>
              <w:spacing w:after="0"/>
              <w:rPr>
                <w:sz w:val="24"/>
                <w:szCs w:val="24"/>
                <w:color w:val="auto"/>
              </w:rPr>
            </w:pPr>
          </w:p>
        </w:tc>
        <w:tc>
          <w:tcPr>
            <w:tcW w:w="6220" w:type="dxa"/>
            <w:vAlign w:val="bottom"/>
            <w:shd w:val="clear" w:color="auto" w:fill="E8EEF7"/>
          </w:tcPr>
          <w:p>
            <w:pPr>
              <w:ind w:left="20"/>
              <w:spacing w:after="0"/>
              <w:rPr>
                <w:sz w:val="20"/>
                <w:szCs w:val="20"/>
                <w:color w:val="auto"/>
              </w:rPr>
            </w:pPr>
            <w:r>
              <w:rPr>
                <w:rFonts w:ascii="Arial" w:cs="Arial" w:eastAsia="Arial" w:hAnsi="Arial"/>
                <w:sz w:val="16"/>
                <w:szCs w:val="16"/>
                <w:b w:val="1"/>
                <w:bCs w:val="1"/>
                <w:color w:val="006DB6"/>
              </w:rPr>
              <w:t xml:space="preserve">Richard A. Navarre </w:t>
            </w:r>
            <w:r>
              <w:rPr>
                <w:rFonts w:ascii="Arial" w:cs="Arial" w:eastAsia="Arial" w:hAnsi="Arial"/>
                <w:sz w:val="16"/>
                <w:szCs w:val="16"/>
                <w:b w:val="1"/>
                <w:bCs w:val="1"/>
                <w:color w:val="706F6F"/>
              </w:rPr>
              <w:t>Independent</w:t>
            </w:r>
          </w:p>
        </w:tc>
        <w:tc>
          <w:tcPr>
            <w:tcW w:w="420" w:type="dxa"/>
            <w:vAlign w:val="bottom"/>
            <w:vMerge w:val="restart"/>
            <w:shd w:val="clear" w:color="auto" w:fill="E8EEF7"/>
          </w:tcPr>
          <w:p>
            <w:pPr>
              <w:jc w:val="center"/>
              <w:ind w:left="161"/>
              <w:spacing w:after="0"/>
              <w:rPr>
                <w:sz w:val="20"/>
                <w:szCs w:val="20"/>
                <w:color w:val="auto"/>
              </w:rPr>
            </w:pPr>
            <w:r>
              <w:rPr>
                <w:rFonts w:ascii="Arial" w:cs="Arial" w:eastAsia="Arial" w:hAnsi="Arial"/>
                <w:sz w:val="16"/>
                <w:szCs w:val="16"/>
                <w:color w:val="auto"/>
              </w:rPr>
              <w:t>61</w:t>
            </w:r>
          </w:p>
        </w:tc>
        <w:tc>
          <w:tcPr>
            <w:tcW w:w="360" w:type="dxa"/>
            <w:vAlign w:val="bottom"/>
            <w:shd w:val="clear" w:color="auto" w:fill="E8EEF7"/>
          </w:tcPr>
          <w:p>
            <w:pPr>
              <w:spacing w:after="0"/>
              <w:rPr>
                <w:sz w:val="24"/>
                <w:szCs w:val="24"/>
                <w:color w:val="auto"/>
              </w:rPr>
            </w:pPr>
          </w:p>
        </w:tc>
        <w:tc>
          <w:tcPr>
            <w:tcW w:w="740" w:type="dxa"/>
            <w:vAlign w:val="bottom"/>
            <w:vMerge w:val="restart"/>
            <w:shd w:val="clear" w:color="auto" w:fill="E8EEF7"/>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E8EEF7"/>
          </w:tcPr>
          <w:p>
            <w:pPr>
              <w:spacing w:after="0"/>
              <w:rPr>
                <w:sz w:val="24"/>
                <w:szCs w:val="24"/>
                <w:color w:val="auto"/>
              </w:rPr>
            </w:pPr>
          </w:p>
        </w:tc>
        <w:tc>
          <w:tcPr>
            <w:tcW w:w="360" w:type="dxa"/>
            <w:vAlign w:val="bottom"/>
            <w:shd w:val="clear" w:color="auto" w:fill="E8EEF7"/>
          </w:tcPr>
          <w:p>
            <w:pPr>
              <w:spacing w:after="0"/>
              <w:rPr>
                <w:sz w:val="24"/>
                <w:szCs w:val="24"/>
                <w:color w:val="auto"/>
              </w:rPr>
            </w:pPr>
          </w:p>
        </w:tc>
        <w:tc>
          <w:tcPr>
            <w:tcW w:w="780" w:type="dxa"/>
            <w:vAlign w:val="bottom"/>
            <w:shd w:val="clear" w:color="auto" w:fill="E8EEF7"/>
          </w:tcPr>
          <w:p>
            <w:pPr>
              <w:spacing w:after="0"/>
              <w:rPr>
                <w:sz w:val="24"/>
                <w:szCs w:val="24"/>
                <w:color w:val="auto"/>
              </w:rPr>
            </w:pPr>
          </w:p>
        </w:tc>
        <w:tc>
          <w:tcPr>
            <w:tcW w:w="980" w:type="dxa"/>
            <w:vAlign w:val="bottom"/>
            <w:shd w:val="clear" w:color="auto" w:fill="E8EEF7"/>
          </w:tcPr>
          <w:p>
            <w:pPr>
              <w:spacing w:after="0"/>
              <w:rPr>
                <w:sz w:val="24"/>
                <w:szCs w:val="24"/>
                <w:color w:val="auto"/>
              </w:rPr>
            </w:pPr>
          </w:p>
        </w:tc>
        <w:tc>
          <w:tcPr>
            <w:tcW w:w="520" w:type="dxa"/>
            <w:vAlign w:val="bottom"/>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0" w:type="dxa"/>
            <w:vAlign w:val="bottom"/>
            <w:shd w:val="clear" w:color="auto" w:fill="E8EEF7"/>
          </w:tcPr>
          <w:p>
            <w:pPr>
              <w:spacing w:after="0"/>
              <w:rPr>
                <w:sz w:val="16"/>
                <w:szCs w:val="16"/>
                <w:color w:val="auto"/>
              </w:rPr>
            </w:pPr>
          </w:p>
        </w:tc>
        <w:tc>
          <w:tcPr>
            <w:tcW w:w="622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Former President and Chief Executive Officer, Covia Corporation</w:t>
            </w:r>
          </w:p>
        </w:tc>
        <w:tc>
          <w:tcPr>
            <w:tcW w:w="420" w:type="dxa"/>
            <w:vAlign w:val="bottom"/>
            <w:vMerge w:val="continue"/>
            <w:shd w:val="clear" w:color="auto" w:fill="E8EEF7"/>
          </w:tcPr>
          <w:p>
            <w:pPr>
              <w:spacing w:after="0"/>
              <w:rPr>
                <w:sz w:val="16"/>
                <w:szCs w:val="16"/>
                <w:color w:val="auto"/>
              </w:rPr>
            </w:pPr>
          </w:p>
        </w:tc>
        <w:tc>
          <w:tcPr>
            <w:tcW w:w="360" w:type="dxa"/>
            <w:vAlign w:val="bottom"/>
            <w:shd w:val="clear" w:color="auto" w:fill="E8EEF7"/>
          </w:tcPr>
          <w:p>
            <w:pPr>
              <w:spacing w:after="0"/>
              <w:rPr>
                <w:sz w:val="16"/>
                <w:szCs w:val="16"/>
                <w:color w:val="auto"/>
              </w:rPr>
            </w:pPr>
          </w:p>
        </w:tc>
        <w:tc>
          <w:tcPr>
            <w:tcW w:w="740" w:type="dxa"/>
            <w:vAlign w:val="bottom"/>
            <w:vMerge w:val="continue"/>
            <w:shd w:val="clear" w:color="auto" w:fill="E8EEF7"/>
          </w:tcPr>
          <w:p>
            <w:pPr>
              <w:spacing w:after="0"/>
              <w:rPr>
                <w:sz w:val="16"/>
                <w:szCs w:val="16"/>
                <w:color w:val="auto"/>
              </w:rPr>
            </w:pPr>
          </w:p>
        </w:tc>
        <w:tc>
          <w:tcPr>
            <w:tcW w:w="160" w:type="dxa"/>
            <w:vAlign w:val="bottom"/>
            <w:shd w:val="clear" w:color="auto" w:fill="E8EEF7"/>
          </w:tcPr>
          <w:p>
            <w:pPr>
              <w:spacing w:after="0"/>
              <w:rPr>
                <w:sz w:val="16"/>
                <w:szCs w:val="16"/>
                <w:color w:val="auto"/>
              </w:rPr>
            </w:pPr>
          </w:p>
        </w:tc>
        <w:tc>
          <w:tcPr>
            <w:tcW w:w="360" w:type="dxa"/>
            <w:vAlign w:val="bottom"/>
            <w:shd w:val="clear" w:color="auto" w:fill="E8EEF7"/>
          </w:tcPr>
          <w:p>
            <w:pPr>
              <w:spacing w:after="0"/>
              <w:rPr>
                <w:sz w:val="16"/>
                <w:szCs w:val="16"/>
                <w:color w:val="auto"/>
              </w:rPr>
            </w:pPr>
          </w:p>
        </w:tc>
        <w:tc>
          <w:tcPr>
            <w:tcW w:w="780" w:type="dxa"/>
            <w:vAlign w:val="bottom"/>
            <w:shd w:val="clear" w:color="auto" w:fill="E8EEF7"/>
          </w:tcPr>
          <w:p>
            <w:pPr>
              <w:spacing w:after="0"/>
              <w:rPr>
                <w:sz w:val="16"/>
                <w:szCs w:val="16"/>
                <w:color w:val="auto"/>
              </w:rPr>
            </w:pPr>
          </w:p>
        </w:tc>
        <w:tc>
          <w:tcPr>
            <w:tcW w:w="980" w:type="dxa"/>
            <w:vAlign w:val="bottom"/>
            <w:shd w:val="clear" w:color="auto" w:fill="E8EEF7"/>
          </w:tcPr>
          <w:p>
            <w:pPr>
              <w:spacing w:after="0"/>
              <w:rPr>
                <w:sz w:val="16"/>
                <w:szCs w:val="16"/>
                <w:color w:val="auto"/>
              </w:rPr>
            </w:pPr>
          </w:p>
        </w:tc>
        <w:tc>
          <w:tcPr>
            <w:tcW w:w="520" w:type="dxa"/>
            <w:vAlign w:val="bottom"/>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 w:type="dxa"/>
            <w:vAlign w:val="bottom"/>
            <w:shd w:val="clear" w:color="auto" w:fill="E8EEF7"/>
          </w:tcPr>
          <w:p>
            <w:pPr>
              <w:spacing w:after="0"/>
              <w:rPr>
                <w:sz w:val="12"/>
                <w:szCs w:val="12"/>
                <w:color w:val="auto"/>
              </w:rPr>
            </w:pPr>
          </w:p>
        </w:tc>
        <w:tc>
          <w:tcPr>
            <w:tcW w:w="6220" w:type="dxa"/>
            <w:vAlign w:val="bottom"/>
            <w:vMerge w:val="continue"/>
            <w:shd w:val="clear" w:color="auto" w:fill="E8EEF7"/>
          </w:tcPr>
          <w:p>
            <w:pPr>
              <w:spacing w:after="0"/>
              <w:rPr>
                <w:sz w:val="12"/>
                <w:szCs w:val="12"/>
                <w:color w:val="auto"/>
              </w:rPr>
            </w:pPr>
          </w:p>
        </w:tc>
        <w:tc>
          <w:tcPr>
            <w:tcW w:w="420" w:type="dxa"/>
            <w:vAlign w:val="bottom"/>
            <w:shd w:val="clear" w:color="auto" w:fill="E8EEF7"/>
          </w:tcPr>
          <w:p>
            <w:pPr>
              <w:spacing w:after="0"/>
              <w:rPr>
                <w:sz w:val="12"/>
                <w:szCs w:val="12"/>
                <w:color w:val="auto"/>
              </w:rPr>
            </w:pPr>
          </w:p>
        </w:tc>
        <w:tc>
          <w:tcPr>
            <w:tcW w:w="360" w:type="dxa"/>
            <w:vAlign w:val="bottom"/>
            <w:shd w:val="clear" w:color="auto" w:fill="E8EEF7"/>
          </w:tcPr>
          <w:p>
            <w:pPr>
              <w:spacing w:after="0"/>
              <w:rPr>
                <w:sz w:val="12"/>
                <w:szCs w:val="12"/>
                <w:color w:val="auto"/>
              </w:rPr>
            </w:pPr>
          </w:p>
        </w:tc>
        <w:tc>
          <w:tcPr>
            <w:tcW w:w="740" w:type="dxa"/>
            <w:vAlign w:val="bottom"/>
            <w:shd w:val="clear" w:color="auto" w:fill="E8EEF7"/>
          </w:tcPr>
          <w:p>
            <w:pPr>
              <w:spacing w:after="0"/>
              <w:rPr>
                <w:sz w:val="12"/>
                <w:szCs w:val="12"/>
                <w:color w:val="auto"/>
              </w:rPr>
            </w:pPr>
          </w:p>
        </w:tc>
        <w:tc>
          <w:tcPr>
            <w:tcW w:w="160" w:type="dxa"/>
            <w:vAlign w:val="bottom"/>
            <w:shd w:val="clear" w:color="auto" w:fill="E8EEF7"/>
          </w:tcPr>
          <w:p>
            <w:pPr>
              <w:spacing w:after="0"/>
              <w:rPr>
                <w:sz w:val="12"/>
                <w:szCs w:val="12"/>
                <w:color w:val="auto"/>
              </w:rPr>
            </w:pPr>
          </w:p>
        </w:tc>
        <w:tc>
          <w:tcPr>
            <w:tcW w:w="360" w:type="dxa"/>
            <w:vAlign w:val="bottom"/>
            <w:shd w:val="clear" w:color="auto" w:fill="E8EEF7"/>
          </w:tcPr>
          <w:p>
            <w:pPr>
              <w:spacing w:after="0"/>
              <w:rPr>
                <w:sz w:val="12"/>
                <w:szCs w:val="12"/>
                <w:color w:val="auto"/>
              </w:rPr>
            </w:pPr>
          </w:p>
        </w:tc>
        <w:tc>
          <w:tcPr>
            <w:tcW w:w="780" w:type="dxa"/>
            <w:vAlign w:val="bottom"/>
            <w:shd w:val="clear" w:color="auto" w:fill="E8EEF7"/>
          </w:tcPr>
          <w:p>
            <w:pPr>
              <w:spacing w:after="0"/>
              <w:rPr>
                <w:sz w:val="12"/>
                <w:szCs w:val="12"/>
                <w:color w:val="auto"/>
              </w:rPr>
            </w:pPr>
          </w:p>
        </w:tc>
        <w:tc>
          <w:tcPr>
            <w:tcW w:w="980" w:type="dxa"/>
            <w:vAlign w:val="bottom"/>
            <w:shd w:val="clear" w:color="auto" w:fill="E8EEF7"/>
          </w:tcPr>
          <w:p>
            <w:pPr>
              <w:spacing w:after="0"/>
              <w:rPr>
                <w:sz w:val="12"/>
                <w:szCs w:val="12"/>
                <w:color w:val="auto"/>
              </w:rPr>
            </w:pPr>
          </w:p>
        </w:tc>
        <w:tc>
          <w:tcPr>
            <w:tcW w:w="520" w:type="dxa"/>
            <w:vAlign w:val="bottom"/>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00" w:type="dxa"/>
            <w:vAlign w:val="bottom"/>
            <w:tcBorders>
              <w:bottom w:val="single" w:sz="8" w:color="auto"/>
            </w:tcBorders>
            <w:shd w:val="clear" w:color="auto" w:fill="E8EEF7"/>
          </w:tcPr>
          <w:p>
            <w:pPr>
              <w:spacing w:after="0"/>
              <w:rPr>
                <w:sz w:val="17"/>
                <w:szCs w:val="17"/>
                <w:color w:val="auto"/>
              </w:rPr>
            </w:pPr>
          </w:p>
        </w:tc>
        <w:tc>
          <w:tcPr>
            <w:tcW w:w="6220" w:type="dxa"/>
            <w:vAlign w:val="bottom"/>
            <w:tcBorders>
              <w:bottom w:val="single" w:sz="8" w:color="auto"/>
            </w:tcBorders>
            <w:shd w:val="clear" w:color="auto" w:fill="E8EEF7"/>
          </w:tcPr>
          <w:p>
            <w:pPr>
              <w:spacing w:after="0"/>
              <w:rPr>
                <w:sz w:val="17"/>
                <w:szCs w:val="17"/>
                <w:color w:val="auto"/>
              </w:rPr>
            </w:pPr>
          </w:p>
        </w:tc>
        <w:tc>
          <w:tcPr>
            <w:tcW w:w="420" w:type="dxa"/>
            <w:vAlign w:val="bottom"/>
            <w:tcBorders>
              <w:bottom w:val="single" w:sz="8" w:color="auto"/>
            </w:tcBorders>
            <w:shd w:val="clear" w:color="auto" w:fill="E8EEF7"/>
          </w:tcPr>
          <w:p>
            <w:pPr>
              <w:spacing w:after="0"/>
              <w:rPr>
                <w:sz w:val="17"/>
                <w:szCs w:val="17"/>
                <w:color w:val="auto"/>
              </w:rPr>
            </w:pPr>
          </w:p>
        </w:tc>
        <w:tc>
          <w:tcPr>
            <w:tcW w:w="360" w:type="dxa"/>
            <w:vAlign w:val="bottom"/>
            <w:tcBorders>
              <w:bottom w:val="single" w:sz="8" w:color="auto"/>
            </w:tcBorders>
            <w:shd w:val="clear" w:color="auto" w:fill="E8EEF7"/>
          </w:tcPr>
          <w:p>
            <w:pPr>
              <w:spacing w:after="0"/>
              <w:rPr>
                <w:sz w:val="17"/>
                <w:szCs w:val="17"/>
                <w:color w:val="auto"/>
              </w:rPr>
            </w:pPr>
          </w:p>
        </w:tc>
        <w:tc>
          <w:tcPr>
            <w:tcW w:w="740" w:type="dxa"/>
            <w:vAlign w:val="bottom"/>
            <w:tcBorders>
              <w:bottom w:val="single" w:sz="8" w:color="auto"/>
            </w:tcBorders>
            <w:shd w:val="clear" w:color="auto" w:fill="E8EEF7"/>
          </w:tcPr>
          <w:p>
            <w:pPr>
              <w:spacing w:after="0"/>
              <w:rPr>
                <w:sz w:val="17"/>
                <w:szCs w:val="17"/>
                <w:color w:val="auto"/>
              </w:rPr>
            </w:pPr>
          </w:p>
        </w:tc>
        <w:tc>
          <w:tcPr>
            <w:tcW w:w="160" w:type="dxa"/>
            <w:vAlign w:val="bottom"/>
            <w:tcBorders>
              <w:bottom w:val="single" w:sz="8" w:color="auto"/>
            </w:tcBorders>
            <w:shd w:val="clear" w:color="auto" w:fill="E8EEF7"/>
          </w:tcPr>
          <w:p>
            <w:pPr>
              <w:spacing w:after="0"/>
              <w:rPr>
                <w:sz w:val="17"/>
                <w:szCs w:val="17"/>
                <w:color w:val="auto"/>
              </w:rPr>
            </w:pPr>
          </w:p>
        </w:tc>
        <w:tc>
          <w:tcPr>
            <w:tcW w:w="360" w:type="dxa"/>
            <w:vAlign w:val="bottom"/>
            <w:tcBorders>
              <w:bottom w:val="single" w:sz="8" w:color="auto"/>
            </w:tcBorders>
            <w:shd w:val="clear" w:color="auto" w:fill="E8EEF7"/>
          </w:tcPr>
          <w:p>
            <w:pPr>
              <w:spacing w:after="0"/>
              <w:rPr>
                <w:sz w:val="17"/>
                <w:szCs w:val="17"/>
                <w:color w:val="auto"/>
              </w:rPr>
            </w:pPr>
          </w:p>
        </w:tc>
        <w:tc>
          <w:tcPr>
            <w:tcW w:w="780" w:type="dxa"/>
            <w:vAlign w:val="bottom"/>
            <w:tcBorders>
              <w:bottom w:val="single" w:sz="8" w:color="auto"/>
            </w:tcBorders>
            <w:shd w:val="clear" w:color="auto" w:fill="E8EEF7"/>
          </w:tcPr>
          <w:p>
            <w:pPr>
              <w:spacing w:after="0"/>
              <w:rPr>
                <w:sz w:val="17"/>
                <w:szCs w:val="17"/>
                <w:color w:val="auto"/>
              </w:rPr>
            </w:pPr>
          </w:p>
        </w:tc>
        <w:tc>
          <w:tcPr>
            <w:tcW w:w="980" w:type="dxa"/>
            <w:vAlign w:val="bottom"/>
            <w:tcBorders>
              <w:bottom w:val="single" w:sz="8" w:color="auto"/>
            </w:tcBorders>
            <w:shd w:val="clear" w:color="auto" w:fill="E8EEF7"/>
          </w:tcPr>
          <w:p>
            <w:pPr>
              <w:spacing w:after="0"/>
              <w:rPr>
                <w:sz w:val="17"/>
                <w:szCs w:val="17"/>
                <w:color w:val="auto"/>
              </w:rPr>
            </w:pPr>
          </w:p>
        </w:tc>
        <w:tc>
          <w:tcPr>
            <w:tcW w:w="520" w:type="dxa"/>
            <w:vAlign w:val="bottom"/>
            <w:tcBorders>
              <w:bottom w:val="single" w:sz="8" w:color="auto"/>
            </w:tcBorders>
            <w:shd w:val="clear" w:color="auto" w:fill="E8EEF7"/>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00" w:type="dxa"/>
            <w:vAlign w:val="bottom"/>
            <w:shd w:val="clear" w:color="auto" w:fill="E8EEF7"/>
          </w:tcPr>
          <w:p>
            <w:pPr>
              <w:spacing w:after="0"/>
              <w:rPr>
                <w:sz w:val="24"/>
                <w:szCs w:val="24"/>
                <w:color w:val="auto"/>
              </w:rPr>
            </w:pPr>
          </w:p>
        </w:tc>
        <w:tc>
          <w:tcPr>
            <w:tcW w:w="6220" w:type="dxa"/>
            <w:vAlign w:val="bottom"/>
            <w:shd w:val="clear" w:color="auto" w:fill="E8EEF7"/>
          </w:tcPr>
          <w:p>
            <w:pPr>
              <w:ind w:left="20"/>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color w:val="706F6F"/>
              </w:rPr>
              <w:t>Independent</w:t>
            </w:r>
          </w:p>
        </w:tc>
        <w:tc>
          <w:tcPr>
            <w:tcW w:w="420" w:type="dxa"/>
            <w:vAlign w:val="bottom"/>
            <w:vMerge w:val="restart"/>
            <w:shd w:val="clear" w:color="auto" w:fill="E8EEF7"/>
          </w:tcPr>
          <w:p>
            <w:pPr>
              <w:jc w:val="center"/>
              <w:ind w:left="161"/>
              <w:spacing w:after="0"/>
              <w:rPr>
                <w:sz w:val="20"/>
                <w:szCs w:val="20"/>
                <w:color w:val="auto"/>
              </w:rPr>
            </w:pPr>
            <w:r>
              <w:rPr>
                <w:rFonts w:ascii="Arial" w:cs="Arial" w:eastAsia="Arial" w:hAnsi="Arial"/>
                <w:sz w:val="16"/>
                <w:szCs w:val="16"/>
                <w:color w:val="auto"/>
              </w:rPr>
              <w:t>66</w:t>
            </w:r>
          </w:p>
        </w:tc>
        <w:tc>
          <w:tcPr>
            <w:tcW w:w="360" w:type="dxa"/>
            <w:vAlign w:val="bottom"/>
            <w:shd w:val="clear" w:color="auto" w:fill="E8EEF7"/>
          </w:tcPr>
          <w:p>
            <w:pPr>
              <w:spacing w:after="0"/>
              <w:rPr>
                <w:sz w:val="24"/>
                <w:szCs w:val="24"/>
                <w:color w:val="auto"/>
              </w:rPr>
            </w:pPr>
          </w:p>
        </w:tc>
        <w:tc>
          <w:tcPr>
            <w:tcW w:w="740" w:type="dxa"/>
            <w:vAlign w:val="bottom"/>
            <w:vMerge w:val="restart"/>
            <w:shd w:val="clear" w:color="auto" w:fill="E8EEF7"/>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E8EEF7"/>
          </w:tcPr>
          <w:p>
            <w:pPr>
              <w:spacing w:after="0"/>
              <w:rPr>
                <w:sz w:val="24"/>
                <w:szCs w:val="24"/>
                <w:color w:val="auto"/>
              </w:rPr>
            </w:pPr>
          </w:p>
        </w:tc>
        <w:tc>
          <w:tcPr>
            <w:tcW w:w="360" w:type="dxa"/>
            <w:vAlign w:val="bottom"/>
            <w:shd w:val="clear" w:color="auto" w:fill="E8EEF7"/>
          </w:tcPr>
          <w:p>
            <w:pPr>
              <w:spacing w:after="0"/>
              <w:rPr>
                <w:sz w:val="24"/>
                <w:szCs w:val="24"/>
                <w:color w:val="auto"/>
              </w:rPr>
            </w:pPr>
          </w:p>
        </w:tc>
        <w:tc>
          <w:tcPr>
            <w:tcW w:w="780" w:type="dxa"/>
            <w:vAlign w:val="bottom"/>
            <w:shd w:val="clear" w:color="auto" w:fill="E8EEF7"/>
          </w:tcPr>
          <w:p>
            <w:pPr>
              <w:spacing w:after="0"/>
              <w:rPr>
                <w:sz w:val="24"/>
                <w:szCs w:val="24"/>
                <w:color w:val="auto"/>
              </w:rPr>
            </w:pPr>
          </w:p>
        </w:tc>
        <w:tc>
          <w:tcPr>
            <w:tcW w:w="980" w:type="dxa"/>
            <w:vAlign w:val="bottom"/>
            <w:shd w:val="clear" w:color="auto" w:fill="E8EEF7"/>
          </w:tcPr>
          <w:p>
            <w:pPr>
              <w:spacing w:after="0"/>
              <w:rPr>
                <w:sz w:val="24"/>
                <w:szCs w:val="24"/>
                <w:color w:val="auto"/>
              </w:rPr>
            </w:pPr>
          </w:p>
        </w:tc>
        <w:tc>
          <w:tcPr>
            <w:tcW w:w="520" w:type="dxa"/>
            <w:vAlign w:val="bottom"/>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E8EEF7"/>
          </w:tcPr>
          <w:p>
            <w:pPr>
              <w:spacing w:after="0"/>
              <w:rPr>
                <w:sz w:val="10"/>
                <w:szCs w:val="10"/>
                <w:color w:val="auto"/>
              </w:rPr>
            </w:pPr>
          </w:p>
        </w:tc>
        <w:tc>
          <w:tcPr>
            <w:tcW w:w="622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Former Chief Executive Officer, Swan Hills Synfuels LP</w:t>
            </w:r>
          </w:p>
        </w:tc>
        <w:tc>
          <w:tcPr>
            <w:tcW w:w="420" w:type="dxa"/>
            <w:vAlign w:val="bottom"/>
            <w:vMerge w:val="continue"/>
            <w:shd w:val="clear" w:color="auto" w:fill="E8EEF7"/>
          </w:tcPr>
          <w:p>
            <w:pPr>
              <w:spacing w:after="0"/>
              <w:rPr>
                <w:sz w:val="10"/>
                <w:szCs w:val="10"/>
                <w:color w:val="auto"/>
              </w:rPr>
            </w:pPr>
          </w:p>
        </w:tc>
        <w:tc>
          <w:tcPr>
            <w:tcW w:w="360" w:type="dxa"/>
            <w:vAlign w:val="bottom"/>
            <w:shd w:val="clear" w:color="auto" w:fill="E8EEF7"/>
          </w:tcPr>
          <w:p>
            <w:pPr>
              <w:spacing w:after="0"/>
              <w:rPr>
                <w:sz w:val="10"/>
                <w:szCs w:val="10"/>
                <w:color w:val="auto"/>
              </w:rPr>
            </w:pPr>
          </w:p>
        </w:tc>
        <w:tc>
          <w:tcPr>
            <w:tcW w:w="740" w:type="dxa"/>
            <w:vAlign w:val="bottom"/>
            <w:vMerge w:val="continue"/>
            <w:shd w:val="clear" w:color="auto" w:fill="E8EEF7"/>
          </w:tcPr>
          <w:p>
            <w:pPr>
              <w:spacing w:after="0"/>
              <w:rPr>
                <w:sz w:val="10"/>
                <w:szCs w:val="10"/>
                <w:color w:val="auto"/>
              </w:rPr>
            </w:pPr>
          </w:p>
        </w:tc>
        <w:tc>
          <w:tcPr>
            <w:tcW w:w="160" w:type="dxa"/>
            <w:vAlign w:val="bottom"/>
            <w:shd w:val="clear" w:color="auto" w:fill="E8EEF7"/>
          </w:tcPr>
          <w:p>
            <w:pPr>
              <w:spacing w:after="0"/>
              <w:rPr>
                <w:sz w:val="10"/>
                <w:szCs w:val="10"/>
                <w:color w:val="auto"/>
              </w:rPr>
            </w:pPr>
          </w:p>
        </w:tc>
        <w:tc>
          <w:tcPr>
            <w:tcW w:w="360" w:type="dxa"/>
            <w:vAlign w:val="bottom"/>
            <w:shd w:val="clear" w:color="auto" w:fill="E8EEF7"/>
          </w:tcPr>
          <w:p>
            <w:pPr>
              <w:spacing w:after="0"/>
              <w:rPr>
                <w:sz w:val="10"/>
                <w:szCs w:val="10"/>
                <w:color w:val="auto"/>
              </w:rPr>
            </w:pPr>
          </w:p>
        </w:tc>
        <w:tc>
          <w:tcPr>
            <w:tcW w:w="780" w:type="dxa"/>
            <w:vAlign w:val="bottom"/>
            <w:shd w:val="clear" w:color="auto" w:fill="E8EEF7"/>
          </w:tcPr>
          <w:p>
            <w:pPr>
              <w:spacing w:after="0"/>
              <w:rPr>
                <w:sz w:val="10"/>
                <w:szCs w:val="10"/>
                <w:color w:val="auto"/>
              </w:rPr>
            </w:pPr>
          </w:p>
        </w:tc>
        <w:tc>
          <w:tcPr>
            <w:tcW w:w="980" w:type="dxa"/>
            <w:vAlign w:val="bottom"/>
            <w:shd w:val="clear" w:color="auto" w:fill="E8EEF7"/>
          </w:tcPr>
          <w:p>
            <w:pPr>
              <w:spacing w:after="0"/>
              <w:rPr>
                <w:sz w:val="10"/>
                <w:szCs w:val="10"/>
                <w:color w:val="auto"/>
              </w:rPr>
            </w:pPr>
          </w:p>
        </w:tc>
        <w:tc>
          <w:tcPr>
            <w:tcW w:w="520" w:type="dxa"/>
            <w:vAlign w:val="bottom"/>
            <w:shd w:val="clear" w:color="auto" w:fill="E8EEF7"/>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E8EEF7"/>
          </w:tcPr>
          <w:p>
            <w:pPr>
              <w:spacing w:after="0"/>
              <w:rPr>
                <w:sz w:val="8"/>
                <w:szCs w:val="8"/>
                <w:color w:val="auto"/>
              </w:rPr>
            </w:pPr>
          </w:p>
        </w:tc>
        <w:tc>
          <w:tcPr>
            <w:tcW w:w="6220" w:type="dxa"/>
            <w:vAlign w:val="bottom"/>
            <w:vMerge w:val="continue"/>
            <w:shd w:val="clear" w:color="auto" w:fill="E8EEF7"/>
          </w:tcPr>
          <w:p>
            <w:pPr>
              <w:spacing w:after="0"/>
              <w:rPr>
                <w:sz w:val="8"/>
                <w:szCs w:val="8"/>
                <w:color w:val="auto"/>
              </w:rPr>
            </w:pPr>
          </w:p>
        </w:tc>
        <w:tc>
          <w:tcPr>
            <w:tcW w:w="420" w:type="dxa"/>
            <w:vAlign w:val="bottom"/>
            <w:shd w:val="clear" w:color="auto" w:fill="E8EEF7"/>
          </w:tcPr>
          <w:p>
            <w:pPr>
              <w:spacing w:after="0"/>
              <w:rPr>
                <w:sz w:val="8"/>
                <w:szCs w:val="8"/>
                <w:color w:val="auto"/>
              </w:rPr>
            </w:pPr>
          </w:p>
        </w:tc>
        <w:tc>
          <w:tcPr>
            <w:tcW w:w="360" w:type="dxa"/>
            <w:vAlign w:val="bottom"/>
            <w:shd w:val="clear" w:color="auto" w:fill="E8EEF7"/>
          </w:tcPr>
          <w:p>
            <w:pPr>
              <w:spacing w:after="0"/>
              <w:rPr>
                <w:sz w:val="8"/>
                <w:szCs w:val="8"/>
                <w:color w:val="auto"/>
              </w:rPr>
            </w:pPr>
          </w:p>
        </w:tc>
        <w:tc>
          <w:tcPr>
            <w:tcW w:w="740" w:type="dxa"/>
            <w:vAlign w:val="bottom"/>
            <w:shd w:val="clear" w:color="auto" w:fill="E8EEF7"/>
          </w:tcPr>
          <w:p>
            <w:pPr>
              <w:spacing w:after="0"/>
              <w:rPr>
                <w:sz w:val="8"/>
                <w:szCs w:val="8"/>
                <w:color w:val="auto"/>
              </w:rPr>
            </w:pPr>
          </w:p>
        </w:tc>
        <w:tc>
          <w:tcPr>
            <w:tcW w:w="160" w:type="dxa"/>
            <w:vAlign w:val="bottom"/>
            <w:shd w:val="clear" w:color="auto" w:fill="E8EEF7"/>
          </w:tcPr>
          <w:p>
            <w:pPr>
              <w:spacing w:after="0"/>
              <w:rPr>
                <w:sz w:val="8"/>
                <w:szCs w:val="8"/>
                <w:color w:val="auto"/>
              </w:rPr>
            </w:pPr>
          </w:p>
        </w:tc>
        <w:tc>
          <w:tcPr>
            <w:tcW w:w="360" w:type="dxa"/>
            <w:vAlign w:val="bottom"/>
            <w:shd w:val="clear" w:color="auto" w:fill="E8EEF7"/>
          </w:tcPr>
          <w:p>
            <w:pPr>
              <w:spacing w:after="0"/>
              <w:rPr>
                <w:sz w:val="8"/>
                <w:szCs w:val="8"/>
                <w:color w:val="auto"/>
              </w:rPr>
            </w:pPr>
          </w:p>
        </w:tc>
        <w:tc>
          <w:tcPr>
            <w:tcW w:w="780" w:type="dxa"/>
            <w:vAlign w:val="bottom"/>
            <w:shd w:val="clear" w:color="auto" w:fill="E8EEF7"/>
          </w:tcPr>
          <w:p>
            <w:pPr>
              <w:spacing w:after="0"/>
              <w:rPr>
                <w:sz w:val="8"/>
                <w:szCs w:val="8"/>
                <w:color w:val="auto"/>
              </w:rPr>
            </w:pPr>
          </w:p>
        </w:tc>
        <w:tc>
          <w:tcPr>
            <w:tcW w:w="980" w:type="dxa"/>
            <w:vAlign w:val="bottom"/>
            <w:shd w:val="clear" w:color="auto" w:fill="E8EEF7"/>
          </w:tcPr>
          <w:p>
            <w:pPr>
              <w:spacing w:after="0"/>
              <w:rPr>
                <w:sz w:val="8"/>
                <w:szCs w:val="8"/>
                <w:color w:val="auto"/>
              </w:rPr>
            </w:pPr>
          </w:p>
        </w:tc>
        <w:tc>
          <w:tcPr>
            <w:tcW w:w="520" w:type="dxa"/>
            <w:vAlign w:val="bottom"/>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E8EEF7"/>
          </w:tcPr>
          <w:p>
            <w:pPr>
              <w:spacing w:after="0"/>
              <w:rPr>
                <w:sz w:val="9"/>
                <w:szCs w:val="9"/>
                <w:color w:val="auto"/>
              </w:rPr>
            </w:pPr>
          </w:p>
        </w:tc>
        <w:tc>
          <w:tcPr>
            <w:tcW w:w="6220" w:type="dxa"/>
            <w:vAlign w:val="bottom"/>
            <w:tcBorders>
              <w:bottom w:val="single" w:sz="8" w:color="auto"/>
            </w:tcBorders>
            <w:shd w:val="clear" w:color="auto" w:fill="E8EEF7"/>
          </w:tcPr>
          <w:p>
            <w:pPr>
              <w:spacing w:after="0"/>
              <w:rPr>
                <w:sz w:val="9"/>
                <w:szCs w:val="9"/>
                <w:color w:val="auto"/>
              </w:rPr>
            </w:pPr>
          </w:p>
        </w:tc>
        <w:tc>
          <w:tcPr>
            <w:tcW w:w="420" w:type="dxa"/>
            <w:vAlign w:val="bottom"/>
            <w:tcBorders>
              <w:bottom w:val="single" w:sz="8" w:color="auto"/>
            </w:tcBorders>
            <w:shd w:val="clear" w:color="auto" w:fill="E8EEF7"/>
          </w:tcPr>
          <w:p>
            <w:pPr>
              <w:spacing w:after="0"/>
              <w:rPr>
                <w:sz w:val="9"/>
                <w:szCs w:val="9"/>
                <w:color w:val="auto"/>
              </w:rPr>
            </w:pPr>
          </w:p>
        </w:tc>
        <w:tc>
          <w:tcPr>
            <w:tcW w:w="360" w:type="dxa"/>
            <w:vAlign w:val="bottom"/>
            <w:tcBorders>
              <w:bottom w:val="single" w:sz="8" w:color="auto"/>
            </w:tcBorders>
            <w:shd w:val="clear" w:color="auto" w:fill="E8EEF7"/>
          </w:tcPr>
          <w:p>
            <w:pPr>
              <w:spacing w:after="0"/>
              <w:rPr>
                <w:sz w:val="9"/>
                <w:szCs w:val="9"/>
                <w:color w:val="auto"/>
              </w:rPr>
            </w:pPr>
          </w:p>
        </w:tc>
        <w:tc>
          <w:tcPr>
            <w:tcW w:w="740" w:type="dxa"/>
            <w:vAlign w:val="bottom"/>
            <w:tcBorders>
              <w:bottom w:val="single" w:sz="8" w:color="auto"/>
            </w:tcBorders>
            <w:shd w:val="clear" w:color="auto" w:fill="E8EEF7"/>
          </w:tcPr>
          <w:p>
            <w:pPr>
              <w:spacing w:after="0"/>
              <w:rPr>
                <w:sz w:val="9"/>
                <w:szCs w:val="9"/>
                <w:color w:val="auto"/>
              </w:rPr>
            </w:pPr>
          </w:p>
        </w:tc>
        <w:tc>
          <w:tcPr>
            <w:tcW w:w="160" w:type="dxa"/>
            <w:vAlign w:val="bottom"/>
            <w:tcBorders>
              <w:bottom w:val="single" w:sz="8" w:color="auto"/>
            </w:tcBorders>
            <w:shd w:val="clear" w:color="auto" w:fill="E8EEF7"/>
          </w:tcPr>
          <w:p>
            <w:pPr>
              <w:spacing w:after="0"/>
              <w:rPr>
                <w:sz w:val="9"/>
                <w:szCs w:val="9"/>
                <w:color w:val="auto"/>
              </w:rPr>
            </w:pPr>
          </w:p>
        </w:tc>
        <w:tc>
          <w:tcPr>
            <w:tcW w:w="360" w:type="dxa"/>
            <w:vAlign w:val="bottom"/>
            <w:tcBorders>
              <w:bottom w:val="single" w:sz="8" w:color="auto"/>
            </w:tcBorders>
            <w:shd w:val="clear" w:color="auto" w:fill="E8EEF7"/>
          </w:tcPr>
          <w:p>
            <w:pPr>
              <w:spacing w:after="0"/>
              <w:rPr>
                <w:sz w:val="9"/>
                <w:szCs w:val="9"/>
                <w:color w:val="auto"/>
              </w:rPr>
            </w:pPr>
          </w:p>
        </w:tc>
        <w:tc>
          <w:tcPr>
            <w:tcW w:w="780" w:type="dxa"/>
            <w:vAlign w:val="bottom"/>
            <w:tcBorders>
              <w:bottom w:val="single" w:sz="8" w:color="auto"/>
            </w:tcBorders>
            <w:shd w:val="clear" w:color="auto" w:fill="E8EEF7"/>
          </w:tcPr>
          <w:p>
            <w:pPr>
              <w:spacing w:after="0"/>
              <w:rPr>
                <w:sz w:val="9"/>
                <w:szCs w:val="9"/>
                <w:color w:val="auto"/>
              </w:rPr>
            </w:pPr>
          </w:p>
        </w:tc>
        <w:tc>
          <w:tcPr>
            <w:tcW w:w="980" w:type="dxa"/>
            <w:vAlign w:val="bottom"/>
            <w:tcBorders>
              <w:bottom w:val="single" w:sz="8" w:color="auto"/>
            </w:tcBorders>
            <w:shd w:val="clear" w:color="auto" w:fill="E8EEF7"/>
          </w:tcPr>
          <w:p>
            <w:pPr>
              <w:spacing w:after="0"/>
              <w:rPr>
                <w:sz w:val="9"/>
                <w:szCs w:val="9"/>
                <w:color w:val="auto"/>
              </w:rPr>
            </w:pPr>
          </w:p>
        </w:tc>
        <w:tc>
          <w:tcPr>
            <w:tcW w:w="520" w:type="dxa"/>
            <w:vAlign w:val="bottom"/>
            <w:tcBorders>
              <w:bottom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shd w:val="clear" w:color="auto" w:fill="E8EEF7"/>
          </w:tcPr>
          <w:p>
            <w:pPr>
              <w:spacing w:after="0"/>
              <w:rPr>
                <w:sz w:val="24"/>
                <w:szCs w:val="24"/>
                <w:color w:val="auto"/>
              </w:rPr>
            </w:pPr>
          </w:p>
        </w:tc>
        <w:tc>
          <w:tcPr>
            <w:tcW w:w="6220" w:type="dxa"/>
            <w:vAlign w:val="bottom"/>
            <w:shd w:val="clear" w:color="auto" w:fill="E8EEF7"/>
          </w:tcPr>
          <w:p>
            <w:pPr>
              <w:ind w:left="20"/>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color w:val="706F6F"/>
              </w:rPr>
              <w:t>Independent</w:t>
            </w:r>
          </w:p>
        </w:tc>
        <w:tc>
          <w:tcPr>
            <w:tcW w:w="420" w:type="dxa"/>
            <w:vAlign w:val="bottom"/>
            <w:vMerge w:val="restart"/>
            <w:shd w:val="clear" w:color="auto" w:fill="E8EEF7"/>
          </w:tcPr>
          <w:p>
            <w:pPr>
              <w:jc w:val="center"/>
              <w:ind w:left="161"/>
              <w:spacing w:after="0"/>
              <w:rPr>
                <w:sz w:val="20"/>
                <w:szCs w:val="20"/>
                <w:color w:val="auto"/>
              </w:rPr>
            </w:pPr>
            <w:r>
              <w:rPr>
                <w:rFonts w:ascii="Arial" w:cs="Arial" w:eastAsia="Arial" w:hAnsi="Arial"/>
                <w:sz w:val="16"/>
                <w:szCs w:val="16"/>
                <w:color w:val="auto"/>
              </w:rPr>
              <w:t>66</w:t>
            </w:r>
          </w:p>
        </w:tc>
        <w:tc>
          <w:tcPr>
            <w:tcW w:w="360" w:type="dxa"/>
            <w:vAlign w:val="bottom"/>
            <w:shd w:val="clear" w:color="auto" w:fill="E8EEF7"/>
          </w:tcPr>
          <w:p>
            <w:pPr>
              <w:spacing w:after="0"/>
              <w:rPr>
                <w:sz w:val="24"/>
                <w:szCs w:val="24"/>
                <w:color w:val="auto"/>
              </w:rPr>
            </w:pPr>
          </w:p>
        </w:tc>
        <w:tc>
          <w:tcPr>
            <w:tcW w:w="740" w:type="dxa"/>
            <w:vAlign w:val="bottom"/>
            <w:vMerge w:val="restart"/>
            <w:shd w:val="clear" w:color="auto" w:fill="E8EEF7"/>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E8EEF7"/>
          </w:tcPr>
          <w:p>
            <w:pPr>
              <w:spacing w:after="0"/>
              <w:rPr>
                <w:sz w:val="24"/>
                <w:szCs w:val="24"/>
                <w:color w:val="auto"/>
              </w:rPr>
            </w:pPr>
          </w:p>
        </w:tc>
        <w:tc>
          <w:tcPr>
            <w:tcW w:w="360" w:type="dxa"/>
            <w:vAlign w:val="bottom"/>
            <w:shd w:val="clear" w:color="auto" w:fill="E8EEF7"/>
          </w:tcPr>
          <w:p>
            <w:pPr>
              <w:spacing w:after="0"/>
              <w:rPr>
                <w:sz w:val="24"/>
                <w:szCs w:val="24"/>
                <w:color w:val="auto"/>
              </w:rPr>
            </w:pPr>
          </w:p>
        </w:tc>
        <w:tc>
          <w:tcPr>
            <w:tcW w:w="780" w:type="dxa"/>
            <w:vAlign w:val="bottom"/>
            <w:shd w:val="clear" w:color="auto" w:fill="E8EEF7"/>
          </w:tcPr>
          <w:p>
            <w:pPr>
              <w:spacing w:after="0"/>
              <w:rPr>
                <w:sz w:val="24"/>
                <w:szCs w:val="24"/>
                <w:color w:val="auto"/>
              </w:rPr>
            </w:pPr>
          </w:p>
        </w:tc>
        <w:tc>
          <w:tcPr>
            <w:tcW w:w="980" w:type="dxa"/>
            <w:vAlign w:val="bottom"/>
            <w:shd w:val="clear" w:color="auto" w:fill="E8EEF7"/>
          </w:tcPr>
          <w:p>
            <w:pPr>
              <w:spacing w:after="0"/>
              <w:rPr>
                <w:sz w:val="24"/>
                <w:szCs w:val="24"/>
                <w:color w:val="auto"/>
              </w:rPr>
            </w:pPr>
          </w:p>
        </w:tc>
        <w:tc>
          <w:tcPr>
            <w:tcW w:w="520" w:type="dxa"/>
            <w:vAlign w:val="bottom"/>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E8EEF7"/>
          </w:tcPr>
          <w:p>
            <w:pPr>
              <w:spacing w:after="0"/>
              <w:rPr>
                <w:sz w:val="10"/>
                <w:szCs w:val="10"/>
                <w:color w:val="auto"/>
              </w:rPr>
            </w:pPr>
          </w:p>
        </w:tc>
        <w:tc>
          <w:tcPr>
            <w:tcW w:w="622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Former President and Chief Executive Officer, BRE Properties, Inc.</w:t>
            </w:r>
          </w:p>
        </w:tc>
        <w:tc>
          <w:tcPr>
            <w:tcW w:w="420" w:type="dxa"/>
            <w:vAlign w:val="bottom"/>
            <w:vMerge w:val="continue"/>
            <w:shd w:val="clear" w:color="auto" w:fill="E8EEF7"/>
          </w:tcPr>
          <w:p>
            <w:pPr>
              <w:spacing w:after="0"/>
              <w:rPr>
                <w:sz w:val="10"/>
                <w:szCs w:val="10"/>
                <w:color w:val="auto"/>
              </w:rPr>
            </w:pPr>
          </w:p>
        </w:tc>
        <w:tc>
          <w:tcPr>
            <w:tcW w:w="360" w:type="dxa"/>
            <w:vAlign w:val="bottom"/>
            <w:shd w:val="clear" w:color="auto" w:fill="E8EEF7"/>
          </w:tcPr>
          <w:p>
            <w:pPr>
              <w:spacing w:after="0"/>
              <w:rPr>
                <w:sz w:val="10"/>
                <w:szCs w:val="10"/>
                <w:color w:val="auto"/>
              </w:rPr>
            </w:pPr>
          </w:p>
        </w:tc>
        <w:tc>
          <w:tcPr>
            <w:tcW w:w="740" w:type="dxa"/>
            <w:vAlign w:val="bottom"/>
            <w:vMerge w:val="continue"/>
            <w:shd w:val="clear" w:color="auto" w:fill="E8EEF7"/>
          </w:tcPr>
          <w:p>
            <w:pPr>
              <w:spacing w:after="0"/>
              <w:rPr>
                <w:sz w:val="10"/>
                <w:szCs w:val="10"/>
                <w:color w:val="auto"/>
              </w:rPr>
            </w:pPr>
          </w:p>
        </w:tc>
        <w:tc>
          <w:tcPr>
            <w:tcW w:w="160" w:type="dxa"/>
            <w:vAlign w:val="bottom"/>
            <w:shd w:val="clear" w:color="auto" w:fill="E8EEF7"/>
          </w:tcPr>
          <w:p>
            <w:pPr>
              <w:spacing w:after="0"/>
              <w:rPr>
                <w:sz w:val="10"/>
                <w:szCs w:val="10"/>
                <w:color w:val="auto"/>
              </w:rPr>
            </w:pPr>
          </w:p>
        </w:tc>
        <w:tc>
          <w:tcPr>
            <w:tcW w:w="360" w:type="dxa"/>
            <w:vAlign w:val="bottom"/>
            <w:shd w:val="clear" w:color="auto" w:fill="E8EEF7"/>
          </w:tcPr>
          <w:p>
            <w:pPr>
              <w:spacing w:after="0"/>
              <w:rPr>
                <w:sz w:val="10"/>
                <w:szCs w:val="10"/>
                <w:color w:val="auto"/>
              </w:rPr>
            </w:pPr>
          </w:p>
        </w:tc>
        <w:tc>
          <w:tcPr>
            <w:tcW w:w="780" w:type="dxa"/>
            <w:vAlign w:val="bottom"/>
            <w:shd w:val="clear" w:color="auto" w:fill="E8EEF7"/>
          </w:tcPr>
          <w:p>
            <w:pPr>
              <w:spacing w:after="0"/>
              <w:rPr>
                <w:sz w:val="10"/>
                <w:szCs w:val="10"/>
                <w:color w:val="auto"/>
              </w:rPr>
            </w:pPr>
          </w:p>
        </w:tc>
        <w:tc>
          <w:tcPr>
            <w:tcW w:w="980" w:type="dxa"/>
            <w:vAlign w:val="bottom"/>
            <w:shd w:val="clear" w:color="auto" w:fill="E8EEF7"/>
          </w:tcPr>
          <w:p>
            <w:pPr>
              <w:spacing w:after="0"/>
              <w:rPr>
                <w:sz w:val="10"/>
                <w:szCs w:val="10"/>
                <w:color w:val="auto"/>
              </w:rPr>
            </w:pPr>
          </w:p>
        </w:tc>
        <w:tc>
          <w:tcPr>
            <w:tcW w:w="520" w:type="dxa"/>
            <w:vAlign w:val="bottom"/>
            <w:shd w:val="clear" w:color="auto" w:fill="E8EEF7"/>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shd w:val="clear" w:color="auto" w:fill="E8EEF7"/>
          </w:tcPr>
          <w:p>
            <w:pPr>
              <w:spacing w:after="0"/>
              <w:rPr>
                <w:sz w:val="8"/>
                <w:szCs w:val="8"/>
                <w:color w:val="auto"/>
              </w:rPr>
            </w:pPr>
          </w:p>
        </w:tc>
        <w:tc>
          <w:tcPr>
            <w:tcW w:w="6220" w:type="dxa"/>
            <w:vAlign w:val="bottom"/>
            <w:vMerge w:val="continue"/>
            <w:shd w:val="clear" w:color="auto" w:fill="E8EEF7"/>
          </w:tcPr>
          <w:p>
            <w:pPr>
              <w:spacing w:after="0"/>
              <w:rPr>
                <w:sz w:val="8"/>
                <w:szCs w:val="8"/>
                <w:color w:val="auto"/>
              </w:rPr>
            </w:pPr>
          </w:p>
        </w:tc>
        <w:tc>
          <w:tcPr>
            <w:tcW w:w="420" w:type="dxa"/>
            <w:vAlign w:val="bottom"/>
            <w:shd w:val="clear" w:color="auto" w:fill="E8EEF7"/>
          </w:tcPr>
          <w:p>
            <w:pPr>
              <w:spacing w:after="0"/>
              <w:rPr>
                <w:sz w:val="8"/>
                <w:szCs w:val="8"/>
                <w:color w:val="auto"/>
              </w:rPr>
            </w:pPr>
          </w:p>
        </w:tc>
        <w:tc>
          <w:tcPr>
            <w:tcW w:w="360" w:type="dxa"/>
            <w:vAlign w:val="bottom"/>
            <w:shd w:val="clear" w:color="auto" w:fill="E8EEF7"/>
          </w:tcPr>
          <w:p>
            <w:pPr>
              <w:spacing w:after="0"/>
              <w:rPr>
                <w:sz w:val="8"/>
                <w:szCs w:val="8"/>
                <w:color w:val="auto"/>
              </w:rPr>
            </w:pPr>
          </w:p>
        </w:tc>
        <w:tc>
          <w:tcPr>
            <w:tcW w:w="740" w:type="dxa"/>
            <w:vAlign w:val="bottom"/>
            <w:shd w:val="clear" w:color="auto" w:fill="E8EEF7"/>
          </w:tcPr>
          <w:p>
            <w:pPr>
              <w:spacing w:after="0"/>
              <w:rPr>
                <w:sz w:val="8"/>
                <w:szCs w:val="8"/>
                <w:color w:val="auto"/>
              </w:rPr>
            </w:pPr>
          </w:p>
        </w:tc>
        <w:tc>
          <w:tcPr>
            <w:tcW w:w="160" w:type="dxa"/>
            <w:vAlign w:val="bottom"/>
            <w:shd w:val="clear" w:color="auto" w:fill="E8EEF7"/>
          </w:tcPr>
          <w:p>
            <w:pPr>
              <w:spacing w:after="0"/>
              <w:rPr>
                <w:sz w:val="8"/>
                <w:szCs w:val="8"/>
                <w:color w:val="auto"/>
              </w:rPr>
            </w:pPr>
          </w:p>
        </w:tc>
        <w:tc>
          <w:tcPr>
            <w:tcW w:w="360" w:type="dxa"/>
            <w:vAlign w:val="bottom"/>
            <w:shd w:val="clear" w:color="auto" w:fill="E8EEF7"/>
          </w:tcPr>
          <w:p>
            <w:pPr>
              <w:spacing w:after="0"/>
              <w:rPr>
                <w:sz w:val="8"/>
                <w:szCs w:val="8"/>
                <w:color w:val="auto"/>
              </w:rPr>
            </w:pPr>
          </w:p>
        </w:tc>
        <w:tc>
          <w:tcPr>
            <w:tcW w:w="780" w:type="dxa"/>
            <w:vAlign w:val="bottom"/>
            <w:shd w:val="clear" w:color="auto" w:fill="E8EEF7"/>
          </w:tcPr>
          <w:p>
            <w:pPr>
              <w:spacing w:after="0"/>
              <w:rPr>
                <w:sz w:val="8"/>
                <w:szCs w:val="8"/>
                <w:color w:val="auto"/>
              </w:rPr>
            </w:pPr>
          </w:p>
        </w:tc>
        <w:tc>
          <w:tcPr>
            <w:tcW w:w="980" w:type="dxa"/>
            <w:vAlign w:val="bottom"/>
            <w:shd w:val="clear" w:color="auto" w:fill="E8EEF7"/>
          </w:tcPr>
          <w:p>
            <w:pPr>
              <w:spacing w:after="0"/>
              <w:rPr>
                <w:sz w:val="8"/>
                <w:szCs w:val="8"/>
                <w:color w:val="auto"/>
              </w:rPr>
            </w:pPr>
          </w:p>
        </w:tc>
        <w:tc>
          <w:tcPr>
            <w:tcW w:w="520" w:type="dxa"/>
            <w:vAlign w:val="bottom"/>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E8EEF7"/>
          </w:tcPr>
          <w:p>
            <w:pPr>
              <w:spacing w:after="0"/>
              <w:rPr>
                <w:sz w:val="9"/>
                <w:szCs w:val="9"/>
                <w:color w:val="auto"/>
              </w:rPr>
            </w:pPr>
          </w:p>
        </w:tc>
        <w:tc>
          <w:tcPr>
            <w:tcW w:w="6220" w:type="dxa"/>
            <w:vAlign w:val="bottom"/>
            <w:tcBorders>
              <w:bottom w:val="single" w:sz="8" w:color="auto"/>
            </w:tcBorders>
            <w:shd w:val="clear" w:color="auto" w:fill="E8EEF7"/>
          </w:tcPr>
          <w:p>
            <w:pPr>
              <w:spacing w:after="0"/>
              <w:rPr>
                <w:sz w:val="9"/>
                <w:szCs w:val="9"/>
                <w:color w:val="auto"/>
              </w:rPr>
            </w:pPr>
          </w:p>
        </w:tc>
        <w:tc>
          <w:tcPr>
            <w:tcW w:w="420" w:type="dxa"/>
            <w:vAlign w:val="bottom"/>
            <w:tcBorders>
              <w:bottom w:val="single" w:sz="8" w:color="auto"/>
            </w:tcBorders>
            <w:shd w:val="clear" w:color="auto" w:fill="E8EEF7"/>
          </w:tcPr>
          <w:p>
            <w:pPr>
              <w:spacing w:after="0"/>
              <w:rPr>
                <w:sz w:val="9"/>
                <w:szCs w:val="9"/>
                <w:color w:val="auto"/>
              </w:rPr>
            </w:pPr>
          </w:p>
        </w:tc>
        <w:tc>
          <w:tcPr>
            <w:tcW w:w="360" w:type="dxa"/>
            <w:vAlign w:val="bottom"/>
            <w:tcBorders>
              <w:bottom w:val="single" w:sz="8" w:color="auto"/>
            </w:tcBorders>
            <w:shd w:val="clear" w:color="auto" w:fill="E8EEF7"/>
          </w:tcPr>
          <w:p>
            <w:pPr>
              <w:spacing w:after="0"/>
              <w:rPr>
                <w:sz w:val="9"/>
                <w:szCs w:val="9"/>
                <w:color w:val="auto"/>
              </w:rPr>
            </w:pPr>
          </w:p>
        </w:tc>
        <w:tc>
          <w:tcPr>
            <w:tcW w:w="740" w:type="dxa"/>
            <w:vAlign w:val="bottom"/>
            <w:tcBorders>
              <w:bottom w:val="single" w:sz="8" w:color="auto"/>
            </w:tcBorders>
            <w:shd w:val="clear" w:color="auto" w:fill="E8EEF7"/>
          </w:tcPr>
          <w:p>
            <w:pPr>
              <w:spacing w:after="0"/>
              <w:rPr>
                <w:sz w:val="9"/>
                <w:szCs w:val="9"/>
                <w:color w:val="auto"/>
              </w:rPr>
            </w:pPr>
          </w:p>
        </w:tc>
        <w:tc>
          <w:tcPr>
            <w:tcW w:w="160" w:type="dxa"/>
            <w:vAlign w:val="bottom"/>
            <w:tcBorders>
              <w:bottom w:val="single" w:sz="8" w:color="auto"/>
            </w:tcBorders>
            <w:shd w:val="clear" w:color="auto" w:fill="E8EEF7"/>
          </w:tcPr>
          <w:p>
            <w:pPr>
              <w:spacing w:after="0"/>
              <w:rPr>
                <w:sz w:val="9"/>
                <w:szCs w:val="9"/>
                <w:color w:val="auto"/>
              </w:rPr>
            </w:pPr>
          </w:p>
        </w:tc>
        <w:tc>
          <w:tcPr>
            <w:tcW w:w="360" w:type="dxa"/>
            <w:vAlign w:val="bottom"/>
            <w:tcBorders>
              <w:bottom w:val="single" w:sz="8" w:color="auto"/>
            </w:tcBorders>
            <w:shd w:val="clear" w:color="auto" w:fill="E8EEF7"/>
          </w:tcPr>
          <w:p>
            <w:pPr>
              <w:spacing w:after="0"/>
              <w:rPr>
                <w:sz w:val="9"/>
                <w:szCs w:val="9"/>
                <w:color w:val="auto"/>
              </w:rPr>
            </w:pPr>
          </w:p>
        </w:tc>
        <w:tc>
          <w:tcPr>
            <w:tcW w:w="780" w:type="dxa"/>
            <w:vAlign w:val="bottom"/>
            <w:tcBorders>
              <w:bottom w:val="single" w:sz="8" w:color="auto"/>
            </w:tcBorders>
            <w:shd w:val="clear" w:color="auto" w:fill="E8EEF7"/>
          </w:tcPr>
          <w:p>
            <w:pPr>
              <w:spacing w:after="0"/>
              <w:rPr>
                <w:sz w:val="9"/>
                <w:szCs w:val="9"/>
                <w:color w:val="auto"/>
              </w:rPr>
            </w:pPr>
          </w:p>
        </w:tc>
        <w:tc>
          <w:tcPr>
            <w:tcW w:w="980" w:type="dxa"/>
            <w:vAlign w:val="bottom"/>
            <w:tcBorders>
              <w:bottom w:val="single" w:sz="8" w:color="auto"/>
            </w:tcBorders>
            <w:shd w:val="clear" w:color="auto" w:fill="E8EEF7"/>
          </w:tcPr>
          <w:p>
            <w:pPr>
              <w:spacing w:after="0"/>
              <w:rPr>
                <w:sz w:val="9"/>
                <w:szCs w:val="9"/>
                <w:color w:val="auto"/>
              </w:rPr>
            </w:pPr>
          </w:p>
        </w:tc>
        <w:tc>
          <w:tcPr>
            <w:tcW w:w="520" w:type="dxa"/>
            <w:vAlign w:val="bottom"/>
            <w:tcBorders>
              <w:bottom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 III Directors Whose Terms Expire at the 2023 Annual Meeting of Shareholders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 Civeo Corporation</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Jay K. Grewal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62</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 Manitoba Hydro</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Timothy O. Wall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Kitimat LNG Upstream Operations</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920" w:type="dxa"/>
            <w:vAlign w:val="bottom"/>
            <w:tcBorders>
              <w:bottom w:val="single" w:sz="8" w:color="006DB6"/>
            </w:tcBorders>
            <w:gridSpan w:val="2"/>
          </w:tcPr>
          <w:p>
            <w:pPr>
              <w:spacing w:after="0"/>
              <w:rPr>
                <w:sz w:val="10"/>
                <w:szCs w:val="10"/>
                <w:color w:val="auto"/>
              </w:rPr>
            </w:pPr>
          </w:p>
        </w:tc>
        <w:tc>
          <w:tcPr>
            <w:tcW w:w="420" w:type="dxa"/>
            <w:vAlign w:val="bottom"/>
            <w:tcBorders>
              <w:bottom w:val="single" w:sz="8" w:color="006DB6"/>
            </w:tcBorders>
          </w:tcPr>
          <w:p>
            <w:pPr>
              <w:spacing w:after="0"/>
              <w:rPr>
                <w:sz w:val="10"/>
                <w:szCs w:val="10"/>
                <w:color w:val="auto"/>
              </w:rPr>
            </w:pPr>
          </w:p>
        </w:tc>
        <w:tc>
          <w:tcPr>
            <w:tcW w:w="360" w:type="dxa"/>
            <w:vAlign w:val="bottom"/>
            <w:tcBorders>
              <w:bottom w:val="single" w:sz="8" w:color="006DB6"/>
            </w:tcBorders>
          </w:tcPr>
          <w:p>
            <w:pPr>
              <w:spacing w:after="0"/>
              <w:rPr>
                <w:sz w:val="10"/>
                <w:szCs w:val="10"/>
                <w:color w:val="auto"/>
              </w:rPr>
            </w:pPr>
          </w:p>
        </w:tc>
        <w:tc>
          <w:tcPr>
            <w:tcW w:w="740" w:type="dxa"/>
            <w:vAlign w:val="bottom"/>
            <w:tcBorders>
              <w:bottom w:val="single" w:sz="8" w:color="006DB6"/>
            </w:tcBorders>
          </w:tcPr>
          <w:p>
            <w:pPr>
              <w:spacing w:after="0"/>
              <w:rPr>
                <w:sz w:val="10"/>
                <w:szCs w:val="10"/>
                <w:color w:val="auto"/>
              </w:rPr>
            </w:pPr>
          </w:p>
        </w:tc>
        <w:tc>
          <w:tcPr>
            <w:tcW w:w="160" w:type="dxa"/>
            <w:vAlign w:val="bottom"/>
            <w:tcBorders>
              <w:bottom w:val="single" w:sz="8" w:color="006DB6"/>
            </w:tcBorders>
          </w:tcPr>
          <w:p>
            <w:pPr>
              <w:spacing w:after="0"/>
              <w:rPr>
                <w:sz w:val="10"/>
                <w:szCs w:val="10"/>
                <w:color w:val="auto"/>
              </w:rPr>
            </w:pPr>
          </w:p>
        </w:tc>
        <w:tc>
          <w:tcPr>
            <w:tcW w:w="360" w:type="dxa"/>
            <w:vAlign w:val="bottom"/>
            <w:tcBorders>
              <w:bottom w:val="single" w:sz="8" w:color="006DB6"/>
            </w:tcBorders>
          </w:tcPr>
          <w:p>
            <w:pPr>
              <w:spacing w:after="0"/>
              <w:rPr>
                <w:sz w:val="10"/>
                <w:szCs w:val="10"/>
                <w:color w:val="auto"/>
              </w:rPr>
            </w:pPr>
          </w:p>
        </w:tc>
        <w:tc>
          <w:tcPr>
            <w:tcW w:w="780" w:type="dxa"/>
            <w:vAlign w:val="bottom"/>
            <w:tcBorders>
              <w:bottom w:val="single" w:sz="8" w:color="006DB6"/>
            </w:tcBorders>
          </w:tcPr>
          <w:p>
            <w:pPr>
              <w:spacing w:after="0"/>
              <w:rPr>
                <w:sz w:val="10"/>
                <w:szCs w:val="10"/>
                <w:color w:val="auto"/>
              </w:rPr>
            </w:pPr>
          </w:p>
        </w:tc>
        <w:tc>
          <w:tcPr>
            <w:tcW w:w="980" w:type="dxa"/>
            <w:vAlign w:val="bottom"/>
            <w:tcBorders>
              <w:bottom w:val="single" w:sz="8" w:color="006DB6"/>
            </w:tcBorders>
          </w:tcPr>
          <w:p>
            <w:pPr>
              <w:spacing w:after="0"/>
              <w:rPr>
                <w:sz w:val="10"/>
                <w:szCs w:val="10"/>
                <w:color w:val="auto"/>
              </w:rPr>
            </w:pPr>
          </w:p>
        </w:tc>
        <w:tc>
          <w:tcPr>
            <w:tcW w:w="520" w:type="dxa"/>
            <w:vAlign w:val="bottom"/>
            <w:tcBorders>
              <w:bottom w:val="single" w:sz="8" w:color="006DB6"/>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92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 I Directors Whose Terms Expire at the 2024 Annual Meeting of Shareholders</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C. Ronald Blankenship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and Chief Executive Officer, Verde Realty</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Michael Montelongo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66</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 GRC Advisory Services LLC</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Charles Szalkowski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73</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Partner and General Counsel, Baker Botts L.L.P.</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AC</w:t>
            </w:r>
          </w:p>
        </w:tc>
        <w:tc>
          <w:tcPr>
            <w:tcW w:w="6220" w:type="dxa"/>
            <w:vAlign w:val="bottom"/>
          </w:tcPr>
          <w:p>
            <w:pPr>
              <w:ind w:left="180"/>
              <w:spacing w:after="0"/>
              <w:rPr>
                <w:sz w:val="20"/>
                <w:szCs w:val="20"/>
                <w:color w:val="auto"/>
              </w:rPr>
            </w:pPr>
            <w:r>
              <w:rPr>
                <w:rFonts w:ascii="Arial" w:cs="Arial" w:eastAsia="Arial" w:hAnsi="Arial"/>
                <w:sz w:val="14"/>
                <w:szCs w:val="14"/>
                <w:color w:val="auto"/>
              </w:rPr>
              <w:t>Audit Committee</w:t>
            </w:r>
          </w:p>
        </w:tc>
        <w:tc>
          <w:tcPr>
            <w:tcW w:w="4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Chair</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CC</w:t>
            </w:r>
          </w:p>
        </w:tc>
        <w:tc>
          <w:tcPr>
            <w:tcW w:w="6220" w:type="dxa"/>
            <w:vAlign w:val="bottom"/>
          </w:tcPr>
          <w:p>
            <w:pPr>
              <w:ind w:left="180"/>
              <w:spacing w:after="0"/>
              <w:rPr>
                <w:sz w:val="20"/>
                <w:szCs w:val="20"/>
                <w:color w:val="auto"/>
              </w:rPr>
            </w:pPr>
            <w:r>
              <w:rPr>
                <w:rFonts w:ascii="Arial" w:cs="Arial" w:eastAsia="Arial" w:hAnsi="Arial"/>
                <w:sz w:val="14"/>
                <w:szCs w:val="14"/>
                <w:color w:val="auto"/>
              </w:rPr>
              <w:t>Compensation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Member</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ESGNC</w:t>
            </w:r>
          </w:p>
        </w:tc>
        <w:tc>
          <w:tcPr>
            <w:tcW w:w="6220" w:type="dxa"/>
            <w:vAlign w:val="bottom"/>
          </w:tcPr>
          <w:p>
            <w:pPr>
              <w:ind w:left="180"/>
              <w:spacing w:after="0"/>
              <w:rPr>
                <w:sz w:val="20"/>
                <w:szCs w:val="20"/>
                <w:color w:val="auto"/>
              </w:rPr>
            </w:pPr>
            <w:r>
              <w:rPr>
                <w:rFonts w:ascii="Arial" w:cs="Arial" w:eastAsia="Arial" w:hAnsi="Arial"/>
                <w:sz w:val="14"/>
                <w:szCs w:val="14"/>
                <w:color w:val="auto"/>
              </w:rPr>
              <w:t>Environmental, Social, Governance and Nominating Committee</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F</w:t>
            </w:r>
          </w:p>
        </w:tc>
        <w:tc>
          <w:tcPr>
            <w:tcW w:w="1260" w:type="dxa"/>
            <w:vAlign w:val="bottom"/>
            <w:gridSpan w:val="3"/>
          </w:tcPr>
          <w:p>
            <w:pPr>
              <w:spacing w:after="0"/>
              <w:rPr>
                <w:sz w:val="20"/>
                <w:szCs w:val="20"/>
                <w:color w:val="auto"/>
              </w:rPr>
            </w:pPr>
            <w:r>
              <w:rPr>
                <w:rFonts w:ascii="Arial" w:cs="Arial" w:eastAsia="Arial" w:hAnsi="Arial"/>
                <w:sz w:val="14"/>
                <w:szCs w:val="14"/>
                <w:color w:val="auto"/>
              </w:rPr>
              <w:t>Financial Expert</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FIC</w:t>
            </w:r>
          </w:p>
        </w:tc>
        <w:tc>
          <w:tcPr>
            <w:tcW w:w="6220" w:type="dxa"/>
            <w:vAlign w:val="bottom"/>
          </w:tcPr>
          <w:p>
            <w:pPr>
              <w:ind w:left="180"/>
              <w:spacing w:after="0"/>
              <w:rPr>
                <w:sz w:val="20"/>
                <w:szCs w:val="20"/>
                <w:color w:val="auto"/>
              </w:rPr>
            </w:pPr>
            <w:r>
              <w:rPr>
                <w:rFonts w:ascii="Arial" w:cs="Arial" w:eastAsia="Arial" w:hAnsi="Arial"/>
                <w:sz w:val="14"/>
                <w:szCs w:val="14"/>
                <w:color w:val="auto"/>
              </w:rPr>
              <w:t>Finance and Investment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Chair of the Board</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-4773295</wp:posOffset>
            </wp:positionV>
            <wp:extent cx="32575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-4841240</wp:posOffset>
            </wp:positionV>
            <wp:extent cx="12890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-4661535</wp:posOffset>
            </wp:positionV>
            <wp:extent cx="10287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-4276090</wp:posOffset>
            </wp:positionV>
            <wp:extent cx="32575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-4164330</wp:posOffset>
            </wp:positionV>
            <wp:extent cx="10287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-4164330</wp:posOffset>
            </wp:positionV>
            <wp:extent cx="10287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-3881755</wp:posOffset>
            </wp:positionV>
            <wp:extent cx="32575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-3769995</wp:posOffset>
            </wp:positionV>
            <wp:extent cx="10287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-3769995</wp:posOffset>
            </wp:positionV>
            <wp:extent cx="10287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-3333115</wp:posOffset>
            </wp:positionV>
            <wp:extent cx="32575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-2938780</wp:posOffset>
            </wp:positionV>
            <wp:extent cx="32575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-2827020</wp:posOffset>
            </wp:positionV>
            <wp:extent cx="10287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-2827020</wp:posOffset>
            </wp:positionV>
            <wp:extent cx="10287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-2544445</wp:posOffset>
            </wp:positionV>
            <wp:extent cx="32575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-2432685</wp:posOffset>
            </wp:positionV>
            <wp:extent cx="10287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-2432685</wp:posOffset>
            </wp:positionV>
            <wp:extent cx="10287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-1986915</wp:posOffset>
            </wp:positionV>
            <wp:extent cx="325755"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-1875790</wp:posOffset>
            </wp:positionV>
            <wp:extent cx="10287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-1875790</wp:posOffset>
            </wp:positionV>
            <wp:extent cx="10287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-1875790</wp:posOffset>
            </wp:positionV>
            <wp:extent cx="10287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-1592580</wp:posOffset>
            </wp:positionV>
            <wp:extent cx="32575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-1481455</wp:posOffset>
            </wp:positionV>
            <wp:extent cx="10287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-1481455</wp:posOffset>
            </wp:positionV>
            <wp:extent cx="10287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-1198245</wp:posOffset>
            </wp:positionV>
            <wp:extent cx="32575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-1087120</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-1087120</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-727075</wp:posOffset>
            </wp:positionV>
            <wp:extent cx="10287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-529590</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-161290</wp:posOffset>
            </wp:positionV>
            <wp:extent cx="12890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189865</wp:posOffset>
            </wp:positionV>
            <wp:extent cx="39433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240"/>
          </w:cols>
          <w:pgMar w:left="320" w:top="233"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Snapshot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INDEPENDENCE</w:t>
            </w: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TENURE</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AGE</w:t>
            </w:r>
          </w:p>
        </w:tc>
        <w:tc>
          <w:tcPr>
            <w:tcW w:w="2780" w:type="dxa"/>
            <w:vAlign w:val="bottom"/>
          </w:tcPr>
          <w:p>
            <w:pPr>
              <w:ind w:left="80"/>
              <w:spacing w:after="0"/>
              <w:rPr>
                <w:sz w:val="20"/>
                <w:szCs w:val="20"/>
                <w:color w:val="auto"/>
              </w:rPr>
            </w:pPr>
            <w:r>
              <w:rPr>
                <w:rFonts w:ascii="Arial" w:cs="Arial" w:eastAsia="Arial" w:hAnsi="Arial"/>
                <w:sz w:val="16"/>
                <w:szCs w:val="16"/>
                <w:b w:val="1"/>
                <w:bCs w:val="1"/>
                <w:color w:val="auto"/>
              </w:rPr>
              <w:t>DIVERSITY</w:t>
            </w:r>
          </w:p>
        </w:tc>
        <w:tc>
          <w:tcPr>
            <w:tcW w:w="0" w:type="dxa"/>
            <w:vAlign w:val="bottom"/>
          </w:tcPr>
          <w:p>
            <w:pPr>
              <w:spacing w:after="0"/>
              <w:rPr>
                <w:sz w:val="1"/>
                <w:szCs w:val="1"/>
                <w:color w:val="auto"/>
              </w:rPr>
            </w:pPr>
          </w:p>
        </w:tc>
      </w:tr>
      <w:tr>
        <w:trPr>
          <w:trHeight w:val="542"/>
        </w:trPr>
        <w:tc>
          <w:tcPr>
            <w:tcW w:w="284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xml:space="preserve">0-5 years: </w:t>
            </w:r>
            <w:r>
              <w:rPr>
                <w:rFonts w:ascii="Arial" w:cs="Arial" w:eastAsia="Arial" w:hAnsi="Arial"/>
                <w:sz w:val="16"/>
                <w:szCs w:val="16"/>
                <w:b w:val="1"/>
                <w:bCs w:val="1"/>
                <w:color w:val="FFC03C"/>
              </w:rPr>
              <w:t>2</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xml:space="preserve">&lt;50 years: </w:t>
            </w:r>
            <w:r>
              <w:rPr>
                <w:rFonts w:ascii="Arial" w:cs="Arial" w:eastAsia="Arial" w:hAnsi="Arial"/>
                <w:sz w:val="16"/>
                <w:szCs w:val="16"/>
                <w:b w:val="1"/>
                <w:bCs w:val="1"/>
                <w:color w:val="FFC03C"/>
              </w:rPr>
              <w:t>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84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xml:space="preserve">5-10 years: </w:t>
            </w:r>
            <w:r>
              <w:rPr>
                <w:rFonts w:ascii="Arial" w:cs="Arial" w:eastAsia="Arial" w:hAnsi="Arial"/>
                <w:sz w:val="16"/>
                <w:szCs w:val="16"/>
                <w:b w:val="1"/>
                <w:bCs w:val="1"/>
                <w:color w:val="006DB6"/>
              </w:rPr>
              <w:t>7</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xml:space="preserve">50-60 years: </w:t>
            </w:r>
            <w:r>
              <w:rPr>
                <w:rFonts w:ascii="Arial" w:cs="Arial" w:eastAsia="Arial" w:hAnsi="Arial"/>
                <w:sz w:val="16"/>
                <w:szCs w:val="16"/>
                <w:b w:val="1"/>
                <w:bCs w:val="1"/>
                <w:color w:val="006DB6"/>
              </w:rPr>
              <w:t>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284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xml:space="preserve">61-70 years: </w:t>
            </w:r>
            <w:r>
              <w:rPr>
                <w:rFonts w:ascii="Arial" w:cs="Arial" w:eastAsia="Arial" w:hAnsi="Arial"/>
                <w:sz w:val="16"/>
                <w:szCs w:val="16"/>
                <w:b w:val="1"/>
                <w:bCs w:val="1"/>
                <w:color w:val="706F6F"/>
              </w:rPr>
              <w:t>5</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FFC03C"/>
              </w:rPr>
              <w:t xml:space="preserve">8 </w:t>
            </w:r>
            <w:r>
              <w:rPr>
                <w:rFonts w:ascii="Arial" w:cs="Arial" w:eastAsia="Arial" w:hAnsi="Arial"/>
                <w:sz w:val="16"/>
                <w:szCs w:val="16"/>
                <w:color w:val="000000"/>
              </w:rPr>
              <w:t>Independent</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xml:space="preserve">&gt;70 years: </w:t>
            </w:r>
            <w:r>
              <w:rPr>
                <w:rFonts w:ascii="Arial" w:cs="Arial" w:eastAsia="Arial" w:hAnsi="Arial"/>
                <w:sz w:val="16"/>
                <w:szCs w:val="16"/>
                <w:b w:val="1"/>
                <w:bCs w:val="1"/>
                <w:color w:val="ABABAB"/>
              </w:rPr>
              <w:t>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284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Average Director Tenure:</w:t>
            </w:r>
          </w:p>
        </w:tc>
        <w:tc>
          <w:tcPr>
            <w:tcW w:w="2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 xml:space="preserve">Average Age: </w:t>
            </w:r>
            <w:r>
              <w:rPr>
                <w:rFonts w:ascii="Arial" w:cs="Arial" w:eastAsia="Arial" w:hAnsi="Arial"/>
                <w:sz w:val="16"/>
                <w:szCs w:val="16"/>
                <w:b w:val="1"/>
                <w:bCs w:val="1"/>
                <w:color w:val="706F6F"/>
              </w:rPr>
              <w:t>63.8</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4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706F6F"/>
              </w:rPr>
              <w:t>5.4 years</w:t>
            </w:r>
          </w:p>
        </w:tc>
        <w:tc>
          <w:tcPr>
            <w:tcW w:w="2820" w:type="dxa"/>
            <w:vAlign w:val="bottom"/>
            <w:tcBorders>
              <w:right w:val="single" w:sz="8" w:color="auto"/>
            </w:tcBorders>
            <w:vMerge w:val="continue"/>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4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2840" w:type="dxa"/>
            <w:vAlign w:val="bottom"/>
          </w:tcPr>
          <w:p>
            <w:pPr>
              <w:spacing w:after="0"/>
              <w:rPr>
                <w:sz w:val="20"/>
                <w:szCs w:val="20"/>
                <w:color w:val="auto"/>
              </w:rPr>
            </w:pPr>
            <w:r>
              <w:rPr>
                <w:rFonts w:ascii="Arial" w:cs="Arial" w:eastAsia="Arial" w:hAnsi="Arial"/>
                <w:sz w:val="16"/>
                <w:szCs w:val="16"/>
                <w:b w:val="1"/>
                <w:bCs w:val="1"/>
                <w:color w:val="auto"/>
              </w:rPr>
              <w:t>SKILLS AND EXPERIENCE</w:t>
            </w:r>
          </w:p>
        </w:tc>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-2077720</wp:posOffset>
            </wp:positionV>
            <wp:extent cx="1011555" cy="1209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1555" cy="120904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-2146300</wp:posOffset>
            </wp:positionV>
            <wp:extent cx="274320" cy="111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4320" cy="11112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-1786255</wp:posOffset>
            </wp:positionV>
            <wp:extent cx="111442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4425" cy="1200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-2146300</wp:posOffset>
            </wp:positionV>
            <wp:extent cx="111125" cy="111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-1786255</wp:posOffset>
            </wp:positionV>
            <wp:extent cx="111125"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-1435100</wp:posOffset>
            </wp:positionV>
            <wp:extent cx="771525"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1117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-1074420</wp:posOffset>
            </wp:positionV>
            <wp:extent cx="274320"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320" cy="11112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-2077720</wp:posOffset>
            </wp:positionV>
            <wp:extent cx="1303020" cy="1611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020" cy="161163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73660</wp:posOffset>
            </wp:positionV>
            <wp:extent cx="539750" cy="539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73660</wp:posOffset>
            </wp:positionV>
            <wp:extent cx="539750" cy="539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73660</wp:posOffset>
            </wp:positionV>
            <wp:extent cx="539750" cy="539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73660</wp:posOffset>
            </wp:positionV>
            <wp:extent cx="539750" cy="539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660" w:type="dxa"/>
            <w:vAlign w:val="bottom"/>
          </w:tcPr>
          <w:p>
            <w:pPr>
              <w:spacing w:after="0"/>
              <w:rPr>
                <w:sz w:val="20"/>
                <w:szCs w:val="20"/>
                <w:color w:val="auto"/>
              </w:rPr>
            </w:pPr>
            <w:r>
              <w:rPr>
                <w:rFonts w:ascii="Arial" w:cs="Arial" w:eastAsia="Arial" w:hAnsi="Arial"/>
                <w:sz w:val="16"/>
                <w:szCs w:val="16"/>
                <w:color w:val="FFC03C"/>
              </w:rPr>
              <w:t xml:space="preserve">9 </w:t>
            </w:r>
            <w:r>
              <w:rPr>
                <w:rFonts w:ascii="Arial" w:cs="Arial" w:eastAsia="Arial" w:hAnsi="Arial"/>
                <w:sz w:val="16"/>
                <w:szCs w:val="16"/>
                <w:color w:val="006DB6"/>
              </w:rPr>
              <w:t>Executive</w:t>
            </w:r>
          </w:p>
        </w:tc>
        <w:tc>
          <w:tcPr>
            <w:tcW w:w="2880" w:type="dxa"/>
            <w:vAlign w:val="bottom"/>
          </w:tcPr>
          <w:p>
            <w:pPr>
              <w:jc w:val="center"/>
              <w:ind w:left="159"/>
              <w:spacing w:after="0"/>
              <w:rPr>
                <w:sz w:val="20"/>
                <w:szCs w:val="20"/>
                <w:color w:val="auto"/>
              </w:rPr>
            </w:pPr>
            <w:r>
              <w:rPr>
                <w:rFonts w:ascii="Arial" w:cs="Arial" w:eastAsia="Arial" w:hAnsi="Arial"/>
                <w:sz w:val="16"/>
                <w:szCs w:val="16"/>
                <w:color w:val="FFC03C"/>
              </w:rPr>
              <w:t xml:space="preserve">7 </w:t>
            </w:r>
            <w:r>
              <w:rPr>
                <w:rFonts w:ascii="Arial" w:cs="Arial" w:eastAsia="Arial" w:hAnsi="Arial"/>
                <w:sz w:val="16"/>
                <w:szCs w:val="16"/>
                <w:color w:val="006DB6"/>
              </w:rPr>
              <w:t>Accommodations,</w:t>
            </w:r>
          </w:p>
        </w:tc>
        <w:tc>
          <w:tcPr>
            <w:tcW w:w="3000" w:type="dxa"/>
            <w:vAlign w:val="bottom"/>
          </w:tcPr>
          <w:p>
            <w:pPr>
              <w:jc w:val="center"/>
              <w:spacing w:after="0"/>
              <w:rPr>
                <w:sz w:val="20"/>
                <w:szCs w:val="20"/>
                <w:color w:val="auto"/>
              </w:rPr>
            </w:pPr>
            <w:r>
              <w:rPr>
                <w:rFonts w:ascii="Arial" w:cs="Arial" w:eastAsia="Arial" w:hAnsi="Arial"/>
                <w:sz w:val="16"/>
                <w:szCs w:val="16"/>
                <w:color w:val="FFC03C"/>
              </w:rPr>
              <w:t xml:space="preserve">4 </w:t>
            </w:r>
            <w:r>
              <w:rPr>
                <w:rFonts w:ascii="Arial" w:cs="Arial" w:eastAsia="Arial" w:hAnsi="Arial"/>
                <w:sz w:val="16"/>
                <w:szCs w:val="16"/>
                <w:color w:val="006DB6"/>
              </w:rPr>
              <w:t>Experience in Industry</w:t>
            </w:r>
          </w:p>
        </w:tc>
        <w:tc>
          <w:tcPr>
            <w:tcW w:w="1960" w:type="dxa"/>
            <w:vAlign w:val="bottom"/>
          </w:tcPr>
          <w:p>
            <w:pPr>
              <w:jc w:val="center"/>
              <w:ind w:left="559"/>
              <w:spacing w:after="0"/>
              <w:rPr>
                <w:sz w:val="20"/>
                <w:szCs w:val="20"/>
                <w:color w:val="auto"/>
              </w:rPr>
            </w:pPr>
            <w:r>
              <w:rPr>
                <w:rFonts w:ascii="Arial" w:cs="Arial" w:eastAsia="Arial" w:hAnsi="Arial"/>
                <w:sz w:val="16"/>
                <w:szCs w:val="16"/>
                <w:color w:val="FFC03C"/>
              </w:rPr>
              <w:t xml:space="preserve">7 </w:t>
            </w:r>
            <w:r>
              <w:rPr>
                <w:rFonts w:ascii="Arial" w:cs="Arial" w:eastAsia="Arial" w:hAnsi="Arial"/>
                <w:sz w:val="16"/>
                <w:szCs w:val="16"/>
                <w:color w:val="006DB6"/>
              </w:rPr>
              <w:t>Public Company</w:t>
            </w: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006DB6"/>
              </w:rPr>
              <w:t>Leadership</w:t>
            </w:r>
          </w:p>
        </w:tc>
        <w:tc>
          <w:tcPr>
            <w:tcW w:w="2880" w:type="dxa"/>
            <w:vAlign w:val="bottom"/>
          </w:tcPr>
          <w:p>
            <w:pPr>
              <w:jc w:val="center"/>
              <w:ind w:left="159"/>
              <w:spacing w:after="0"/>
              <w:rPr>
                <w:sz w:val="20"/>
                <w:szCs w:val="20"/>
                <w:color w:val="auto"/>
              </w:rPr>
            </w:pPr>
            <w:r>
              <w:rPr>
                <w:rFonts w:ascii="Arial" w:cs="Arial" w:eastAsia="Arial" w:hAnsi="Arial"/>
                <w:sz w:val="16"/>
                <w:szCs w:val="16"/>
                <w:color w:val="006DB6"/>
              </w:rPr>
              <w:t>Real Estate and</w:t>
            </w:r>
          </w:p>
        </w:tc>
        <w:tc>
          <w:tcPr>
            <w:tcW w:w="3000" w:type="dxa"/>
            <w:vAlign w:val="bottom"/>
          </w:tcPr>
          <w:p>
            <w:pPr>
              <w:jc w:val="center"/>
              <w:spacing w:after="0"/>
              <w:rPr>
                <w:sz w:val="20"/>
                <w:szCs w:val="20"/>
                <w:color w:val="auto"/>
              </w:rPr>
            </w:pPr>
            <w:r>
              <w:rPr>
                <w:rFonts w:ascii="Arial" w:cs="Arial" w:eastAsia="Arial" w:hAnsi="Arial"/>
                <w:sz w:val="16"/>
                <w:szCs w:val="16"/>
                <w:color w:val="006DB6"/>
              </w:rPr>
              <w:t>of Primary Customers</w:t>
            </w:r>
          </w:p>
        </w:tc>
        <w:tc>
          <w:tcPr>
            <w:tcW w:w="1960" w:type="dxa"/>
            <w:vAlign w:val="bottom"/>
          </w:tcPr>
          <w:p>
            <w:pPr>
              <w:jc w:val="center"/>
              <w:ind w:left="559"/>
              <w:spacing w:after="0"/>
              <w:rPr>
                <w:sz w:val="20"/>
                <w:szCs w:val="20"/>
                <w:color w:val="auto"/>
              </w:rPr>
            </w:pPr>
            <w:r>
              <w:rPr>
                <w:rFonts w:ascii="Arial" w:cs="Arial" w:eastAsia="Arial" w:hAnsi="Arial"/>
                <w:sz w:val="16"/>
                <w:szCs w:val="16"/>
                <w:color w:val="006DB6"/>
              </w:rPr>
              <w:t>CEO or C-Suite</w:t>
            </w:r>
          </w:p>
        </w:tc>
      </w:tr>
      <w:tr>
        <w:trPr>
          <w:trHeight w:val="241"/>
        </w:trPr>
        <w:tc>
          <w:tcPr>
            <w:tcW w:w="1660" w:type="dxa"/>
            <w:vAlign w:val="bottom"/>
          </w:tcPr>
          <w:p>
            <w:pPr>
              <w:spacing w:after="0"/>
              <w:rPr>
                <w:sz w:val="20"/>
                <w:szCs w:val="20"/>
                <w:color w:val="auto"/>
              </w:rPr>
            </w:pPr>
          </w:p>
        </w:tc>
        <w:tc>
          <w:tcPr>
            <w:tcW w:w="2880" w:type="dxa"/>
            <w:vAlign w:val="bottom"/>
          </w:tcPr>
          <w:p>
            <w:pPr>
              <w:jc w:val="center"/>
              <w:ind w:left="159"/>
              <w:spacing w:after="0"/>
              <w:rPr>
                <w:sz w:val="20"/>
                <w:szCs w:val="20"/>
                <w:color w:val="auto"/>
              </w:rPr>
            </w:pPr>
            <w:r>
              <w:rPr>
                <w:rFonts w:ascii="Arial" w:cs="Arial" w:eastAsia="Arial" w:hAnsi="Arial"/>
                <w:sz w:val="16"/>
                <w:szCs w:val="16"/>
                <w:color w:val="006DB6"/>
              </w:rPr>
              <w:t>Hospitality</w:t>
            </w:r>
          </w:p>
        </w:tc>
        <w:tc>
          <w:tcPr>
            <w:tcW w:w="3000" w:type="dxa"/>
            <w:vAlign w:val="bottom"/>
          </w:tcPr>
          <w:p>
            <w:pPr>
              <w:spacing w:after="0"/>
              <w:rPr>
                <w:sz w:val="20"/>
                <w:szCs w:val="20"/>
                <w:color w:val="auto"/>
              </w:rPr>
            </w:pPr>
          </w:p>
        </w:tc>
        <w:tc>
          <w:tcPr>
            <w:tcW w:w="1960" w:type="dxa"/>
            <w:vAlign w:val="bottom"/>
          </w:tcPr>
          <w:p>
            <w:pPr>
              <w:jc w:val="center"/>
              <w:ind w:left="559"/>
              <w:spacing w:after="0"/>
              <w:rPr>
                <w:sz w:val="20"/>
                <w:szCs w:val="20"/>
                <w:color w:val="auto"/>
              </w:rPr>
            </w:pPr>
            <w:r>
              <w:rPr>
                <w:rFonts w:ascii="Arial" w:cs="Arial" w:eastAsia="Arial" w:hAnsi="Arial"/>
                <w:sz w:val="16"/>
                <w:szCs w:val="16"/>
                <w:color w:val="006DB6"/>
                <w:w w:val="99"/>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44450</wp:posOffset>
            </wp:positionV>
            <wp:extent cx="539750" cy="539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44450</wp:posOffset>
            </wp:positionV>
            <wp:extent cx="539750" cy="539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44450</wp:posOffset>
            </wp:positionV>
            <wp:extent cx="539750" cy="539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44450</wp:posOffset>
            </wp:positionV>
            <wp:extent cx="539750" cy="539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3680" w:val="left"/>
          <w:tab w:leader="none" w:pos="6380" w:val="left"/>
          <w:tab w:leader="none" w:pos="9160" w:val="left"/>
        </w:tabs>
        <w:rPr>
          <w:sz w:val="20"/>
          <w:szCs w:val="20"/>
          <w:color w:val="auto"/>
        </w:rPr>
      </w:pPr>
      <w:r>
        <w:rPr>
          <w:rFonts w:ascii="Arial" w:cs="Arial" w:eastAsia="Arial" w:hAnsi="Arial"/>
          <w:sz w:val="16"/>
          <w:szCs w:val="16"/>
          <w:color w:val="FFC03C"/>
        </w:rPr>
        <w:t xml:space="preserve">9 </w:t>
      </w:r>
      <w:r>
        <w:rPr>
          <w:rFonts w:ascii="Arial" w:cs="Arial" w:eastAsia="Arial" w:hAnsi="Arial"/>
          <w:sz w:val="16"/>
          <w:szCs w:val="16"/>
          <w:color w:val="006DB6"/>
        </w:rPr>
        <w:t>Financial</w:t>
      </w:r>
      <w:r>
        <w:rPr>
          <w:sz w:val="20"/>
          <w:szCs w:val="20"/>
          <w:color w:val="auto"/>
        </w:rPr>
        <w:tab/>
      </w:r>
      <w:r>
        <w:rPr>
          <w:rFonts w:ascii="Arial" w:cs="Arial" w:eastAsia="Arial" w:hAnsi="Arial"/>
          <w:sz w:val="16"/>
          <w:szCs w:val="16"/>
          <w:color w:val="FFC03C"/>
        </w:rPr>
        <w:t xml:space="preserve">8 </w:t>
      </w:r>
      <w:r>
        <w:rPr>
          <w:rFonts w:ascii="Arial" w:cs="Arial" w:eastAsia="Arial" w:hAnsi="Arial"/>
          <w:sz w:val="16"/>
          <w:szCs w:val="16"/>
          <w:color w:val="006DB6"/>
        </w:rPr>
        <w:t>International</w:t>
      </w:r>
      <w:r>
        <w:rPr>
          <w:sz w:val="20"/>
          <w:szCs w:val="20"/>
          <w:color w:val="auto"/>
        </w:rPr>
        <w:tab/>
      </w:r>
      <w:r>
        <w:rPr>
          <w:rFonts w:ascii="Arial" w:cs="Arial" w:eastAsia="Arial" w:hAnsi="Arial"/>
          <w:sz w:val="16"/>
          <w:szCs w:val="16"/>
          <w:color w:val="FFC03C"/>
        </w:rPr>
        <w:t xml:space="preserve">5 </w:t>
      </w:r>
      <w:r>
        <w:rPr>
          <w:rFonts w:ascii="Arial" w:cs="Arial" w:eastAsia="Arial" w:hAnsi="Arial"/>
          <w:sz w:val="16"/>
          <w:szCs w:val="16"/>
          <w:color w:val="006DB6"/>
        </w:rPr>
        <w:t>Health Safety &amp;</w:t>
      </w:r>
      <w:r>
        <w:rPr>
          <w:sz w:val="20"/>
          <w:szCs w:val="20"/>
          <w:color w:val="auto"/>
        </w:rPr>
        <w:tab/>
      </w:r>
      <w:r>
        <w:rPr>
          <w:rFonts w:ascii="Arial" w:cs="Arial" w:eastAsia="Arial" w:hAnsi="Arial"/>
          <w:sz w:val="16"/>
          <w:szCs w:val="16"/>
          <w:color w:val="FFC03C"/>
        </w:rPr>
        <w:t xml:space="preserve">8 </w:t>
      </w:r>
      <w:r>
        <w:rPr>
          <w:rFonts w:ascii="Arial" w:cs="Arial" w:eastAsia="Arial" w:hAnsi="Arial"/>
          <w:sz w:val="16"/>
          <w:szCs w:val="16"/>
          <w:color w:val="006DB6"/>
        </w:rPr>
        <w:t>Public Company</w:t>
      </w:r>
    </w:p>
    <w:p>
      <w:pPr>
        <w:spacing w:after="0" w:line="8" w:lineRule="exact"/>
        <w:rPr>
          <w:sz w:val="20"/>
          <w:szCs w:val="20"/>
          <w:color w:val="auto"/>
        </w:rPr>
      </w:pPr>
    </w:p>
    <w:p>
      <w:pPr>
        <w:ind w:left="3820"/>
        <w:spacing w:after="0"/>
        <w:tabs>
          <w:tab w:leader="none" w:pos="6120" w:val="left"/>
          <w:tab w:leader="none" w:pos="9100" w:val="left"/>
        </w:tabs>
        <w:rPr>
          <w:sz w:val="20"/>
          <w:szCs w:val="20"/>
          <w:color w:val="auto"/>
        </w:rPr>
      </w:pPr>
      <w:r>
        <w:rPr>
          <w:rFonts w:ascii="Arial" w:cs="Arial" w:eastAsia="Arial" w:hAnsi="Arial"/>
          <w:sz w:val="16"/>
          <w:szCs w:val="16"/>
          <w:color w:val="006DB6"/>
        </w:rPr>
        <w:t>Operations</w:t>
      </w:r>
      <w:r>
        <w:rPr>
          <w:sz w:val="20"/>
          <w:szCs w:val="20"/>
          <w:color w:val="auto"/>
        </w:rPr>
        <w:tab/>
      </w:r>
      <w:r>
        <w:rPr>
          <w:rFonts w:ascii="Arial" w:cs="Arial" w:eastAsia="Arial" w:hAnsi="Arial"/>
          <w:sz w:val="16"/>
          <w:szCs w:val="16"/>
          <w:color w:val="006DB6"/>
        </w:rPr>
        <w:t>Environment Experience</w:t>
      </w:r>
      <w:r>
        <w:rPr>
          <w:sz w:val="20"/>
          <w:szCs w:val="20"/>
          <w:color w:val="auto"/>
        </w:rPr>
        <w:tab/>
      </w:r>
      <w:r>
        <w:rPr>
          <w:rFonts w:ascii="Arial" w:cs="Arial" w:eastAsia="Arial" w:hAnsi="Arial"/>
          <w:sz w:val="16"/>
          <w:szCs w:val="16"/>
          <w:color w:val="006DB6"/>
        </w:rPr>
        <w:t>Director Experience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566160" cy="2494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2494280"/>
                    </a:xfrm>
                    <a:prstGeom prst="rect">
                      <a:avLst/>
                    </a:prstGeom>
                    <a:noFill/>
                  </pic:spPr>
                </pic:pic>
              </a:graphicData>
            </a:graphic>
          </wp:anchor>
        </w:drawing>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18" w:lineRule="exact"/>
        <w:rPr>
          <w:sz w:val="20"/>
          <w:szCs w:val="20"/>
          <w:color w:val="auto"/>
        </w:rPr>
      </w:pPr>
    </w:p>
    <w:p>
      <w:pPr>
        <w:ind w:left="220" w:right="1860"/>
        <w:spacing w:after="0" w:line="343" w:lineRule="auto"/>
        <w:rPr>
          <w:sz w:val="20"/>
          <w:szCs w:val="20"/>
          <w:color w:val="auto"/>
        </w:rPr>
      </w:pPr>
      <w:r>
        <w:rPr>
          <w:sz w:val="1"/>
          <w:szCs w:val="1"/>
          <w:color w:val="auto"/>
        </w:rPr>
        <w:drawing>
          <wp:inline distT="0" distB="0" distL="0" distR="0">
            <wp:extent cx="68580" cy="603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 </w:t>
      </w:r>
      <w:r>
        <w:rPr>
          <w:sz w:val="1"/>
          <w:szCs w:val="1"/>
          <w:color w:val="auto"/>
        </w:rPr>
        <w:drawing>
          <wp:inline distT="0" distB="0" distL="0" distR="0">
            <wp:extent cx="68580" cy="603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spacing w:after="0" w:line="1" w:lineRule="exact"/>
        <w:rPr>
          <w:sz w:val="20"/>
          <w:szCs w:val="20"/>
          <w:color w:val="auto"/>
        </w:rPr>
      </w:pPr>
    </w:p>
    <w:p>
      <w:pPr>
        <w:ind w:left="420" w:right="80" w:hanging="203"/>
        <w:spacing w:after="0"/>
        <w:rPr>
          <w:sz w:val="20"/>
          <w:szCs w:val="20"/>
          <w:color w:val="auto"/>
        </w:rPr>
      </w:pPr>
      <w:r>
        <w:rPr>
          <w:sz w:val="1"/>
          <w:szCs w:val="1"/>
          <w:color w:val="auto"/>
        </w:rPr>
        <w:drawing>
          <wp:inline distT="0" distB="0" distL="0" distR="0">
            <wp:extent cx="68580" cy="603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4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comprised of independent directors</w:t>
      </w:r>
    </w:p>
    <w:p>
      <w:pPr>
        <w:spacing w:after="0" w:line="73"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603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55" w:lineRule="exact"/>
        <w:rPr>
          <w:sz w:val="20"/>
          <w:szCs w:val="20"/>
          <w:color w:val="auto"/>
        </w:rPr>
      </w:pPr>
    </w:p>
    <w:p>
      <w:pPr>
        <w:ind w:left="420" w:right="780" w:hanging="203"/>
        <w:spacing w:after="0"/>
        <w:rPr>
          <w:sz w:val="20"/>
          <w:szCs w:val="20"/>
          <w:color w:val="auto"/>
        </w:rPr>
      </w:pPr>
      <w:r>
        <w:rPr>
          <w:sz w:val="1"/>
          <w:szCs w:val="1"/>
          <w:color w:val="auto"/>
        </w:rPr>
        <w:drawing>
          <wp:inline distT="0" distB="0" distL="0" distR="0">
            <wp:extent cx="68580" cy="5969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4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Active board of director oversight of enterprise risk</w:t>
      </w:r>
    </w:p>
    <w:p>
      <w:pPr>
        <w:spacing w:after="0" w:line="73" w:lineRule="exact"/>
        <w:rPr>
          <w:sz w:val="20"/>
          <w:szCs w:val="20"/>
          <w:color w:val="auto"/>
        </w:rPr>
      </w:pPr>
    </w:p>
    <w:p>
      <w:pPr>
        <w:ind w:left="420" w:right="380" w:hanging="203"/>
        <w:spacing w:after="0"/>
        <w:rPr>
          <w:sz w:val="20"/>
          <w:szCs w:val="20"/>
          <w:color w:val="auto"/>
        </w:rPr>
      </w:pPr>
      <w:r>
        <w:rPr>
          <w:sz w:val="1"/>
          <w:szCs w:val="1"/>
          <w:color w:val="auto"/>
        </w:rPr>
        <w:drawing>
          <wp:inline distT="0" distB="0" distL="0" distR="0">
            <wp:extent cx="68580" cy="5969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55" w:lineRule="exact"/>
        <w:rPr>
          <w:sz w:val="20"/>
          <w:szCs w:val="20"/>
          <w:color w:val="auto"/>
        </w:rPr>
      </w:pPr>
    </w:p>
    <w:p>
      <w:pPr>
        <w:ind w:left="420" w:right="520" w:hanging="203"/>
        <w:spacing w:after="0"/>
        <w:rPr>
          <w:sz w:val="20"/>
          <w:szCs w:val="20"/>
          <w:color w:val="auto"/>
        </w:rPr>
      </w:pPr>
      <w:r>
        <w:rPr>
          <w:sz w:val="1"/>
          <w:szCs w:val="1"/>
          <w:color w:val="auto"/>
        </w:rPr>
        <w:drawing>
          <wp:inline distT="0" distB="0" distL="0" distR="0">
            <wp:extent cx="68580" cy="603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Oversight of ESG matters directly assigned to newly renamed Environmental, Social,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-147320</wp:posOffset>
            </wp:positionV>
            <wp:extent cx="3566160" cy="2494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2494280"/>
                    </a:xfrm>
                    <a:prstGeom prst="rect">
                      <a:avLst/>
                    </a:prstGeom>
                    <a:noFill/>
                  </pic:spPr>
                </pic:pic>
              </a:graphicData>
            </a:graphic>
          </wp:anchor>
        </w:drawing>
      </w:r>
    </w:p>
    <w:p>
      <w:pPr>
        <w:spacing w:after="0" w:line="98"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603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trading transactions by executive officers or directors</w:t>
      </w:r>
    </w:p>
    <w:p>
      <w:pPr>
        <w:spacing w:after="0" w:line="42" w:lineRule="exact"/>
        <w:rPr>
          <w:sz w:val="20"/>
          <w:szCs w:val="20"/>
          <w:color w:val="auto"/>
        </w:rPr>
      </w:pPr>
    </w:p>
    <w:p>
      <w:pPr>
        <w:ind w:left="220" w:right="740" w:hanging="203"/>
        <w:spacing w:after="0"/>
        <w:rPr>
          <w:sz w:val="20"/>
          <w:szCs w:val="20"/>
          <w:color w:val="auto"/>
        </w:rPr>
      </w:pPr>
      <w:r>
        <w:rPr>
          <w:sz w:val="1"/>
          <w:szCs w:val="1"/>
          <w:color w:val="auto"/>
        </w:rPr>
        <w:drawing>
          <wp:inline distT="0" distB="0" distL="0" distR="0">
            <wp:extent cx="68580" cy="603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Stock ownership guidelines applicable to executive officers and directors</w:t>
      </w:r>
    </w:p>
    <w:p>
      <w:pPr>
        <w:spacing w:after="0" w:line="55" w:lineRule="exact"/>
        <w:rPr>
          <w:sz w:val="20"/>
          <w:szCs w:val="20"/>
          <w:color w:val="auto"/>
        </w:rPr>
      </w:pPr>
    </w:p>
    <w:p>
      <w:pPr>
        <w:ind w:left="220" w:right="180" w:hanging="203"/>
        <w:spacing w:after="0"/>
        <w:rPr>
          <w:sz w:val="20"/>
          <w:szCs w:val="20"/>
          <w:color w:val="auto"/>
        </w:rPr>
      </w:pPr>
      <w:r>
        <w:rPr>
          <w:sz w:val="1"/>
          <w:szCs w:val="1"/>
          <w:color w:val="auto"/>
        </w:rPr>
        <w:drawing>
          <wp:inline distT="0" distB="0" distL="0" distR="0">
            <wp:extent cx="68580" cy="603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42"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603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68580" cy="5969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Executive succession planning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8580" cy="5969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Clawback policy</w:t>
      </w:r>
    </w:p>
    <w:p>
      <w:pPr>
        <w:spacing w:after="0" w:line="73" w:lineRule="exact"/>
        <w:rPr>
          <w:sz w:val="20"/>
          <w:szCs w:val="20"/>
          <w:color w:val="auto"/>
        </w:rPr>
      </w:pPr>
    </w:p>
    <w:p>
      <w:pPr>
        <w:ind w:left="220" w:right="320" w:hanging="203"/>
        <w:spacing w:after="0"/>
        <w:rPr>
          <w:sz w:val="20"/>
          <w:szCs w:val="20"/>
          <w:color w:val="auto"/>
        </w:rPr>
      </w:pPr>
      <w:r>
        <w:rPr>
          <w:sz w:val="1"/>
          <w:szCs w:val="1"/>
          <w:color w:val="auto"/>
        </w:rPr>
        <w:drawing>
          <wp:inline distT="0" distB="0" distL="0" distR="0">
            <wp:extent cx="68580" cy="5969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related risks</w:t>
      </w:r>
    </w:p>
    <w:p>
      <w:pPr>
        <w:spacing w:after="0" w:line="658" w:lineRule="exact"/>
        <w:rPr>
          <w:sz w:val="20"/>
          <w:szCs w:val="20"/>
          <w:color w:val="auto"/>
        </w:rPr>
      </w:pPr>
    </w:p>
    <w:p>
      <w:pPr>
        <w:sectPr>
          <w:pgSz w:w="11900" w:h="16838" w:orient="portrait"/>
          <w:cols w:equalWidth="0" w:num="2">
            <w:col w:w="5480" w:space="340"/>
            <w:col w:w="5420"/>
          </w:cols>
          <w:pgMar w:left="320" w:top="125" w:right="339" w:bottom="1440" w:gutter="0" w:footer="0" w:header="0"/>
          <w:type w:val="continuous"/>
        </w:sectPr>
      </w:pPr>
    </w:p>
    <w:p>
      <w:pPr>
        <w:spacing w:after="0" w:line="387" w:lineRule="exact"/>
        <w:rPr>
          <w:sz w:val="20"/>
          <w:szCs w:val="20"/>
          <w:color w:val="auto"/>
        </w:rPr>
      </w:pPr>
    </w:p>
    <w:p>
      <w:pPr>
        <w:ind w:left="9260"/>
        <w:spacing w:after="0"/>
        <w:tabs>
          <w:tab w:leader="none" w:pos="11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Responsibility at Civeo</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business is hospitality. We help our guests maintain healthy, balanced and productive lifestyles while working away from home. Our responsibility is to provide a comfortable and safe living environment while minimizing our environmental footprint and supporting the communities in which we live and work. Just as important as what we do is the manner in which we operate. As a global leader in workforce accommodations, we hold ourselves to a high standard when it comes to safety, the environment and our active involvement in the community. It's just what we do.</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tcPr>
          <w:p>
            <w:pPr>
              <w:jc w:val="center"/>
              <w:ind w:left="159"/>
              <w:spacing w:after="0"/>
              <w:rPr>
                <w:sz w:val="20"/>
                <w:szCs w:val="20"/>
                <w:color w:val="auto"/>
              </w:rPr>
            </w:pPr>
            <w:r>
              <w:rPr>
                <w:rFonts w:ascii="Arial" w:cs="Arial" w:eastAsia="Arial" w:hAnsi="Arial"/>
                <w:sz w:val="16"/>
                <w:szCs w:val="16"/>
                <w:b w:val="1"/>
                <w:bCs w:val="1"/>
                <w:color w:val="006DB6"/>
              </w:rPr>
              <w:t>OUR PEOPLE</w:t>
            </w: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In 2021, we reached 7% Indigenous employment in Canada despite challenging market conditions that resulted in reduced</w:t>
            </w:r>
          </w:p>
        </w:tc>
      </w:tr>
      <w:tr>
        <w:trPr>
          <w:trHeight w:val="215"/>
        </w:trPr>
        <w:tc>
          <w:tcPr>
            <w:tcW w:w="178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6"/>
                <w:szCs w:val="16"/>
                <w:color w:val="auto"/>
              </w:rPr>
              <w:t>hiring in the region. Approximately 7% of our total new hires in Canada were of Indigenous background during 2021.</w:t>
            </w:r>
          </w:p>
        </w:tc>
      </w:tr>
      <w:tr>
        <w:trPr>
          <w:trHeight w:val="257"/>
        </w:trPr>
        <w:tc>
          <w:tcPr>
            <w:tcW w:w="1780" w:type="dxa"/>
            <w:vAlign w:val="bottom"/>
          </w:tcPr>
          <w:p>
            <w:pPr>
              <w:spacing w:after="0"/>
              <w:rPr>
                <w:sz w:val="22"/>
                <w:szCs w:val="22"/>
                <w:color w:val="auto"/>
              </w:rPr>
            </w:pP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In 2021, Civeo adopted a formal Human Rights policy.</w:t>
            </w:r>
          </w:p>
        </w:tc>
      </w:tr>
      <w:tr>
        <w:trPr>
          <w:trHeight w:val="231"/>
        </w:trPr>
        <w:tc>
          <w:tcPr>
            <w:tcW w:w="1780" w:type="dxa"/>
            <w:vAlign w:val="bottom"/>
          </w:tcPr>
          <w:p>
            <w:pPr>
              <w:spacing w:after="0"/>
              <w:rPr>
                <w:sz w:val="20"/>
                <w:szCs w:val="20"/>
                <w:color w:val="auto"/>
              </w:rPr>
            </w:pP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Since 2014, we have had a program to facilitate mentoring relationships between experienced leaders in Civeo and</w:t>
            </w:r>
          </w:p>
        </w:tc>
      </w:tr>
      <w:tr>
        <w:trPr>
          <w:trHeight w:val="215"/>
        </w:trPr>
        <w:tc>
          <w:tcPr>
            <w:tcW w:w="178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6"/>
                <w:szCs w:val="16"/>
                <w:color w:val="auto"/>
              </w:rPr>
              <w:t>employees who are at the early stages of their careers.</w:t>
            </w:r>
          </w:p>
        </w:tc>
      </w:tr>
      <w:tr>
        <w:trPr>
          <w:trHeight w:val="137"/>
        </w:trPr>
        <w:tc>
          <w:tcPr>
            <w:tcW w:w="1780" w:type="dxa"/>
            <w:vAlign w:val="bottom"/>
            <w:tcBorders>
              <w:bottom w:val="single" w:sz="8" w:color="auto"/>
            </w:tcBorders>
          </w:tcPr>
          <w:p>
            <w:pPr>
              <w:spacing w:after="0"/>
              <w:rPr>
                <w:sz w:val="11"/>
                <w:szCs w:val="11"/>
                <w:color w:val="auto"/>
              </w:rPr>
            </w:pPr>
          </w:p>
        </w:tc>
        <w:tc>
          <w:tcPr>
            <w:tcW w:w="9460" w:type="dxa"/>
            <w:vAlign w:val="bottom"/>
            <w:tcBorders>
              <w:bottom w:val="single" w:sz="8" w:color="auto"/>
            </w:tcBorders>
          </w:tcPr>
          <w:p>
            <w:pPr>
              <w:spacing w:after="0"/>
              <w:rPr>
                <w:sz w:val="11"/>
                <w:szCs w:val="11"/>
                <w:color w:val="auto"/>
              </w:rPr>
            </w:pPr>
          </w:p>
        </w:tc>
      </w:tr>
      <w:tr>
        <w:trPr>
          <w:trHeight w:val="317"/>
        </w:trPr>
        <w:tc>
          <w:tcPr>
            <w:tcW w:w="1780" w:type="dxa"/>
            <w:vAlign w:val="bottom"/>
          </w:tcPr>
          <w:p>
            <w:pPr>
              <w:jc w:val="center"/>
              <w:ind w:left="139"/>
              <w:spacing w:after="0"/>
              <w:rPr>
                <w:sz w:val="20"/>
                <w:szCs w:val="20"/>
                <w:color w:val="auto"/>
              </w:rPr>
            </w:pPr>
            <w:r>
              <w:rPr>
                <w:rFonts w:ascii="Arial" w:cs="Arial" w:eastAsia="Arial" w:hAnsi="Arial"/>
                <w:sz w:val="16"/>
                <w:szCs w:val="16"/>
                <w:b w:val="1"/>
                <w:bCs w:val="1"/>
                <w:color w:val="006DB6"/>
              </w:rPr>
              <w:t>SAFETY</w:t>
            </w: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Our safety culture is driven by our leaders, in conjunction with active employee engagement - we are focused on "Making</w:t>
            </w:r>
          </w:p>
        </w:tc>
      </w:tr>
      <w:tr>
        <w:trPr>
          <w:trHeight w:val="215"/>
        </w:trPr>
        <w:tc>
          <w:tcPr>
            <w:tcW w:w="178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6"/>
                <w:szCs w:val="16"/>
                <w:color w:val="auto"/>
              </w:rPr>
              <w:t>Zero Count."</w:t>
            </w:r>
          </w:p>
        </w:tc>
      </w:tr>
      <w:tr>
        <w:trPr>
          <w:trHeight w:val="231"/>
        </w:trPr>
        <w:tc>
          <w:tcPr>
            <w:tcW w:w="1780" w:type="dxa"/>
            <w:vAlign w:val="bottom"/>
          </w:tcPr>
          <w:p>
            <w:pPr>
              <w:spacing w:after="0"/>
              <w:rPr>
                <w:sz w:val="20"/>
                <w:szCs w:val="20"/>
                <w:color w:val="auto"/>
              </w:rPr>
            </w:pP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We implemented a number of initiatives to protect the health of our staff, guests and communities during the COVID-19</w:t>
            </w:r>
          </w:p>
        </w:tc>
      </w:tr>
      <w:tr>
        <w:trPr>
          <w:trHeight w:val="189"/>
        </w:trPr>
        <w:tc>
          <w:tcPr>
            <w:tcW w:w="1780" w:type="dxa"/>
            <w:vAlign w:val="bottom"/>
          </w:tcPr>
          <w:p>
            <w:pPr>
              <w:spacing w:after="0"/>
              <w:rPr>
                <w:sz w:val="16"/>
                <w:szCs w:val="16"/>
                <w:color w:val="auto"/>
              </w:rPr>
            </w:pPr>
          </w:p>
        </w:tc>
        <w:tc>
          <w:tcPr>
            <w:tcW w:w="9460" w:type="dxa"/>
            <w:vAlign w:val="bottom"/>
          </w:tcPr>
          <w:p>
            <w:pPr>
              <w:ind w:left="440"/>
              <w:spacing w:after="0"/>
              <w:rPr>
                <w:sz w:val="20"/>
                <w:szCs w:val="20"/>
                <w:color w:val="auto"/>
              </w:rPr>
            </w:pPr>
            <w:r>
              <w:rPr>
                <w:rFonts w:ascii="Arial" w:cs="Arial" w:eastAsia="Arial" w:hAnsi="Arial"/>
                <w:sz w:val="16"/>
                <w:szCs w:val="16"/>
                <w:color w:val="auto"/>
              </w:rPr>
              <w:t>pandemic. We also developed and implemented a comprehensive suite of COVID-19 Work Instructions to ensure the safety</w:t>
            </w:r>
          </w:p>
        </w:tc>
      </w:tr>
      <w:tr>
        <w:trPr>
          <w:trHeight w:val="215"/>
        </w:trPr>
        <w:tc>
          <w:tcPr>
            <w:tcW w:w="178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6"/>
                <w:szCs w:val="16"/>
                <w:color w:val="auto"/>
              </w:rPr>
              <w:t>of our guests and staff, while maintaining operations throughout the pandemic.</w:t>
            </w:r>
          </w:p>
        </w:tc>
      </w:tr>
      <w:tr>
        <w:trPr>
          <w:trHeight w:val="231"/>
        </w:trPr>
        <w:tc>
          <w:tcPr>
            <w:tcW w:w="1780" w:type="dxa"/>
            <w:vAlign w:val="bottom"/>
          </w:tcPr>
          <w:p>
            <w:pPr>
              <w:spacing w:after="0"/>
              <w:rPr>
                <w:sz w:val="20"/>
                <w:szCs w:val="20"/>
                <w:color w:val="auto"/>
              </w:rPr>
            </w:pP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During 2021, we sheltered approximately 350 first responders and 260 evacuees during the British Columbia floods, without</w:t>
            </w:r>
          </w:p>
        </w:tc>
      </w:tr>
      <w:tr>
        <w:trPr>
          <w:trHeight w:val="215"/>
        </w:trPr>
        <w:tc>
          <w:tcPr>
            <w:tcW w:w="178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6"/>
                <w:szCs w:val="16"/>
                <w:color w:val="auto"/>
              </w:rPr>
              <w:t>compromising any COVID-19 protocols.</w:t>
            </w:r>
          </w:p>
        </w:tc>
      </w:tr>
      <w:tr>
        <w:trPr>
          <w:trHeight w:val="270"/>
        </w:trPr>
        <w:tc>
          <w:tcPr>
            <w:tcW w:w="1780" w:type="dxa"/>
            <w:vAlign w:val="bottom"/>
          </w:tcPr>
          <w:p>
            <w:pPr>
              <w:spacing w:after="0"/>
              <w:rPr>
                <w:sz w:val="23"/>
                <w:szCs w:val="23"/>
                <w:color w:val="auto"/>
              </w:rPr>
            </w:pP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During 2021, we successfully reduced our TRIR in Australia by more than 33%.</w:t>
            </w:r>
          </w:p>
        </w:tc>
      </w:tr>
      <w:tr>
        <w:trPr>
          <w:trHeight w:val="256"/>
        </w:trPr>
        <w:tc>
          <w:tcPr>
            <w:tcW w:w="1780" w:type="dxa"/>
            <w:vAlign w:val="bottom"/>
          </w:tcPr>
          <w:p>
            <w:pPr>
              <w:spacing w:after="0"/>
              <w:rPr>
                <w:sz w:val="22"/>
                <w:szCs w:val="22"/>
                <w:color w:val="auto"/>
              </w:rPr>
            </w:pPr>
          </w:p>
        </w:tc>
        <w:tc>
          <w:tcPr>
            <w:tcW w:w="9460" w:type="dxa"/>
            <w:vAlign w:val="bottom"/>
          </w:tcPr>
          <w:p>
            <w:pPr>
              <w:ind w:left="2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As of December 31, 2021, we have worked two complete years without a Lost Time Incident across all Canadian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-2055495</wp:posOffset>
            </wp:positionV>
            <wp:extent cx="565785" cy="377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 cy="3771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-1172210</wp:posOffset>
            </wp:positionV>
            <wp:extent cx="480060" cy="368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060" cy="36893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COMMUNITY</w:t>
      </w:r>
    </w:p>
    <w:p>
      <w:pPr>
        <w:spacing w:after="0" w:line="21"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514350" cy="36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196" w:right="120" w:hanging="196"/>
        <w:spacing w:after="0" w:line="286" w:lineRule="auto"/>
        <w:tabs>
          <w:tab w:leader="none" w:pos="166" w:val="left"/>
        </w:tabs>
        <w:numPr>
          <w:ilvl w:val="0"/>
          <w:numId w:val="6"/>
        </w:numPr>
        <w:rPr>
          <w:rFonts w:ascii="Arial" w:cs="Arial" w:eastAsia="Arial" w:hAnsi="Arial"/>
          <w:sz w:val="16"/>
          <w:szCs w:val="16"/>
          <w:color w:val="006DB6"/>
        </w:rPr>
      </w:pPr>
      <w:r>
        <w:rPr>
          <w:rFonts w:ascii="Arial" w:cs="Arial" w:eastAsia="Arial" w:hAnsi="Arial"/>
          <w:sz w:val="16"/>
          <w:szCs w:val="16"/>
          <w:color w:val="auto"/>
        </w:rPr>
        <w:t>Since 2013, we have supported more than 27 schools across New South Wales, Queensland and Western Australia with our School Mates Grants.</w:t>
      </w:r>
    </w:p>
    <w:p>
      <w:pPr>
        <w:spacing w:after="0" w:line="7" w:lineRule="exact"/>
        <w:rPr>
          <w:rFonts w:ascii="Arial" w:cs="Arial" w:eastAsia="Arial" w:hAnsi="Arial"/>
          <w:sz w:val="16"/>
          <w:szCs w:val="16"/>
          <w:color w:val="006DB6"/>
        </w:rPr>
      </w:pPr>
    </w:p>
    <w:p>
      <w:pPr>
        <w:ind w:left="196" w:right="620" w:hanging="196"/>
        <w:spacing w:after="0" w:line="286" w:lineRule="auto"/>
        <w:tabs>
          <w:tab w:leader="none" w:pos="166" w:val="left"/>
        </w:tabs>
        <w:numPr>
          <w:ilvl w:val="0"/>
          <w:numId w:val="6"/>
        </w:numPr>
        <w:rPr>
          <w:rFonts w:ascii="Arial" w:cs="Arial" w:eastAsia="Arial" w:hAnsi="Arial"/>
          <w:sz w:val="16"/>
          <w:szCs w:val="16"/>
          <w:color w:val="006DB6"/>
        </w:rPr>
      </w:pPr>
      <w:r>
        <w:rPr>
          <w:rFonts w:ascii="Arial" w:cs="Arial" w:eastAsia="Arial" w:hAnsi="Arial"/>
          <w:sz w:val="16"/>
          <w:szCs w:val="16"/>
          <w:color w:val="auto"/>
        </w:rPr>
        <w:t>Civeo has partnered with Junior Achievement of Southeast Texas to help foster work-readiness, entrepreneurship and financial literacy skills in Houston students.</w:t>
      </w:r>
    </w:p>
    <w:p>
      <w:pPr>
        <w:spacing w:after="0" w:line="7" w:lineRule="exact"/>
        <w:rPr>
          <w:rFonts w:ascii="Arial" w:cs="Arial" w:eastAsia="Arial" w:hAnsi="Arial"/>
          <w:sz w:val="16"/>
          <w:szCs w:val="16"/>
          <w:color w:val="006DB6"/>
        </w:rPr>
      </w:pPr>
    </w:p>
    <w:p>
      <w:pPr>
        <w:ind w:left="196" w:right="340" w:hanging="196"/>
        <w:spacing w:after="0" w:line="286" w:lineRule="auto"/>
        <w:tabs>
          <w:tab w:leader="none" w:pos="166" w:val="left"/>
        </w:tabs>
        <w:numPr>
          <w:ilvl w:val="0"/>
          <w:numId w:val="6"/>
        </w:numPr>
        <w:rPr>
          <w:rFonts w:ascii="Arial" w:cs="Arial" w:eastAsia="Arial" w:hAnsi="Arial"/>
          <w:sz w:val="16"/>
          <w:szCs w:val="16"/>
          <w:color w:val="006DB6"/>
        </w:rPr>
      </w:pPr>
      <w:r>
        <w:rPr>
          <w:rFonts w:ascii="Arial" w:cs="Arial" w:eastAsia="Arial" w:hAnsi="Arial"/>
          <w:sz w:val="16"/>
          <w:szCs w:val="16"/>
          <w:color w:val="auto"/>
        </w:rPr>
        <w:t>Civeo works with the Moranbah Community Health Partnership to provide discounted rooms to health professionals vising regional communities in the Bowen Basin.</w:t>
      </w:r>
    </w:p>
    <w:p>
      <w:pPr>
        <w:spacing w:after="0" w:line="20" w:lineRule="exact"/>
        <w:rPr>
          <w:rFonts w:ascii="Arial" w:cs="Arial" w:eastAsia="Arial" w:hAnsi="Arial"/>
          <w:sz w:val="16"/>
          <w:szCs w:val="16"/>
          <w:color w:val="006DB6"/>
        </w:rPr>
      </w:pPr>
    </w:p>
    <w:p>
      <w:pPr>
        <w:ind w:left="196" w:right="720" w:hanging="196"/>
        <w:spacing w:after="0" w:line="286" w:lineRule="auto"/>
        <w:tabs>
          <w:tab w:leader="none" w:pos="166" w:val="left"/>
        </w:tabs>
        <w:numPr>
          <w:ilvl w:val="0"/>
          <w:numId w:val="6"/>
        </w:numPr>
        <w:rPr>
          <w:rFonts w:ascii="Arial" w:cs="Arial" w:eastAsia="Arial" w:hAnsi="Arial"/>
          <w:sz w:val="16"/>
          <w:szCs w:val="16"/>
          <w:color w:val="006DB6"/>
        </w:rPr>
      </w:pPr>
      <w:r>
        <w:rPr>
          <w:rFonts w:ascii="Arial" w:cs="Arial" w:eastAsia="Arial" w:hAnsi="Arial"/>
          <w:sz w:val="16"/>
          <w:szCs w:val="16"/>
          <w:color w:val="auto"/>
        </w:rPr>
        <w:t>We are working with Inclusion Alberta, a family-based non-profit federation, to provide a place to work for community members with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64770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1640" w:space="384"/>
            <w:col w:w="9216"/>
          </w:cols>
          <w:pgMar w:left="320" w:top="233" w:right="339" w:bottom="1440" w:gutter="0" w:footer="0" w:header="0"/>
          <w:type w:val="continuous"/>
        </w:sectPr>
      </w:pPr>
    </w:p>
    <w:p>
      <w:pPr>
        <w:jc w:val="center"/>
        <w:ind w:left="420"/>
        <w:spacing w:after="0"/>
        <w:rPr>
          <w:sz w:val="20"/>
          <w:szCs w:val="20"/>
          <w:color w:val="auto"/>
        </w:rPr>
      </w:pPr>
      <w:r>
        <w:rPr>
          <w:rFonts w:ascii="Arial" w:cs="Arial" w:eastAsia="Arial" w:hAnsi="Arial"/>
          <w:sz w:val="16"/>
          <w:szCs w:val="16"/>
          <w:b w:val="1"/>
          <w:bCs w:val="1"/>
          <w:color w:val="006DB6"/>
        </w:rPr>
        <w:t>INDIGENOUS</w:t>
      </w:r>
    </w:p>
    <w:p>
      <w:pPr>
        <w:spacing w:after="0" w:line="21"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006DB6"/>
        </w:rPr>
        <w:t>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514350" cy="531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96" w:right="180" w:hanging="196"/>
        <w:spacing w:after="0" w:line="266" w:lineRule="auto"/>
        <w:tabs>
          <w:tab w:leader="none" w:pos="166" w:val="left"/>
        </w:tabs>
        <w:numPr>
          <w:ilvl w:val="0"/>
          <w:numId w:val="7"/>
        </w:numPr>
        <w:rPr>
          <w:rFonts w:ascii="Arial" w:cs="Arial" w:eastAsia="Arial" w:hAnsi="Arial"/>
          <w:sz w:val="16"/>
          <w:szCs w:val="16"/>
          <w:color w:val="006DB6"/>
        </w:rPr>
      </w:pPr>
      <w:r>
        <w:rPr>
          <w:rFonts w:ascii="Arial" w:cs="Arial" w:eastAsia="Arial" w:hAnsi="Arial"/>
          <w:sz w:val="16"/>
          <w:szCs w:val="16"/>
          <w:color w:val="auto"/>
        </w:rPr>
        <w:t>In 2021, we purchased more than C$56.5 million in goods and services from the Indigenous business community, representing 32% of our total Canadian local spending and a 45% increase in our Canadian Indigenous supply chain spend in 2021 vs. 2020.</w:t>
      </w:r>
    </w:p>
    <w:p>
      <w:pPr>
        <w:spacing w:after="0" w:line="22" w:lineRule="exact"/>
        <w:rPr>
          <w:rFonts w:ascii="Arial" w:cs="Arial" w:eastAsia="Arial" w:hAnsi="Arial"/>
          <w:sz w:val="16"/>
          <w:szCs w:val="16"/>
          <w:color w:val="006DB6"/>
        </w:rPr>
      </w:pPr>
    </w:p>
    <w:p>
      <w:pPr>
        <w:ind w:left="196" w:right="280" w:hanging="196"/>
        <w:spacing w:after="0" w:line="266" w:lineRule="auto"/>
        <w:tabs>
          <w:tab w:leader="none" w:pos="166" w:val="left"/>
        </w:tabs>
        <w:numPr>
          <w:ilvl w:val="0"/>
          <w:numId w:val="7"/>
        </w:numPr>
        <w:rPr>
          <w:rFonts w:ascii="Arial" w:cs="Arial" w:eastAsia="Arial" w:hAnsi="Arial"/>
          <w:sz w:val="16"/>
          <w:szCs w:val="16"/>
          <w:color w:val="006DB6"/>
        </w:rPr>
      </w:pPr>
      <w:r>
        <w:rPr>
          <w:rFonts w:ascii="Arial" w:cs="Arial" w:eastAsia="Arial" w:hAnsi="Arial"/>
          <w:sz w:val="16"/>
          <w:szCs w:val="16"/>
          <w:color w:val="auto"/>
        </w:rPr>
        <w:t>We have spent approximately A$5.7 million annually with Indigenous-owned and operated companies in Australia, through our membership with Supply Nation, a non-profit organization committed to supplier diversity and Indigenous business developments.</w:t>
      </w:r>
    </w:p>
    <w:p>
      <w:pPr>
        <w:spacing w:after="0" w:line="22" w:lineRule="exact"/>
        <w:rPr>
          <w:rFonts w:ascii="Arial" w:cs="Arial" w:eastAsia="Arial" w:hAnsi="Arial"/>
          <w:sz w:val="16"/>
          <w:szCs w:val="16"/>
          <w:color w:val="006DB6"/>
        </w:rPr>
      </w:pPr>
    </w:p>
    <w:p>
      <w:pPr>
        <w:ind w:left="196" w:right="320" w:hanging="196"/>
        <w:spacing w:after="0" w:line="286" w:lineRule="auto"/>
        <w:tabs>
          <w:tab w:leader="none" w:pos="166" w:val="left"/>
        </w:tabs>
        <w:numPr>
          <w:ilvl w:val="0"/>
          <w:numId w:val="7"/>
        </w:numPr>
        <w:rPr>
          <w:rFonts w:ascii="Arial" w:cs="Arial" w:eastAsia="Arial" w:hAnsi="Arial"/>
          <w:sz w:val="16"/>
          <w:szCs w:val="16"/>
          <w:color w:val="006DB6"/>
        </w:rPr>
      </w:pPr>
      <w:r>
        <w:rPr>
          <w:rFonts w:ascii="Arial" w:cs="Arial" w:eastAsia="Arial" w:hAnsi="Arial"/>
          <w:sz w:val="16"/>
          <w:szCs w:val="16"/>
          <w:color w:val="auto"/>
        </w:rPr>
        <w:t>Since 2016, Civeo has partnered with the Clontarf Foundation, which helps young First Nations men from across Australia complete Year 12 and find employment.</w:t>
      </w:r>
    </w:p>
    <w:p>
      <w:pPr>
        <w:spacing w:after="0" w:line="20" w:lineRule="exact"/>
        <w:rPr>
          <w:rFonts w:ascii="Arial" w:cs="Arial" w:eastAsia="Arial" w:hAnsi="Arial"/>
          <w:sz w:val="16"/>
          <w:szCs w:val="16"/>
          <w:color w:val="006DB6"/>
        </w:rPr>
      </w:pPr>
    </w:p>
    <w:p>
      <w:pPr>
        <w:ind w:left="156" w:hanging="156"/>
        <w:spacing w:after="0"/>
        <w:tabs>
          <w:tab w:leader="none" w:pos="156" w:val="left"/>
        </w:tabs>
        <w:numPr>
          <w:ilvl w:val="0"/>
          <w:numId w:val="7"/>
        </w:numPr>
        <w:rPr>
          <w:rFonts w:ascii="Arial" w:cs="Arial" w:eastAsia="Arial" w:hAnsi="Arial"/>
          <w:sz w:val="16"/>
          <w:szCs w:val="16"/>
          <w:color w:val="006DB6"/>
        </w:rPr>
      </w:pPr>
      <w:r>
        <w:rPr>
          <w:rFonts w:ascii="Arial" w:cs="Arial" w:eastAsia="Arial" w:hAnsi="Arial"/>
          <w:sz w:val="16"/>
          <w:szCs w:val="16"/>
          <w:color w:val="auto"/>
        </w:rPr>
        <w:t>We maintained Gold level certification in Canada's Progressive Aboriginal Relations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106680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44"/>
            <w:col w:w="9216"/>
          </w:cols>
          <w:pgMar w:left="320" w:top="233" w:right="339" w:bottom="1440" w:gutter="0" w:footer="0" w:header="0"/>
          <w:type w:val="continuous"/>
        </w:sectPr>
      </w:pP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006DB6"/>
        </w:rPr>
        <w:t>ENVIRONMENTAL</w:t>
      </w:r>
    </w:p>
    <w:p>
      <w:pPr>
        <w:spacing w:after="0" w:line="21"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006DB6"/>
        </w:rPr>
        <w:t>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1905</wp:posOffset>
            </wp:positionV>
            <wp:extent cx="505460" cy="4883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546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56" w:hanging="156"/>
        <w:spacing w:after="0"/>
        <w:tabs>
          <w:tab w:leader="none" w:pos="156" w:val="left"/>
        </w:tabs>
        <w:numPr>
          <w:ilvl w:val="0"/>
          <w:numId w:val="8"/>
        </w:numPr>
        <w:rPr>
          <w:rFonts w:ascii="Arial" w:cs="Arial" w:eastAsia="Arial" w:hAnsi="Arial"/>
          <w:sz w:val="16"/>
          <w:szCs w:val="16"/>
          <w:color w:val="006DB6"/>
        </w:rPr>
      </w:pPr>
      <w:r>
        <w:rPr>
          <w:rFonts w:ascii="Arial" w:cs="Arial" w:eastAsia="Arial" w:hAnsi="Arial"/>
          <w:sz w:val="16"/>
          <w:szCs w:val="16"/>
          <w:color w:val="auto"/>
        </w:rPr>
        <w:t>Our state-of-the-art Canadian laundry facility uses approximately 35% less water than a conventional laundry facility.</w:t>
      </w:r>
    </w:p>
    <w:p>
      <w:pPr>
        <w:spacing w:after="0" w:line="59" w:lineRule="exact"/>
        <w:rPr>
          <w:rFonts w:ascii="Arial" w:cs="Arial" w:eastAsia="Arial" w:hAnsi="Arial"/>
          <w:sz w:val="16"/>
          <w:szCs w:val="16"/>
          <w:color w:val="006DB6"/>
        </w:rPr>
      </w:pPr>
    </w:p>
    <w:p>
      <w:pPr>
        <w:ind w:left="196" w:right="100" w:hanging="196"/>
        <w:spacing w:after="0" w:line="251" w:lineRule="auto"/>
        <w:tabs>
          <w:tab w:leader="none" w:pos="166" w:val="left"/>
        </w:tabs>
        <w:numPr>
          <w:ilvl w:val="0"/>
          <w:numId w:val="8"/>
        </w:numPr>
        <w:rPr>
          <w:rFonts w:ascii="Arial" w:cs="Arial" w:eastAsia="Arial" w:hAnsi="Arial"/>
          <w:sz w:val="16"/>
          <w:szCs w:val="16"/>
          <w:color w:val="006DB6"/>
        </w:rPr>
      </w:pPr>
      <w:r>
        <w:rPr>
          <w:rFonts w:ascii="Arial" w:cs="Arial" w:eastAsia="Arial" w:hAnsi="Arial"/>
          <w:sz w:val="16"/>
          <w:szCs w:val="16"/>
          <w:color w:val="auto"/>
        </w:rPr>
        <w:t>At eleven villages in Western Australia and five villages in Queensland, we have completely removed single use plastics from our retail operations.</w:t>
      </w:r>
    </w:p>
    <w:p>
      <w:pPr>
        <w:spacing w:after="0" w:line="20" w:lineRule="exact"/>
        <w:rPr>
          <w:rFonts w:ascii="Arial" w:cs="Arial" w:eastAsia="Arial" w:hAnsi="Arial"/>
          <w:sz w:val="16"/>
          <w:szCs w:val="16"/>
          <w:color w:val="006DB6"/>
        </w:rPr>
      </w:pPr>
    </w:p>
    <w:p>
      <w:pPr>
        <w:ind w:left="196" w:right="360" w:hanging="196"/>
        <w:spacing w:after="0" w:line="286" w:lineRule="auto"/>
        <w:tabs>
          <w:tab w:leader="none" w:pos="166" w:val="left"/>
        </w:tabs>
        <w:numPr>
          <w:ilvl w:val="0"/>
          <w:numId w:val="8"/>
        </w:numPr>
        <w:rPr>
          <w:rFonts w:ascii="Arial" w:cs="Arial" w:eastAsia="Arial" w:hAnsi="Arial"/>
          <w:sz w:val="16"/>
          <w:szCs w:val="16"/>
          <w:color w:val="006DB6"/>
        </w:rPr>
      </w:pPr>
      <w:r>
        <w:rPr>
          <w:rFonts w:ascii="Arial" w:cs="Arial" w:eastAsia="Arial" w:hAnsi="Arial"/>
          <w:sz w:val="16"/>
          <w:szCs w:val="16"/>
          <w:color w:val="auto"/>
        </w:rPr>
        <w:t>Three Canadian legacy sites have been fully reclaimed and returned to a natural state. Seven additional Canadian legacy sites are in the advanced stages of being reclaimed.</w:t>
      </w:r>
    </w:p>
    <w:p>
      <w:pPr>
        <w:spacing w:after="0" w:line="7" w:lineRule="exact"/>
        <w:rPr>
          <w:rFonts w:ascii="Arial" w:cs="Arial" w:eastAsia="Arial" w:hAnsi="Arial"/>
          <w:sz w:val="16"/>
          <w:szCs w:val="16"/>
          <w:color w:val="006DB6"/>
        </w:rPr>
      </w:pPr>
    </w:p>
    <w:p>
      <w:pPr>
        <w:ind w:left="196" w:right="560" w:hanging="196"/>
        <w:spacing w:after="0" w:line="251" w:lineRule="auto"/>
        <w:tabs>
          <w:tab w:leader="none" w:pos="166" w:val="left"/>
        </w:tabs>
        <w:numPr>
          <w:ilvl w:val="0"/>
          <w:numId w:val="8"/>
        </w:numPr>
        <w:rPr>
          <w:rFonts w:ascii="Arial" w:cs="Arial" w:eastAsia="Arial" w:hAnsi="Arial"/>
          <w:sz w:val="16"/>
          <w:szCs w:val="16"/>
          <w:color w:val="006DB6"/>
        </w:rPr>
      </w:pPr>
      <w:r>
        <w:rPr>
          <w:rFonts w:ascii="Arial" w:cs="Arial" w:eastAsia="Arial" w:hAnsi="Arial"/>
          <w:sz w:val="16"/>
          <w:szCs w:val="16"/>
          <w:color w:val="auto"/>
        </w:rPr>
        <w:t>At Coppabella Village in Queensland, treated greywater is used as a recycled source of irrigation water for the village’s landscaping.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73025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700" w:space="324"/>
            <w:col w:w="9216"/>
          </w:cols>
          <w:pgMar w:left="320" w:top="233" w:right="339" w:bottom="1440" w:gutter="0" w:footer="0" w:header="0"/>
          <w:type w:val="continuous"/>
        </w:sectPr>
      </w:pPr>
    </w:p>
    <w:tbl>
      <w:tblPr>
        <w:tblLayout w:type="fixed"/>
        <w:tblInd w:w="380" w:type="dxa"/>
        <w:tblCellMar>
          <w:top w:w="0" w:type="dxa"/>
          <w:left w:w="0" w:type="dxa"/>
          <w:bottom w:w="0" w:type="dxa"/>
          <w:right w:w="0" w:type="dxa"/>
        </w:tblCellMar>
      </w:tblPr>
      <w:tr>
        <w:trPr>
          <w:trHeight w:val="189"/>
        </w:trPr>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006DB6"/>
              </w:rPr>
              <w:t>SHAREHOLDER</w:t>
            </w:r>
          </w:p>
        </w:tc>
        <w:tc>
          <w:tcPr>
            <w:tcW w:w="8720" w:type="dxa"/>
            <w:vAlign w:val="bottom"/>
            <w:vMerge w:val="restart"/>
          </w:tcPr>
          <w:p>
            <w:pPr>
              <w:ind w:left="20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During 2021, we met with Top 20 shareholders representing 74% of our fully diluted shares regarding the Company's</w:t>
            </w:r>
          </w:p>
        </w:tc>
        <w:tc>
          <w:tcPr>
            <w:tcW w:w="0" w:type="dxa"/>
            <w:vAlign w:val="bottom"/>
          </w:tcPr>
          <w:p>
            <w:pPr>
              <w:spacing w:after="0"/>
              <w:rPr>
                <w:sz w:val="1"/>
                <w:szCs w:val="1"/>
                <w:color w:val="auto"/>
              </w:rPr>
            </w:pPr>
          </w:p>
        </w:tc>
      </w:tr>
      <w:tr>
        <w:trPr>
          <w:trHeight w:val="81"/>
        </w:trPr>
        <w:tc>
          <w:tcPr>
            <w:tcW w:w="14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006DB6"/>
              </w:rPr>
              <w:t>ENGAGEMENT</w:t>
            </w: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40" w:type="dxa"/>
            <w:vAlign w:val="bottom"/>
            <w:vMerge w:val="continue"/>
          </w:tcPr>
          <w:p>
            <w:pPr>
              <w:spacing w:after="0"/>
              <w:rPr>
                <w:sz w:val="12"/>
                <w:szCs w:val="12"/>
                <w:color w:val="auto"/>
              </w:rPr>
            </w:pPr>
          </w:p>
        </w:tc>
        <w:tc>
          <w:tcPr>
            <w:tcW w:w="8720" w:type="dxa"/>
            <w:vAlign w:val="bottom"/>
            <w:vMerge w:val="restart"/>
          </w:tcPr>
          <w:p>
            <w:pPr>
              <w:ind w:left="400"/>
              <w:spacing w:after="0"/>
              <w:rPr>
                <w:sz w:val="20"/>
                <w:szCs w:val="20"/>
                <w:color w:val="auto"/>
              </w:rPr>
            </w:pPr>
            <w:r>
              <w:rPr>
                <w:rFonts w:ascii="Arial" w:cs="Arial" w:eastAsia="Arial" w:hAnsi="Arial"/>
                <w:sz w:val="16"/>
                <w:szCs w:val="16"/>
                <w:color w:val="auto"/>
              </w:rPr>
              <w:t>operations, financial results and strategy.</w:t>
            </w: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8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-58420</wp:posOffset>
            </wp:positionV>
            <wp:extent cx="480060" cy="3600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0060" cy="3600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807085</wp:posOffset>
            </wp:positionV>
            <wp:extent cx="394335"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240"/>
          </w:cols>
          <w:pgMar w:left="320" w:top="233"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915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2</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327"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5969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32</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Program Components</w:t>
      </w:r>
    </w:p>
    <w:p>
      <w:pPr>
        <w:spacing w:after="0" w:line="13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This section outlines each of the components of our compensation program.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0628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08" w:lineRule="exact"/>
        <w:rPr>
          <w:sz w:val="20"/>
          <w:szCs w:val="20"/>
          <w:color w:val="auto"/>
        </w:rPr>
      </w:pPr>
    </w:p>
    <w:p>
      <w:pPr>
        <w:ind w:left="20"/>
        <w:spacing w:after="0"/>
        <w:tabs>
          <w:tab w:leader="none" w:pos="3780" w:val="left"/>
          <w:tab w:leader="none" w:pos="7600" w:val="left"/>
        </w:tabs>
        <w:rPr>
          <w:sz w:val="20"/>
          <w:szCs w:val="20"/>
          <w:color w:val="auto"/>
        </w:rPr>
      </w:pPr>
      <w:r>
        <w:rPr>
          <w:rFonts w:ascii="Arial" w:cs="Arial" w:eastAsia="Arial" w:hAnsi="Arial"/>
          <w:sz w:val="14"/>
          <w:szCs w:val="14"/>
          <w:b w:val="1"/>
          <w:bCs w:val="1"/>
          <w:color w:val="706F6F"/>
        </w:rPr>
        <w:t>Base</w:t>
      </w:r>
      <w:r>
        <w:rPr>
          <w:sz w:val="20"/>
          <w:szCs w:val="20"/>
          <w:color w:val="auto"/>
        </w:rPr>
        <w:tab/>
      </w:r>
      <w:r>
        <w:rPr>
          <w:rFonts w:ascii="Arial" w:cs="Arial" w:eastAsia="Arial" w:hAnsi="Arial"/>
          <w:sz w:val="14"/>
          <w:szCs w:val="14"/>
          <w:b w:val="1"/>
          <w:bCs w:val="1"/>
          <w:color w:val="006DB6"/>
        </w:rPr>
        <w:t>Annual Incentive Compensation</w:t>
      </w:r>
      <w:r>
        <w:rPr>
          <w:sz w:val="20"/>
          <w:szCs w:val="20"/>
          <w:color w:val="auto"/>
        </w:rPr>
        <w:tab/>
      </w:r>
      <w:r>
        <w:rPr>
          <w:rFonts w:ascii="Arial" w:cs="Arial" w:eastAsia="Arial" w:hAnsi="Arial"/>
          <w:sz w:val="13"/>
          <w:szCs w:val="13"/>
          <w:color w:val="FFC03C"/>
        </w:rPr>
        <w:t>Long-Term</w:t>
      </w:r>
    </w:p>
    <w:p>
      <w:pPr>
        <w:spacing w:after="0" w:line="15" w:lineRule="exact"/>
        <w:rPr>
          <w:sz w:val="20"/>
          <w:szCs w:val="20"/>
          <w:color w:val="auto"/>
        </w:rPr>
      </w:pPr>
    </w:p>
    <w:p>
      <w:pPr>
        <w:ind w:left="20"/>
        <w:spacing w:after="0"/>
        <w:tabs>
          <w:tab w:leader="none" w:pos="3780" w:val="left"/>
          <w:tab w:leader="none" w:pos="7600" w:val="left"/>
        </w:tabs>
        <w:rPr>
          <w:sz w:val="20"/>
          <w:szCs w:val="20"/>
          <w:color w:val="auto"/>
        </w:rPr>
      </w:pPr>
      <w:r>
        <w:rPr>
          <w:rFonts w:ascii="Arial" w:cs="Arial" w:eastAsia="Arial" w:hAnsi="Arial"/>
          <w:sz w:val="14"/>
          <w:szCs w:val="14"/>
          <w:b w:val="1"/>
          <w:bCs w:val="1"/>
          <w:color w:val="706F6F"/>
        </w:rPr>
        <w:t>Salary</w:t>
      </w:r>
      <w:r>
        <w:rPr>
          <w:sz w:val="20"/>
          <w:szCs w:val="20"/>
          <w:color w:val="auto"/>
        </w:rPr>
        <w:tab/>
      </w:r>
      <w:r>
        <w:rPr>
          <w:rFonts w:ascii="Arial" w:cs="Arial" w:eastAsia="Arial" w:hAnsi="Arial"/>
          <w:sz w:val="14"/>
          <w:szCs w:val="14"/>
          <w:b w:val="1"/>
          <w:bCs w:val="1"/>
          <w:color w:val="006DB6"/>
        </w:rPr>
        <w:t>Plan ("AICP")</w:t>
      </w:r>
      <w:r>
        <w:rPr>
          <w:sz w:val="20"/>
          <w:szCs w:val="20"/>
          <w:color w:val="auto"/>
        </w:rPr>
        <w:tab/>
      </w:r>
      <w:r>
        <w:rPr>
          <w:rFonts w:ascii="Arial" w:cs="Arial" w:eastAsia="Arial" w:hAnsi="Arial"/>
          <w:sz w:val="14"/>
          <w:szCs w:val="14"/>
          <w:color w:val="FFC03C"/>
        </w:rPr>
        <w:t>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062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ind w:left="20"/>
        <w:spacing w:after="0" w:line="251" w:lineRule="auto"/>
        <w:rPr>
          <w:sz w:val="20"/>
          <w:szCs w:val="20"/>
          <w:color w:val="auto"/>
        </w:rPr>
      </w:pPr>
      <w:r>
        <w:rPr>
          <w:rFonts w:ascii="Arial" w:cs="Arial" w:eastAsia="Arial" w:hAnsi="Arial"/>
          <w:sz w:val="16"/>
          <w:szCs w:val="16"/>
          <w:color w:val="auto"/>
        </w:rPr>
        <w:t>Base salary recognizes the job being performed, executive seniority and tenure and the value of that job in the competitive market. Base salary must be sufficient to attract and retain the executive talent necessary for our success and provides an element of compensation that is not at risk to avoid fluctuations in compensation that could distract our executives from the performance of their responsibilities.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key objective of Civeo’s AICP is to reward the achievement of defined annual financial and safety objectives and to incentivize employee activities that will continually improve Civeo, both on a business unit and company-wide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551815</wp:posOffset>
            </wp:positionV>
            <wp:extent cx="71062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Civeo’s LTIP, established under the Equity Participation Plan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competitive and cyclical industry.</w:t>
      </w:r>
    </w:p>
    <w:p>
      <w:pPr>
        <w:spacing w:after="0" w:line="200" w:lineRule="exact"/>
        <w:rPr>
          <w:sz w:val="20"/>
          <w:szCs w:val="20"/>
          <w:color w:val="auto"/>
        </w:rPr>
      </w:pPr>
    </w:p>
    <w:p>
      <w:pPr>
        <w:sectPr>
          <w:pgSz w:w="11900" w:h="16838" w:orient="portrait"/>
          <w:cols w:equalWidth="0" w:num="3">
            <w:col w:w="3500" w:space="300"/>
            <w:col w:w="3500" w:space="320"/>
            <w:col w:w="3620"/>
          </w:cols>
          <w:pgMar w:left="320" w:top="125"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Changes to Executive Compensation in 2021</w:t>
      </w:r>
    </w:p>
    <w:p>
      <w:pPr>
        <w:spacing w:after="0" w:line="13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Based in part on the feedback from our shareholder engagement efforts in 2020, the Company altered its performance goals utilized under the Company’s AICP. Historically, the financial metric for AICP had been EBITDA. The Company continues to believe that EBITDA is an appropriate financial metric for Civeo as it is a commonly used financial measure for valuation and benchmarking in the oilfield services industry and it is closely correlated with cash flow from operations. For 2021, the Company also used consolidated adjusted operating cash flow as a financial metric under the AICP, given the Company’s dedicated focus on generating cash flow and reducing leverage. The weighting for the CEO was changed to 80% operating cash flow and 20% safety. The performance goals for the Company’s other NEOs were also revised to include the cash flow metric.</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Beginning in 2021, for any future equity grants, the Compensation Committee has committed to cap all future performance shares at 100% payout (Target) if Civeo's total shareholder return over the performance period is negative, irrespective of relative performance. Also, the Compensation Committee has committed that, beginning in 2021, all future performance share grants will require relative TSR at the 55th percentile to achieve Target. In previous performance share grants, relative TSR at the 50th percentile was required for Target. Additionally, in 2021, the Compensation Committee added a performance metric, cumulative free cash flow relative to a preset target, to the performance share grants, due in part on the feedback from our 2020 shareholder engagement efforts as well as the Company’s current focus on generating cash flow and reducing leverage.</w:t>
      </w:r>
    </w:p>
    <w:p>
      <w:pPr>
        <w:spacing w:after="0" w:line="60" w:lineRule="exact"/>
        <w:rPr>
          <w:sz w:val="20"/>
          <w:szCs w:val="20"/>
          <w:color w:val="auto"/>
        </w:rPr>
      </w:pPr>
    </w:p>
    <w:p>
      <w:pPr>
        <w:jc w:val="both"/>
        <w:ind w:right="320"/>
        <w:spacing w:after="0" w:line="248" w:lineRule="auto"/>
        <w:rPr>
          <w:sz w:val="20"/>
          <w:szCs w:val="20"/>
          <w:color w:val="auto"/>
        </w:rPr>
      </w:pPr>
      <w:r>
        <w:rPr>
          <w:rFonts w:ascii="Arial" w:cs="Arial" w:eastAsia="Arial" w:hAnsi="Arial"/>
          <w:sz w:val="16"/>
          <w:szCs w:val="16"/>
          <w:color w:val="auto"/>
        </w:rPr>
        <w:t>Finally, in addition to requiring executives to maintain minimum share ownership levels, the Compensation Committee has also adopted a holding period requirement subsequent to vesting for NEOs. NEOs must hold at least 50% of the net vested Civeo shares (after reduction for tax withholding) for twelve months subsequent to the date of vesting.</w:t>
      </w:r>
    </w:p>
    <w:p>
      <w:pPr>
        <w:spacing w:after="0" w:line="353"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Arial" w:cs="Arial" w:eastAsia="Arial" w:hAnsi="Arial"/>
                <w:sz w:val="14"/>
                <w:szCs w:val="14"/>
                <w:color w:val="auto"/>
              </w:rPr>
              <w:t>2022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bl>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1055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3</w:t>
      </w:r>
    </w:p>
    <w:p>
      <w:pPr>
        <w:spacing w:after="0" w:line="39" w:lineRule="exact"/>
        <w:rPr>
          <w:sz w:val="20"/>
          <w:szCs w:val="20"/>
          <w:color w:val="auto"/>
        </w:rPr>
      </w:pPr>
    </w:p>
    <w:p>
      <w:pPr>
        <w:ind w:left="20" w:right="660"/>
        <w:spacing w:after="0" w:line="329" w:lineRule="auto"/>
        <w:rPr>
          <w:sz w:val="20"/>
          <w:szCs w:val="20"/>
          <w:color w:val="auto"/>
        </w:rPr>
      </w:pPr>
      <w:r>
        <w:rPr>
          <w:rFonts w:ascii="Arial" w:cs="Arial" w:eastAsia="Arial" w:hAnsi="Arial"/>
          <w:sz w:val="25"/>
          <w:szCs w:val="25"/>
          <w:b w:val="1"/>
          <w:bCs w:val="1"/>
          <w:color w:val="006DB6"/>
        </w:rPr>
        <w:t>Ratification of Ernst &amp; Young LLP as Civeo’s Independent Registered Public Accounting Firm</w:t>
      </w:r>
    </w:p>
    <w:p>
      <w:pPr>
        <w:spacing w:after="0" w:line="16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58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Audit Committee of our board of directors has determined that the accounting firm of E&amp;Y is independent from the Company and once again selected E&amp;Y as the Company’s independent auditors for the year ending December 31, 2022. E&amp;Y has conducted the examination of the Company’s financial statements since the year ended December 31, 2010.</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Independent Registered Public Accounting Firm’s Fees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Ernst &amp; Young ("E&amp;Y") for 2021 and 2020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2021</w:t>
            </w:r>
          </w:p>
        </w:tc>
        <w:tc>
          <w:tcPr>
            <w:tcW w:w="660" w:type="dxa"/>
            <w:vAlign w:val="bottom"/>
          </w:tcPr>
          <w:p>
            <w:pPr>
              <w:jc w:val="right"/>
              <w:spacing w:after="0"/>
              <w:rPr>
                <w:sz w:val="20"/>
                <w:szCs w:val="20"/>
                <w:color w:val="auto"/>
              </w:rPr>
            </w:pPr>
            <w:r>
              <w:rPr>
                <w:rFonts w:ascii="Arial" w:cs="Arial" w:eastAsia="Arial" w:hAnsi="Arial"/>
                <w:sz w:val="13"/>
                <w:szCs w:val="13"/>
                <w:color w:val="auto"/>
              </w:rPr>
              <w:t>2020</w:t>
            </w:r>
          </w:p>
        </w:tc>
      </w:tr>
      <w:tr>
        <w:trPr>
          <w:trHeight w:val="176"/>
        </w:trPr>
        <w:tc>
          <w:tcPr>
            <w:tcW w:w="9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3"/>
        </w:trPr>
        <w:tc>
          <w:tcPr>
            <w:tcW w:w="9920" w:type="dxa"/>
            <w:vAlign w:val="bottom"/>
            <w:tcBorders>
              <w:bottom w:val="single" w:sz="8" w:color="006DB6"/>
            </w:tcBorders>
          </w:tcPr>
          <w:p>
            <w:pPr>
              <w:spacing w:after="0"/>
              <w:rPr>
                <w:sz w:val="2"/>
                <w:szCs w:val="2"/>
                <w:color w:val="auto"/>
              </w:rPr>
            </w:pPr>
          </w:p>
        </w:tc>
        <w:tc>
          <w:tcPr>
            <w:tcW w:w="660" w:type="dxa"/>
            <w:vAlign w:val="bottom"/>
            <w:tcBorders>
              <w:bottom w:val="single" w:sz="8" w:color="006DB6"/>
            </w:tcBorders>
          </w:tcPr>
          <w:p>
            <w:pPr>
              <w:spacing w:after="0"/>
              <w:rPr>
                <w:sz w:val="2"/>
                <w:szCs w:val="2"/>
                <w:color w:val="auto"/>
              </w:rPr>
            </w:pPr>
          </w:p>
        </w:tc>
        <w:tc>
          <w:tcPr>
            <w:tcW w:w="660" w:type="dxa"/>
            <w:vAlign w:val="bottom"/>
            <w:tcBorders>
              <w:bottom w:val="single" w:sz="8" w:color="006DB6"/>
            </w:tcBorders>
          </w:tcPr>
          <w:p>
            <w:pPr>
              <w:spacing w:after="0"/>
              <w:rPr>
                <w:sz w:val="2"/>
                <w:szCs w:val="2"/>
                <w:color w:val="auto"/>
              </w:rPr>
            </w:pPr>
          </w:p>
        </w:tc>
      </w:tr>
      <w:tr>
        <w:trPr>
          <w:trHeight w:val="236"/>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660" w:type="dxa"/>
            <w:vAlign w:val="bottom"/>
            <w:tcBorders>
              <w:bottom w:val="single" w:sz="8" w:color="auto"/>
            </w:tcBorders>
            <w:shd w:val="clear" w:color="auto" w:fill="E8EEF7"/>
          </w:tcPr>
          <w:p>
            <w:pPr>
              <w:jc w:val="right"/>
              <w:ind w:right="3"/>
              <w:spacing w:after="0"/>
              <w:rPr>
                <w:sz w:val="20"/>
                <w:szCs w:val="20"/>
                <w:color w:val="auto"/>
              </w:rPr>
            </w:pPr>
            <w:r>
              <w:rPr>
                <w:rFonts w:ascii="Arial" w:cs="Arial" w:eastAsia="Arial" w:hAnsi="Arial"/>
                <w:sz w:val="16"/>
                <w:szCs w:val="16"/>
                <w:color w:val="auto"/>
              </w:rPr>
              <w:t>1,650</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1,660</w:t>
            </w:r>
          </w:p>
        </w:tc>
      </w:tr>
      <w:tr>
        <w:trPr>
          <w:trHeight w:val="237"/>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660" w:type="dxa"/>
            <w:vAlign w:val="bottom"/>
            <w:tcBorders>
              <w:bottom w:val="single" w:sz="8" w:color="auto"/>
            </w:tcBorders>
            <w:shd w:val="clear" w:color="auto" w:fill="E8EEF7"/>
          </w:tcPr>
          <w:p>
            <w:pPr>
              <w:jc w:val="right"/>
              <w:ind w:right="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r>
      <w:tr>
        <w:trPr>
          <w:trHeight w:val="237"/>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660" w:type="dxa"/>
            <w:vAlign w:val="bottom"/>
            <w:tcBorders>
              <w:bottom w:val="single" w:sz="8" w:color="auto"/>
            </w:tcBorders>
            <w:shd w:val="clear" w:color="auto" w:fill="E8EEF7"/>
          </w:tcPr>
          <w:p>
            <w:pPr>
              <w:jc w:val="right"/>
              <w:ind w:right="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r>
      <w:tr>
        <w:trPr>
          <w:trHeight w:val="237"/>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660" w:type="dxa"/>
            <w:vAlign w:val="bottom"/>
            <w:tcBorders>
              <w:bottom w:val="single" w:sz="8" w:color="auto"/>
            </w:tcBorders>
            <w:shd w:val="clear" w:color="auto" w:fill="E8EEF7"/>
          </w:tcPr>
          <w:p>
            <w:pPr>
              <w:jc w:val="right"/>
              <w:ind w:right="3"/>
              <w:spacing w:after="0"/>
              <w:rPr>
                <w:sz w:val="20"/>
                <w:szCs w:val="20"/>
                <w:color w:val="auto"/>
              </w:rPr>
            </w:pPr>
            <w:r>
              <w:rPr>
                <w:rFonts w:ascii="Arial" w:cs="Arial" w:eastAsia="Arial" w:hAnsi="Arial"/>
                <w:sz w:val="16"/>
                <w:szCs w:val="16"/>
                <w:color w:val="auto"/>
              </w:rPr>
              <w:t>5</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w:t>
            </w:r>
          </w:p>
        </w:tc>
      </w:tr>
      <w:tr>
        <w:trPr>
          <w:trHeight w:val="239"/>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660" w:type="dxa"/>
            <w:vAlign w:val="bottom"/>
            <w:tcBorders>
              <w:bottom w:val="single" w:sz="8" w:color="auto"/>
            </w:tcBorders>
            <w:shd w:val="clear" w:color="auto" w:fill="E8EEF7"/>
          </w:tcPr>
          <w:p>
            <w:pPr>
              <w:jc w:val="right"/>
              <w:ind w:right="3"/>
              <w:spacing w:after="0"/>
              <w:rPr>
                <w:sz w:val="20"/>
                <w:szCs w:val="20"/>
                <w:color w:val="auto"/>
              </w:rPr>
            </w:pPr>
            <w:r>
              <w:rPr>
                <w:rFonts w:ascii="Arial" w:cs="Arial" w:eastAsia="Arial" w:hAnsi="Arial"/>
                <w:sz w:val="16"/>
                <w:szCs w:val="16"/>
                <w:b w:val="1"/>
                <w:bCs w:val="1"/>
                <w:color w:val="auto"/>
              </w:rPr>
              <w:t>1,655</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1285875</wp:posOffset>
            </wp:positionV>
            <wp:extent cx="394335"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45"/>
          <w:szCs w:val="45"/>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4800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1</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Three directors have been nominated for election at the annual general meeting to serve as Class II members of Civeo’s board of directors. Based on the recommendation of our Environmental, Social, Governance and Nominating Committee, Civeo’s board of directors has nominated Richard A. Navarre, Martin A. Lambert, and Constance B. Moore for election to the three expiring Class II positions on the board of directors currently held by them, to hold office for three-year terms expiring at the annual general meeting of shareholders in 2025,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Richard A. Navarre, Martin A. Lambert, and Constance B. Moore are “independent,” as that term is defined by the applicable New York Stock Exchange ("NYSE") listing standards. See “Board of Directors Structure—Director Independence” for a discussion of director independence determinations. See “Director Biographies” for a brief biography of all directors, including the director nominees.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668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20" w:lineRule="exact"/>
        <w:rPr>
          <w:sz w:val="20"/>
          <w:szCs w:val="20"/>
          <w:color w:val="auto"/>
        </w:rPr>
      </w:pPr>
    </w:p>
    <w:p>
      <w:pPr>
        <w:ind w:left="160" w:right="520"/>
        <w:spacing w:after="0" w:line="266" w:lineRule="auto"/>
        <w:rPr>
          <w:sz w:val="20"/>
          <w:szCs w:val="20"/>
          <w:color w:val="auto"/>
        </w:rPr>
      </w:pPr>
      <w:r>
        <w:rPr>
          <w:rFonts w:ascii="Arial" w:cs="Arial" w:eastAsia="Arial" w:hAnsi="Arial"/>
          <w:sz w:val="16"/>
          <w:szCs w:val="16"/>
          <w:color w:val="auto"/>
        </w:rPr>
        <w:t>Civeo’s board of directors recommends that you vote “</w:t>
      </w:r>
      <w:r>
        <w:rPr>
          <w:rFonts w:ascii="Arial" w:cs="Arial" w:eastAsia="Arial" w:hAnsi="Arial"/>
          <w:sz w:val="16"/>
          <w:szCs w:val="16"/>
          <w:b w:val="1"/>
          <w:bCs w:val="1"/>
          <w:color w:val="006DB6"/>
        </w:rPr>
        <w:t>FOR</w:t>
      </w:r>
      <w:r>
        <w:rPr>
          <w:rFonts w:ascii="Arial" w:cs="Arial" w:eastAsia="Arial" w:hAnsi="Arial"/>
          <w:sz w:val="16"/>
          <w:szCs w:val="16"/>
          <w:color w:val="auto"/>
        </w:rPr>
        <w:t>”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Arial" w:cs="Arial" w:eastAsia="Arial" w:hAnsi="Arial"/>
                <w:sz w:val="14"/>
                <w:szCs w:val="14"/>
                <w:color w:val="auto"/>
              </w:rPr>
              <w:t>2022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bl>
    <w:p>
      <w:pPr>
        <w:sectPr>
          <w:pgSz w:w="11900" w:h="16838" w:orient="portrait"/>
          <w:cols w:equalWidth="0" w:num="1">
            <w:col w:w="11220"/>
          </w:cols>
          <w:pgMar w:left="320" w:top="969"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Directors—Skills and Experience</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Qualifications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When identifying our directors appointed to our board of directors, the following are considered:</w:t>
      </w:r>
    </w:p>
    <w:p>
      <w:pPr>
        <w:spacing w:after="0" w:line="11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006DB6"/>
        </w:rPr>
      </w:pPr>
      <w:r>
        <w:rPr>
          <w:rFonts w:ascii="Arial" w:cs="Arial" w:eastAsia="Arial" w:hAnsi="Arial"/>
          <w:sz w:val="16"/>
          <w:szCs w:val="16"/>
          <w:color w:val="auto"/>
        </w:rPr>
        <w:t>the person’s reputation and integrity;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9"/>
        </w:numPr>
        <w:rPr>
          <w:rFonts w:ascii="Arial" w:cs="Arial" w:eastAsia="Arial" w:hAnsi="Arial"/>
          <w:sz w:val="16"/>
          <w:szCs w:val="16"/>
          <w:color w:val="006DB6"/>
        </w:rPr>
      </w:pPr>
      <w:r>
        <w:rPr>
          <w:rFonts w:ascii="Arial" w:cs="Arial" w:eastAsia="Arial" w:hAnsi="Arial"/>
          <w:sz w:val="16"/>
          <w:szCs w:val="16"/>
          <w:color w:val="auto"/>
        </w:rPr>
        <w:t>the person’s qualifications as an independent, disinterested, non-employee or outside director;</w:t>
      </w:r>
    </w:p>
    <w:p>
      <w:pPr>
        <w:spacing w:after="0" w:line="72" w:lineRule="exact"/>
        <w:rPr>
          <w:rFonts w:ascii="Arial" w:cs="Arial" w:eastAsia="Arial" w:hAnsi="Arial"/>
          <w:sz w:val="16"/>
          <w:szCs w:val="16"/>
          <w:color w:val="006DB6"/>
        </w:rPr>
      </w:pPr>
    </w:p>
    <w:p>
      <w:pPr>
        <w:ind w:left="200" w:right="120" w:hanging="192"/>
        <w:spacing w:after="0" w:line="286" w:lineRule="auto"/>
        <w:tabs>
          <w:tab w:leader="none" w:pos="170" w:val="left"/>
        </w:tabs>
        <w:numPr>
          <w:ilvl w:val="0"/>
          <w:numId w:val="9"/>
        </w:numPr>
        <w:rPr>
          <w:rFonts w:ascii="Arial" w:cs="Arial" w:eastAsia="Arial" w:hAnsi="Arial"/>
          <w:sz w:val="16"/>
          <w:szCs w:val="16"/>
          <w:color w:val="006DB6"/>
        </w:rPr>
      </w:pPr>
      <w:r>
        <w:rPr>
          <w:rFonts w:ascii="Arial" w:cs="Arial" w:eastAsia="Arial" w:hAnsi="Arial"/>
          <w:sz w:val="16"/>
          <w:szCs w:val="16"/>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7" w:lineRule="exact"/>
        <w:rPr>
          <w:rFonts w:ascii="Arial" w:cs="Arial" w:eastAsia="Arial" w:hAnsi="Arial"/>
          <w:sz w:val="16"/>
          <w:szCs w:val="16"/>
          <w:color w:val="006DB6"/>
        </w:rPr>
      </w:pPr>
    </w:p>
    <w:p>
      <w:pPr>
        <w:ind w:left="180" w:hanging="172"/>
        <w:spacing w:after="0"/>
        <w:tabs>
          <w:tab w:leader="none" w:pos="180" w:val="left"/>
        </w:tabs>
        <w:numPr>
          <w:ilvl w:val="0"/>
          <w:numId w:val="9"/>
        </w:numPr>
        <w:rPr>
          <w:rFonts w:ascii="Arial" w:cs="Arial" w:eastAsia="Arial" w:hAnsi="Arial"/>
          <w:sz w:val="16"/>
          <w:szCs w:val="16"/>
          <w:color w:val="006DB6"/>
        </w:rPr>
      </w:pPr>
      <w:r>
        <w:rPr>
          <w:rFonts w:ascii="Arial" w:cs="Arial" w:eastAsia="Arial" w:hAnsi="Arial"/>
          <w:sz w:val="16"/>
          <w:szCs w:val="16"/>
          <w:color w:val="auto"/>
        </w:rPr>
        <w:t>the number of other public companies for which the person serves as a director and the availability of the person’s time and commitment to Civeo; and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9"/>
        </w:numPr>
        <w:rPr>
          <w:rFonts w:ascii="Arial" w:cs="Arial" w:eastAsia="Arial" w:hAnsi="Arial"/>
          <w:sz w:val="16"/>
          <w:szCs w:val="16"/>
          <w:color w:val="006DB6"/>
        </w:rPr>
      </w:pPr>
      <w:r>
        <w:rPr>
          <w:rFonts w:ascii="Arial" w:cs="Arial" w:eastAsia="Arial" w:hAnsi="Arial"/>
          <w:sz w:val="16"/>
          <w:szCs w:val="16"/>
          <w:color w:val="auto"/>
        </w:rPr>
        <w:t>the person’s knowledge of a major geographic area in which we operate or another area of our operational environment.</w:t>
      </w:r>
    </w:p>
    <w:p>
      <w:pPr>
        <w:spacing w:after="0" w:line="59" w:lineRule="exact"/>
        <w:rPr>
          <w:sz w:val="20"/>
          <w:szCs w:val="20"/>
          <w:color w:val="auto"/>
        </w:rPr>
      </w:pPr>
    </w:p>
    <w:p>
      <w:pPr>
        <w:jc w:val="both"/>
        <w:ind w:right="2160"/>
        <w:spacing w:after="0" w:line="239" w:lineRule="auto"/>
        <w:rPr>
          <w:sz w:val="20"/>
          <w:szCs w:val="20"/>
          <w:color w:val="auto"/>
        </w:rPr>
      </w:pPr>
      <w:r>
        <w:rPr>
          <w:rFonts w:ascii="Arial" w:cs="Arial" w:eastAsia="Arial" w:hAnsi="Arial"/>
          <w:sz w:val="16"/>
          <w:szCs w:val="16"/>
          <w:color w:val="auto"/>
        </w:rPr>
        <w:t>Other factors considered include the diversity of the board of directors, including the optimal enhancement of the current mix of educational backgrounds, business industry experience and knowledge of different geographic markets, services and products.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Further, in considering nominees for director, diversity of viewpoints, expertise and experience are taken into account as well as gender, ethnicity and background. 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8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believe the breadth and variety of business experience of each of our directors and director nominees identified in the following table make each of them well qualified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56515</wp:posOffset>
            </wp:positionV>
            <wp:extent cx="8890" cy="231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56515</wp:posOffset>
            </wp:positionV>
            <wp:extent cx="8255" cy="231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56515</wp:posOffset>
            </wp:positionV>
            <wp:extent cx="8255" cy="2311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56515</wp:posOffset>
            </wp:positionV>
            <wp:extent cx="8255" cy="2311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56515</wp:posOffset>
            </wp:positionV>
            <wp:extent cx="8255" cy="231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56515</wp:posOffset>
            </wp:positionV>
            <wp:extent cx="8255" cy="2311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56515</wp:posOffset>
            </wp:positionV>
            <wp:extent cx="8255" cy="2311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56515</wp:posOffset>
            </wp:positionV>
            <wp:extent cx="8255"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23114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00" w:type="dxa"/>
            <w:vAlign w:val="bottom"/>
            <w:tcBorders>
              <w:right w:val="single" w:sz="8" w:color="006DB6"/>
            </w:tcBorders>
          </w:tcPr>
          <w:p>
            <w:pPr>
              <w:spacing w:after="0"/>
              <w:rPr>
                <w:sz w:val="13"/>
                <w:szCs w:val="13"/>
                <w:color w:val="auto"/>
              </w:rPr>
            </w:pP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8"/>
              </w:rPr>
              <w:t>Richard A.</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C. Ronald</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Bradley J.</w:t>
            </w:r>
          </w:p>
        </w:tc>
        <w:tc>
          <w:tcPr>
            <w:tcW w:w="1060" w:type="dxa"/>
            <w:vAlign w:val="bottom"/>
            <w:tcBorders>
              <w:right w:val="single" w:sz="8" w:color="006DB6"/>
            </w:tcBorders>
            <w:vMerge w:val="restart"/>
            <w:shd w:val="clear" w:color="auto" w:fill="006DB6"/>
          </w:tcPr>
          <w:p>
            <w:pPr>
              <w:ind w:left="100"/>
              <w:spacing w:after="0"/>
              <w:rPr>
                <w:sz w:val="20"/>
                <w:szCs w:val="20"/>
                <w:color w:val="auto"/>
              </w:rPr>
            </w:pPr>
            <w:r>
              <w:rPr>
                <w:rFonts w:ascii="Arial" w:cs="Arial" w:eastAsia="Arial" w:hAnsi="Arial"/>
                <w:sz w:val="13"/>
                <w:szCs w:val="13"/>
                <w:b w:val="1"/>
                <w:bCs w:val="1"/>
                <w:color w:val="FFFFFF"/>
              </w:rPr>
              <w:t>Jay K. Grewal</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Martin A.</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Michael</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Constance B.</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Charles</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4"/>
              </w:rPr>
              <w:t>Timothy O.</w:t>
            </w:r>
          </w:p>
        </w:tc>
        <w:tc>
          <w:tcPr>
            <w:tcW w:w="0" w:type="dxa"/>
            <w:vAlign w:val="bottom"/>
          </w:tcPr>
          <w:p>
            <w:pPr>
              <w:spacing w:after="0"/>
              <w:rPr>
                <w:sz w:val="1"/>
                <w:szCs w:val="1"/>
                <w:color w:val="auto"/>
              </w:rPr>
            </w:pPr>
          </w:p>
        </w:tc>
      </w:tr>
      <w:tr>
        <w:trPr>
          <w:trHeight w:val="91"/>
        </w:trPr>
        <w:tc>
          <w:tcPr>
            <w:tcW w:w="1800" w:type="dxa"/>
            <w:vAlign w:val="bottom"/>
            <w:tcBorders>
              <w:right w:val="single" w:sz="8" w:color="006DB6"/>
            </w:tcBorders>
          </w:tcPr>
          <w:p>
            <w:pPr>
              <w:spacing w:after="0"/>
              <w:rPr>
                <w:sz w:val="7"/>
                <w:szCs w:val="7"/>
                <w:color w:val="auto"/>
              </w:rPr>
            </w:pP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9"/>
              </w:rPr>
              <w:t>Navarre</w:t>
            </w: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Blankenship</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9"/>
              </w:rPr>
              <w:t>Dodson</w:t>
            </w:r>
          </w:p>
        </w:tc>
        <w:tc>
          <w:tcPr>
            <w:tcW w:w="1060" w:type="dxa"/>
            <w:vAlign w:val="bottom"/>
            <w:tcBorders>
              <w:right w:val="single" w:sz="8" w:color="006DB6"/>
            </w:tcBorders>
            <w:vMerge w:val="continue"/>
            <w:shd w:val="clear" w:color="auto" w:fill="006DB6"/>
          </w:tcPr>
          <w:p>
            <w:pPr>
              <w:spacing w:after="0"/>
              <w:rPr>
                <w:sz w:val="7"/>
                <w:szCs w:val="7"/>
                <w:color w:val="auto"/>
              </w:rPr>
            </w:pP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Lambert</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Montelongo</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Moore</w:t>
            </w: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Szalkowski</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89"/>
              </w:rPr>
              <w:t>Wall</w:t>
            </w:r>
          </w:p>
        </w:tc>
        <w:tc>
          <w:tcPr>
            <w:tcW w:w="0" w:type="dxa"/>
            <w:vAlign w:val="bottom"/>
          </w:tcPr>
          <w:p>
            <w:pPr>
              <w:spacing w:after="0"/>
              <w:rPr>
                <w:sz w:val="1"/>
                <w:szCs w:val="1"/>
                <w:color w:val="auto"/>
              </w:rPr>
            </w:pPr>
          </w:p>
        </w:tc>
      </w:tr>
      <w:tr>
        <w:trPr>
          <w:trHeight w:val="103"/>
        </w:trPr>
        <w:tc>
          <w:tcPr>
            <w:tcW w:w="1800" w:type="dxa"/>
            <w:vAlign w:val="bottom"/>
            <w:tcBorders>
              <w:right w:val="single" w:sz="8" w:color="006DB6"/>
            </w:tcBorders>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1800" w:type="dxa"/>
            <w:vAlign w:val="bottom"/>
            <w:tcBorders>
              <w:top w:val="single" w:sz="8" w:color="006DB6"/>
              <w:right w:val="single" w:sz="8" w:color="auto"/>
            </w:tcBorders>
          </w:tcPr>
          <w:p>
            <w:pPr>
              <w:ind w:left="580"/>
              <w:spacing w:after="0"/>
              <w:rPr>
                <w:sz w:val="20"/>
                <w:szCs w:val="20"/>
                <w:color w:val="auto"/>
              </w:rPr>
            </w:pPr>
            <w:r>
              <w:rPr>
                <w:rFonts w:ascii="Arial" w:cs="Arial" w:eastAsia="Arial" w:hAnsi="Arial"/>
                <w:sz w:val="13"/>
                <w:szCs w:val="13"/>
                <w:color w:val="auto"/>
              </w:rPr>
              <w:t>Executive</w:t>
            </w: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Leadership</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Financial</w:t>
            </w:r>
          </w:p>
        </w:tc>
        <w:tc>
          <w:tcPr>
            <w:tcW w:w="104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1"/>
                <w:szCs w:val="11"/>
                <w:color w:val="auto"/>
              </w:rPr>
              <w:t>Accommodations, Real</w:t>
            </w:r>
          </w:p>
        </w:tc>
        <w:tc>
          <w:tcPr>
            <w:tcW w:w="1040" w:type="dxa"/>
            <w:vAlign w:val="bottom"/>
            <w:tcBorders>
              <w:right w:val="single" w:sz="8" w:color="auto"/>
            </w:tcBorders>
            <w:shd w:val="clear" w:color="auto" w:fill="E8EEF7"/>
          </w:tcPr>
          <w:p>
            <w:pPr>
              <w:spacing w:after="0"/>
              <w:rPr>
                <w:sz w:val="20"/>
                <w:szCs w:val="20"/>
                <w:color w:val="auto"/>
              </w:rPr>
            </w:pPr>
          </w:p>
        </w:tc>
        <w:tc>
          <w:tcPr>
            <w:tcW w:w="1040" w:type="dxa"/>
            <w:vAlign w:val="bottom"/>
            <w:tcBorders>
              <w:right w:val="single" w:sz="8" w:color="auto"/>
            </w:tcBorders>
            <w:shd w:val="clear" w:color="auto" w:fill="E8EEF7"/>
          </w:tcPr>
          <w:p>
            <w:pPr>
              <w:spacing w:after="0"/>
              <w:rPr>
                <w:sz w:val="20"/>
                <w:szCs w:val="20"/>
                <w:color w:val="auto"/>
              </w:rPr>
            </w:pPr>
          </w:p>
        </w:tc>
        <w:tc>
          <w:tcPr>
            <w:tcW w:w="1060" w:type="dxa"/>
            <w:vAlign w:val="bottom"/>
            <w:tcBorders>
              <w:right w:val="single" w:sz="8" w:color="auto"/>
            </w:tcBorders>
            <w:shd w:val="clear" w:color="auto" w:fill="E8EEF7"/>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shd w:val="clear" w:color="auto" w:fill="E8EEF7"/>
          </w:tcPr>
          <w:p>
            <w:pPr>
              <w:spacing w:after="0"/>
              <w:rPr>
                <w:sz w:val="20"/>
                <w:szCs w:val="20"/>
                <w:color w:val="auto"/>
              </w:rPr>
            </w:pPr>
          </w:p>
        </w:tc>
        <w:tc>
          <w:tcPr>
            <w:tcW w:w="1060" w:type="dxa"/>
            <w:vAlign w:val="bottom"/>
            <w:tcBorders>
              <w:right w:val="single" w:sz="8" w:color="auto"/>
            </w:tcBorders>
            <w:shd w:val="clear" w:color="auto" w:fill="E8EEF7"/>
          </w:tcPr>
          <w:p>
            <w:pPr>
              <w:spacing w:after="0"/>
              <w:rPr>
                <w:sz w:val="20"/>
                <w:szCs w:val="20"/>
                <w:color w:val="auto"/>
              </w:rPr>
            </w:pPr>
          </w:p>
        </w:tc>
        <w:tc>
          <w:tcPr>
            <w:tcW w:w="1060" w:type="dxa"/>
            <w:vAlign w:val="bottom"/>
            <w:tcBorders>
              <w:right w:val="single" w:sz="8" w:color="auto"/>
            </w:tcBorders>
            <w:shd w:val="clear" w:color="auto" w:fill="E8EEF7"/>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1"/>
                <w:szCs w:val="11"/>
                <w:color w:val="auto"/>
              </w:rPr>
              <w:t>Estate and Hospitality</w:t>
            </w:r>
          </w:p>
        </w:tc>
        <w:tc>
          <w:tcPr>
            <w:tcW w:w="104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shd w:val="clear" w:color="auto" w:fill="E8EEF7"/>
          </w:tcPr>
          <w:p>
            <w:pPr>
              <w:spacing w:after="0"/>
              <w:rPr>
                <w:sz w:val="12"/>
                <w:szCs w:val="12"/>
                <w:color w:val="auto"/>
              </w:rPr>
            </w:pPr>
          </w:p>
        </w:tc>
        <w:tc>
          <w:tcPr>
            <w:tcW w:w="1040" w:type="dxa"/>
            <w:vAlign w:val="bottom"/>
            <w:tcBorders>
              <w:bottom w:val="single" w:sz="8" w:color="auto"/>
              <w:right w:val="single" w:sz="8" w:color="auto"/>
            </w:tcBorders>
            <w:shd w:val="clear" w:color="auto" w:fill="E8EEF7"/>
          </w:tcPr>
          <w:p>
            <w:pPr>
              <w:spacing w:after="0"/>
              <w:rPr>
                <w:sz w:val="12"/>
                <w:szCs w:val="12"/>
                <w:color w:val="auto"/>
              </w:rPr>
            </w:pPr>
          </w:p>
        </w:tc>
        <w:tc>
          <w:tcPr>
            <w:tcW w:w="1060" w:type="dxa"/>
            <w:vAlign w:val="bottom"/>
            <w:tcBorders>
              <w:bottom w:val="single" w:sz="8" w:color="auto"/>
              <w:right w:val="single" w:sz="8" w:color="auto"/>
            </w:tcBorders>
            <w:shd w:val="clear" w:color="auto" w:fill="E8EEF7"/>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shd w:val="clear" w:color="auto" w:fill="E8EEF7"/>
          </w:tcPr>
          <w:p>
            <w:pPr>
              <w:spacing w:after="0"/>
              <w:rPr>
                <w:sz w:val="12"/>
                <w:szCs w:val="12"/>
                <w:color w:val="auto"/>
              </w:rPr>
            </w:pPr>
          </w:p>
        </w:tc>
        <w:tc>
          <w:tcPr>
            <w:tcW w:w="1060" w:type="dxa"/>
            <w:vAlign w:val="bottom"/>
            <w:tcBorders>
              <w:bottom w:val="single" w:sz="8" w:color="auto"/>
              <w:right w:val="single" w:sz="8" w:color="auto"/>
            </w:tcBorders>
            <w:shd w:val="clear" w:color="auto" w:fill="E8EEF7"/>
          </w:tcPr>
          <w:p>
            <w:pPr>
              <w:spacing w:after="0"/>
              <w:rPr>
                <w:sz w:val="12"/>
                <w:szCs w:val="12"/>
                <w:color w:val="auto"/>
              </w:rPr>
            </w:pPr>
          </w:p>
        </w:tc>
        <w:tc>
          <w:tcPr>
            <w:tcW w:w="1060" w:type="dxa"/>
            <w:vAlign w:val="bottom"/>
            <w:tcBorders>
              <w:bottom w:val="single" w:sz="8" w:color="auto"/>
              <w:right w:val="single" w:sz="8" w:color="auto"/>
            </w:tcBorders>
            <w:shd w:val="clear" w:color="auto" w:fill="E8EEF7"/>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International</w:t>
            </w:r>
          </w:p>
        </w:tc>
        <w:tc>
          <w:tcPr>
            <w:tcW w:w="104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Operations</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 in</w:t>
            </w:r>
          </w:p>
        </w:tc>
        <w:tc>
          <w:tcPr>
            <w:tcW w:w="1040" w:type="dxa"/>
            <w:vAlign w:val="bottom"/>
            <w:tcBorders>
              <w:right w:val="single" w:sz="8" w:color="auto"/>
            </w:tcBorders>
            <w:shd w:val="clear" w:color="auto" w:fill="E8EEF7"/>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shd w:val="clear" w:color="auto" w:fill="E8EEF7"/>
          </w:tcPr>
          <w:p>
            <w:pPr>
              <w:spacing w:after="0"/>
              <w:rPr>
                <w:sz w:val="13"/>
                <w:szCs w:val="13"/>
                <w:color w:val="auto"/>
              </w:rPr>
            </w:pPr>
          </w:p>
        </w:tc>
        <w:tc>
          <w:tcPr>
            <w:tcW w:w="1040" w:type="dxa"/>
            <w:vAlign w:val="bottom"/>
            <w:tcBorders>
              <w:right w:val="single" w:sz="8" w:color="auto"/>
            </w:tcBorders>
            <w:shd w:val="clear" w:color="auto" w:fill="E8EEF7"/>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Industry of Primary</w:t>
            </w:r>
          </w:p>
        </w:tc>
        <w:tc>
          <w:tcPr>
            <w:tcW w:w="104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Customers</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Health Safety &amp;</w:t>
            </w: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Environment</w:t>
            </w:r>
          </w:p>
        </w:tc>
        <w:tc>
          <w:tcPr>
            <w:tcW w:w="104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Public Company</w:t>
            </w: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CEO or C-Suite</w:t>
            </w:r>
          </w:p>
        </w:tc>
        <w:tc>
          <w:tcPr>
            <w:tcW w:w="104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Public Company</w:t>
            </w: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Director Experience</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-2639695</wp:posOffset>
            </wp:positionV>
            <wp:extent cx="257175" cy="248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-2614295</wp:posOffset>
            </wp:positionV>
            <wp:extent cx="20574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-2614295</wp:posOffset>
            </wp:positionV>
            <wp:extent cx="20574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-2614295</wp:posOffset>
            </wp:positionV>
            <wp:extent cx="20574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-2614295</wp:posOffset>
            </wp:positionV>
            <wp:extent cx="20574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-2614295</wp:posOffset>
            </wp:positionV>
            <wp:extent cx="20574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-2614295</wp:posOffset>
            </wp:positionV>
            <wp:extent cx="20574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-2614295</wp:posOffset>
            </wp:positionV>
            <wp:extent cx="20574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-2614295</wp:posOffset>
            </wp:positionV>
            <wp:extent cx="20574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-2614295</wp:posOffset>
            </wp:positionV>
            <wp:extent cx="20574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-2305685</wp:posOffset>
            </wp:positionV>
            <wp:extent cx="257175"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-2271395</wp:posOffset>
            </wp:positionV>
            <wp:extent cx="20574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-2271395</wp:posOffset>
            </wp:positionV>
            <wp:extent cx="20574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-2271395</wp:posOffset>
            </wp:positionV>
            <wp:extent cx="20574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-2271395</wp:posOffset>
            </wp:positionV>
            <wp:extent cx="20574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-2271395</wp:posOffset>
            </wp:positionV>
            <wp:extent cx="20574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-2271395</wp:posOffset>
            </wp:positionV>
            <wp:extent cx="20574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-2271395</wp:posOffset>
            </wp:positionV>
            <wp:extent cx="20574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-2271395</wp:posOffset>
            </wp:positionV>
            <wp:extent cx="20574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-2271395</wp:posOffset>
            </wp:positionV>
            <wp:extent cx="20574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-1962785</wp:posOffset>
            </wp:positionV>
            <wp:extent cx="257175"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-1928495</wp:posOffset>
            </wp:positionV>
            <wp:extent cx="20574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-1928495</wp:posOffset>
            </wp:positionV>
            <wp:extent cx="20574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-1928495</wp:posOffset>
            </wp:positionV>
            <wp:extent cx="20574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-1928495</wp:posOffset>
            </wp:positionV>
            <wp:extent cx="20574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-1928495</wp:posOffset>
            </wp:positionV>
            <wp:extent cx="20574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-1928495</wp:posOffset>
            </wp:positionV>
            <wp:extent cx="20574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-1928495</wp:posOffset>
            </wp:positionV>
            <wp:extent cx="20574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-1628140</wp:posOffset>
            </wp:positionV>
            <wp:extent cx="257175"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-1593850</wp:posOffset>
            </wp:positionV>
            <wp:extent cx="20574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-1593850</wp:posOffset>
            </wp:positionV>
            <wp:extent cx="20574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-1593850</wp:posOffset>
            </wp:positionV>
            <wp:extent cx="20574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-1593850</wp:posOffset>
            </wp:positionV>
            <wp:extent cx="20574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-1593850</wp:posOffset>
            </wp:positionV>
            <wp:extent cx="20574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-1593850</wp:posOffset>
            </wp:positionV>
            <wp:extent cx="20574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-1593850</wp:posOffset>
            </wp:positionV>
            <wp:extent cx="20574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-1593850</wp:posOffset>
            </wp:positionV>
            <wp:extent cx="20574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-1302385</wp:posOffset>
            </wp:positionV>
            <wp:extent cx="257175"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-1268095</wp:posOffset>
            </wp:positionV>
            <wp:extent cx="20574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-1268095</wp:posOffset>
            </wp:positionV>
            <wp:extent cx="20574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-1268095</wp:posOffset>
            </wp:positionV>
            <wp:extent cx="20574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-1268095</wp:posOffset>
            </wp:positionV>
            <wp:extent cx="20574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-976630</wp:posOffset>
            </wp:positionV>
            <wp:extent cx="257175" cy="248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-942340</wp:posOffset>
            </wp:positionV>
            <wp:extent cx="20574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-942340</wp:posOffset>
            </wp:positionV>
            <wp:extent cx="20574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-942340</wp:posOffset>
            </wp:positionV>
            <wp:extent cx="20574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-942340</wp:posOffset>
            </wp:positionV>
            <wp:extent cx="20574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-942340</wp:posOffset>
            </wp:positionV>
            <wp:extent cx="20574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-650875</wp:posOffset>
            </wp:positionV>
            <wp:extent cx="257175"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-616585</wp:posOffset>
            </wp:positionV>
            <wp:extent cx="20574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-616585</wp:posOffset>
            </wp:positionV>
            <wp:extent cx="20574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-616585</wp:posOffset>
            </wp:positionV>
            <wp:extent cx="20574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-616585</wp:posOffset>
            </wp:positionV>
            <wp:extent cx="20574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20574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-616585</wp:posOffset>
            </wp:positionV>
            <wp:extent cx="20574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-616585</wp:posOffset>
            </wp:positionV>
            <wp:extent cx="20574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-325120</wp:posOffset>
            </wp:positionV>
            <wp:extent cx="257175"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-290830</wp:posOffset>
            </wp:positionV>
            <wp:extent cx="20574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-290830</wp:posOffset>
            </wp:positionV>
            <wp:extent cx="20574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-290830</wp:posOffset>
            </wp:positionV>
            <wp:extent cx="20574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-290830</wp:posOffset>
            </wp:positionV>
            <wp:extent cx="20574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-290830</wp:posOffset>
            </wp:positionV>
            <wp:extent cx="20574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-290830</wp:posOffset>
            </wp:positionV>
            <wp:extent cx="20574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-290830</wp:posOffset>
            </wp:positionV>
            <wp:extent cx="20574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-290830</wp:posOffset>
            </wp:positionV>
            <wp:extent cx="20574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154305</wp:posOffset>
            </wp:positionV>
            <wp:extent cx="394335" cy="196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260"/>
          </w:cols>
          <w:pgMar w:left="320" w:top="125"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 xml:space="preserve">Director Biographies - </w:t>
      </w:r>
      <w:r>
        <w:rPr>
          <w:rFonts w:ascii="Arial" w:cs="Arial" w:eastAsia="Arial" w:hAnsi="Arial"/>
          <w:sz w:val="25"/>
          <w:szCs w:val="25"/>
          <w:b w:val="1"/>
          <w:bCs w:val="1"/>
          <w:color w:val="FFC03C"/>
        </w:rPr>
        <w:t>Class 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1602740" cy="33775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02740" cy="3377565"/>
                    </a:xfrm>
                    <a:prstGeom prst="rect">
                      <a:avLst/>
                    </a:prstGeom>
                    <a:noFill/>
                  </pic:spPr>
                </pic:pic>
              </a:graphicData>
            </a:graphic>
          </wp:anchor>
        </w:drawing>
      </w: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5"/>
          <w:szCs w:val="25"/>
          <w:b w:val="1"/>
          <w:bCs w:val="1"/>
          <w:color w:val="006DB6"/>
        </w:rPr>
        <w:t>Richard A. Navarre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61</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line="261" w:lineRule="auto"/>
        <w:rPr>
          <w:sz w:val="20"/>
          <w:szCs w:val="20"/>
          <w:color w:val="auto"/>
        </w:rPr>
      </w:pPr>
      <w:r>
        <w:rPr>
          <w:rFonts w:ascii="Arial" w:cs="Arial" w:eastAsia="Arial" w:hAnsi="Arial"/>
          <w:sz w:val="16"/>
          <w:szCs w:val="16"/>
          <w:b w:val="1"/>
          <w:bCs w:val="1"/>
          <w:color w:val="auto"/>
        </w:rPr>
        <w:t>Environmental, Social,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1383665</wp:posOffset>
            </wp:positionV>
            <wp:extent cx="1602740" cy="255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02740" cy="255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3680"/>
        <w:spacing w:after="0" w:line="283" w:lineRule="auto"/>
        <w:rPr>
          <w:sz w:val="20"/>
          <w:szCs w:val="20"/>
          <w:color w:val="auto"/>
        </w:rPr>
      </w:pPr>
      <w:r>
        <w:rPr>
          <w:rFonts w:ascii="Arial" w:cs="Arial" w:eastAsia="Arial" w:hAnsi="Arial"/>
          <w:sz w:val="16"/>
          <w:szCs w:val="16"/>
          <w:i w:val="1"/>
          <w:iCs w:val="1"/>
          <w:color w:val="706F6F"/>
        </w:rPr>
        <w:t xml:space="preserve">Former President and Chief Executive Officer of Covia Corporation </w:t>
      </w:r>
      <w:r>
        <w:rPr>
          <w:rFonts w:ascii="Arial" w:cs="Arial" w:eastAsia="Arial" w:hAnsi="Arial"/>
          <w:sz w:val="16"/>
          <w:szCs w:val="16"/>
          <w:color w:val="706F6F"/>
        </w:rPr>
        <w:t>Independent Chairman of the Board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Mr. Navarre served as President and Chief Executive Officer of Covia Corporation, a privately held, leading provider of high-quality minerals and material solutions for the industrial and energy markets from May 2019 until May 2021. From 2012 to 2019, Mr. Navarre served as an independent strategic business advisor to leading investment firms and the energy industry. From 1993 until 2012, Mr. Navarre held several executive positions at Peabody Energy Corporation, including President of the Americas, President and Chief Commercial Officer, Executive Vice President of Corporate Development and Chief Financial Officer, with executive responsibilities for activities across five continents. Mr. Navarre is currently an independent director, chairman of the conflicts committee, member of the audit committee for Natural Resource Partners LP (NYSE:NRP); and independent director, chairman of the personnel and compensation committee and member of the audit and the ESG and Nominating committees for Arch Resources (NYSE:ARCH). He is a member of the Board of Advisors and the Hall of Fame of the College of Business and Analytics at Southern Illinois University-Carbondale. In June 2020, Covia filed a voluntary petition for reorganization under Chapter 11 of the U.S. Bankruptcy Code and emerged from its Chapter 11 reorganization proceedings in December 2020.</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Mr. Navarre is a Certified Public Accountant and received his B.S. in Accounting from Southern Illinois University-Carbondale.</w:t>
      </w:r>
    </w:p>
    <w:p>
      <w:pPr>
        <w:spacing w:after="0" w:line="64"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We believe that Mr. Navarre's over 35 years of diverse international business and finance experience, which include extensive governance, financial, strategic planning, public company and coal and energy industry experience,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134620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66</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line="256" w:lineRule="auto"/>
        <w:rPr>
          <w:sz w:val="20"/>
          <w:szCs w:val="20"/>
          <w:color w:val="auto"/>
        </w:rPr>
      </w:pPr>
      <w:r>
        <w:rPr>
          <w:rFonts w:ascii="Arial" w:cs="Arial" w:eastAsia="Arial" w:hAnsi="Arial"/>
          <w:sz w:val="16"/>
          <w:szCs w:val="16"/>
          <w:b w:val="1"/>
          <w:bCs w:val="1"/>
          <w:color w:val="auto"/>
        </w:rPr>
        <w:t>Compensation Committee (Chair), Finance and Investment Committee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Martin A. Lambert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Chief Executive Officer, Swan Hills Synfuels 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International, Inc. ("Oil States") from February 2001 to May 2014 and Calfrac Well Services Ltd., from March 2004 to May 2010. Until June 2021, Mr. Lambert served as lead director, compensation, and as a member of the audit committee of Banded Iron Group Ltd., a private company involved in Canadian, U.S. and other international oilfield services.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Lambert received his LLB degree from the University of Alberta.</w:t>
      </w:r>
    </w:p>
    <w:p>
      <w:pPr>
        <w:spacing w:after="0" w:line="9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that Mr. Lambert's Canadian industry experience and deep knowledge of Canadian law, as well as being one of the original board members of Civeo from the Oil States board of directors,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134620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60"/>
          </w:cols>
          <w:pgMar w:left="320" w:top="125"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bl>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3522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66</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line="261" w:lineRule="auto"/>
        <w:rPr>
          <w:sz w:val="20"/>
          <w:szCs w:val="20"/>
          <w:color w:val="auto"/>
        </w:rPr>
      </w:pPr>
      <w:r>
        <w:rPr>
          <w:rFonts w:ascii="Arial" w:cs="Arial" w:eastAsia="Arial" w:hAnsi="Arial"/>
          <w:sz w:val="16"/>
          <w:szCs w:val="16"/>
          <w:b w:val="1"/>
          <w:bCs w:val="1"/>
          <w:color w:val="auto"/>
        </w:rPr>
        <w:t>Audit Committee (Chair),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Constance B. Moore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and Chief Executive Officer, BRE Properties,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Ms. Moore has served as a director of TriPointe Homes (NYSE: TPH) since July 2014 and is currently the Chairman of the compensation committee as well as a member of its audit committee. She has served as a director of Healthcare Trust of America (NYSE:HTA) since March 2022. She served as a director of Columbia Property Trust (NYSE: CXP), including as chair of its board of directors in 2021, from November 2017 until it was acquired in December 2021. Ms. Moore was a director of BRE Properties, Inc.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40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In 2009, she served as chair of the National Association of Real Estate Investment Trusts. Currently, she is chair of the Fisher Center for Real Estate and Urban Economics Policy Advisory Board at UC Berkeley; serves on the board of Haas School of Business, UC Berkeley; serves on the board of Bridge Housing Corporation; is a Governor and Lifetime Trustee of the Urban Land Institute (ULI); and serves on the board of the Tower Foundation at San Jose State University.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Ms. Moore holds an M.B.A. from the University of California, Berkeley, Haas School of Business, and a bachelor’s degree from San Jose State University.</w:t>
      </w:r>
    </w:p>
    <w:p>
      <w:pPr>
        <w:spacing w:after="0" w:line="64"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We believe that Ms. Moore's 40 years of real estate experience, 20 of which were as a public company director, as well as her extensive experience and valuable insight in public company accounting and reporting issues,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134620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20"/>
          </w:cols>
          <w:pgMar w:left="320" w:top="125" w:right="37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Class III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02740" cy="27774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02740" cy="27774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48</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1417955</wp:posOffset>
            </wp:positionV>
            <wp:extent cx="394335"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Bradley J. Dodson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President and Chief Executive Officer, Civeo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Mr. Dodson has been President and Chief Executive Officer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Mr. Dodson holds a M.B.A. degree from The University of Texas at Austin and a B.A. degree in economics from Duke University.</w:t>
      </w:r>
    </w:p>
    <w:p>
      <w:pPr>
        <w:spacing w:after="0" w:line="6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believe that Mr. Dodson's leadership, and industry experience, his expertise in mergers and acquisitions as well and financing, along with his deep knowledge of our business and customer base, make him well qualified to serve as our President and Chief Executive Officer and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134620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20"/>
          </w:cols>
          <w:pgMar w:left="320" w:top="125" w:right="37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200"/>
          </w:cols>
          <w:pgMar w:left="320" w:top="125" w:right="37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1602740" cy="25888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0274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auto"/>
        </w:rPr>
        <w:t>Audit Committee, Finance and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1160780</wp:posOffset>
            </wp:positionV>
            <wp:extent cx="1602740" cy="26574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02740" cy="265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Jay K. Grewal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President and Chief Executive Officer of Manitoba Hydro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Ms. Grewal has served as President and Chief Executive Officer of Manitoba Hydro, one of the largest integrated electric and natural gas utilities in Canada, since February 2019. Ms. Grewal joined Manitoba Hydro from the Northwest Territories Power Corporation where she held the position of President and CEO from June 2017 to February 2019. Before then, Ms. Grewal held senior executive roles with Capstone Mining Corporation (from 2011 to 2014), Accenture, Inc. (from 2006 to 2010) and CIBC World Markets (from 1996 to 2000). Ms. Grewal sits on the board of a number of industry associations including the Canadian Gas Association and the Canadian Electricity Association.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Ms. Grewal earned both a B.A. (honors) from the University of British Columbia as well as a M.B.A, finance from the Richard Ivey School of Business, University of Western Ontario.</w:t>
      </w:r>
    </w:p>
    <w:p>
      <w:pPr>
        <w:spacing w:after="0" w:line="6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Ms. Grewal's 26 years of leadership and corporate management experience, including at executive levels in the utility, resource, finance and consulting sectors,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168910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40"/>
            <w:col w:w="8460"/>
          </w:cols>
          <w:pgMar w:left="60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Environmental, Social, Governance and Nominating Committee, Finance and Investment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Timothy O. Wall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Kitimat LNG Upstream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Mr. Wall served as the President of Kitimat LNG Upstream Operations, a division of Apache Canada Ltd. (a subsidiary of Apache Corporation, an oil and gas exploration and production company), from March 2013 until June 2015. He previously served as the President of Apache Canada Ltd.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Wall received his B.S. in Petroleum Engineering from Texas A&amp;M University.</w:t>
      </w:r>
    </w:p>
    <w:p>
      <w:pPr>
        <w:spacing w:after="0" w:line="9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believe that Mr. Wall's vast energy knowledge in Australia and Canada, his experience working with First Nations partners and his understanding of Canadian rules and regulations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134620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40"/>
            <w:col w:w="8460"/>
          </w:cols>
          <w:pgMar w:left="60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98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bl>
    <w:p>
      <w:pPr>
        <w:sectPr>
          <w:pgSz w:w="11900" w:h="16838" w:orient="portrait"/>
          <w:cols w:equalWidth="0" w:num="1">
            <w:col w:w="10960"/>
          </w:cols>
          <w:pgMar w:left="60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Class I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602740" cy="31375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02740" cy="31375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72</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line="261" w:lineRule="auto"/>
        <w:rPr>
          <w:sz w:val="20"/>
          <w:szCs w:val="20"/>
          <w:color w:val="auto"/>
        </w:rPr>
      </w:pPr>
      <w:r>
        <w:rPr>
          <w:rFonts w:ascii="Arial" w:cs="Arial" w:eastAsia="Arial" w:hAnsi="Arial"/>
          <w:sz w:val="16"/>
          <w:szCs w:val="16"/>
          <w:b w:val="1"/>
          <w:bCs w:val="1"/>
          <w:color w:val="auto"/>
        </w:rPr>
        <w:t>Audit Committee, Finance and Investment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1271905</wp:posOffset>
            </wp:positionV>
            <wp:extent cx="1602740" cy="2922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02740" cy="2922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 Ronald Blankenship</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and Chief Executive Officer, Verde Realty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Independent Director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Mr. Blankenship served as President and Chief Executive Officer of Verde Realty 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Berkshire Residential Investments, a private investment management company (Chairman), and Merit Hill, a privately owned and operated real estate company.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Blankenship is a Certified Public Accountant and a graduate of the University of Texas at Austin.</w:t>
      </w:r>
    </w:p>
    <w:p>
      <w:pPr>
        <w:spacing w:after="0" w:line="97"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Mr. Blankenship's extensive experience in real estate development, acquisitions, financing and operations, as well as his expertise in public company financing, strategic planning, capital allocation, people management and executive compensation,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134620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4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66</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line="253" w:lineRule="auto"/>
        <w:rPr>
          <w:sz w:val="20"/>
          <w:szCs w:val="20"/>
          <w:color w:val="auto"/>
        </w:rPr>
      </w:pPr>
      <w:r>
        <w:rPr>
          <w:rFonts w:ascii="Arial" w:cs="Arial" w:eastAsia="Arial" w:hAnsi="Arial"/>
          <w:sz w:val="16"/>
          <w:szCs w:val="16"/>
          <w:b w:val="1"/>
          <w:bCs w:val="1"/>
          <w:color w:val="auto"/>
        </w:rPr>
        <w:t>Environmental, Social, Governance and Nominating Committee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822960</wp:posOffset>
            </wp:positionV>
            <wp:extent cx="394335" cy="196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Michael Montelongo</w:t>
      </w:r>
    </w:p>
    <w:p>
      <w:pPr>
        <w:spacing w:after="0" w:line="130" w:lineRule="exact"/>
        <w:rPr>
          <w:sz w:val="20"/>
          <w:szCs w:val="20"/>
          <w:color w:val="auto"/>
        </w:rPr>
      </w:pPr>
    </w:p>
    <w:p>
      <w:pPr>
        <w:ind w:right="3440"/>
        <w:spacing w:after="0" w:line="283" w:lineRule="auto"/>
        <w:rPr>
          <w:sz w:val="20"/>
          <w:szCs w:val="20"/>
          <w:color w:val="auto"/>
        </w:rPr>
      </w:pPr>
      <w:r>
        <w:rPr>
          <w:rFonts w:ascii="Arial" w:cs="Arial" w:eastAsia="Arial" w:hAnsi="Arial"/>
          <w:sz w:val="16"/>
          <w:szCs w:val="16"/>
          <w:i w:val="1"/>
          <w:iCs w:val="1"/>
          <w:color w:val="706F6F"/>
        </w:rPr>
        <w:t xml:space="preserve">President and Chief Executive Officer of GRC Advisory Services, LLC </w:t>
      </w:r>
      <w:r>
        <w:rPr>
          <w:rFonts w:ascii="Arial" w:cs="Arial" w:eastAsia="Arial" w:hAnsi="Arial"/>
          <w:sz w:val="16"/>
          <w:szCs w:val="16"/>
          <w:color w:val="706F6F"/>
        </w:rPr>
        <w:t>Independent Director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Mr. Montelongo has served as President and Chief Executive Officer of GRC Advisory Services, LLC, a board governance firm, since July 2016, and was previously Chief Administrative Officer and Senior Vice President, Public Policy and Corporate Affairs for Sodexo, Inc. a facilities and hospitality outsourcing solutions enterprise, from January 2008 to July 2016. He is a former George W. Bush White House appointee serving as the 19th Assistant Secretary for Financial Management and Chief Financial Officer of the U.S. Air Force from August 2001 to March 2005. Mr. Montelongo is a lifetime member of the Council on Foreign Relations and was an executive with a global management consulting firm and a regional telecommunications company. He completed a career in the U.S. Army that included line and staff assignments, a Congressional Fellowship in the U.S. Senate and service as an assistant professor teaching economics and political science at West Point. Mr. Montelongo also serves on the boards of Conduent Incorporated (NASDAQ: CNDT), a business process outsourcing company, and the privately-held Larry H. Miller Management Corporation.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Montelongo earned his B.S from West Point and an M.B.A. from Harvard Business School.</w:t>
      </w:r>
    </w:p>
    <w:p>
      <w:pPr>
        <w:spacing w:after="0" w:line="9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We believe that Mr. Montelongo's extensive background in corporate governance, as well as his experience in the hospitality industry,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150495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4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02740" cy="23831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027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Audit Committee, Environmental, Social, Governance and Nominating Committee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Charles Szalkowski</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Partner and General Counsel, Baker Botts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Mr. Szalkowski worked with the law firm of Baker Botts L.L.P. from 1975 until he retired as a partner and general counsel of the firm in December 2012. Since his retirement, Mr. Szalkowski has pursued his personal interests.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8" w:lineRule="exact"/>
        <w:rPr>
          <w:sz w:val="20"/>
          <w:szCs w:val="20"/>
          <w:color w:val="auto"/>
        </w:rPr>
      </w:pPr>
    </w:p>
    <w:p>
      <w:pPr>
        <w:ind w:right="520"/>
        <w:spacing w:after="0" w:line="248" w:lineRule="auto"/>
        <w:rPr>
          <w:sz w:val="20"/>
          <w:szCs w:val="20"/>
          <w:color w:val="auto"/>
        </w:rPr>
      </w:pPr>
      <w:r>
        <w:rPr>
          <w:rFonts w:ascii="Arial" w:cs="Arial" w:eastAsia="Arial" w:hAnsi="Arial"/>
          <w:sz w:val="16"/>
          <w:szCs w:val="16"/>
          <w:color w:val="auto"/>
        </w:rPr>
        <w:t>Mr. Szalkowski became a Certified Public Accountant in 1971. He received his J.D. and M.B.A. degrees from Harvard University and his B.S. in Accounting and B.A. in economics and political science from Rice University.</w:t>
      </w:r>
    </w:p>
    <w:p>
      <w:pPr>
        <w:spacing w:after="0" w:line="63"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We believe that Mr. Szalkowski's experience obtained over decades of representing private and public companies and their boards of directors, including public companies in the energy, energy services, accommodations, and technology sectors, as well as his extensive corporate governance expertise,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146685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460"/>
          </w:cols>
          <w:pgMar w:left="60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tbl>
      <w:tblPr>
        <w:tblLayout w:type="fixed"/>
        <w:tblInd w:w="898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bl>
    <w:p>
      <w:pPr>
        <w:sectPr>
          <w:pgSz w:w="11900" w:h="16838" w:orient="portrait"/>
          <w:cols w:equalWidth="0" w:num="1">
            <w:col w:w="10960"/>
          </w:cols>
          <w:pgMar w:left="60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 xml:space="preserve">Board of Directors </w:t>
      </w:r>
      <w:r>
        <w:rPr>
          <w:rFonts w:ascii="Arial" w:cs="Arial" w:eastAsia="Arial" w:hAnsi="Arial"/>
          <w:sz w:val="32"/>
          <w:szCs w:val="32"/>
          <w:b w:val="1"/>
          <w:bCs w:val="1"/>
          <w:color w:val="0A2299"/>
        </w:rPr>
        <w:t>—</w:t>
      </w:r>
      <w:r>
        <w:rPr>
          <w:rFonts w:ascii="Arial" w:cs="Arial" w:eastAsia="Arial" w:hAnsi="Arial"/>
          <w:sz w:val="29"/>
          <w:szCs w:val="29"/>
          <w:b w:val="1"/>
          <w:bCs w:val="1"/>
          <w:color w:val="006DB6"/>
        </w:rPr>
        <w:t xml:space="preserve"> Refreshment/Succession Planning</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 selecting nominees for the board of directors, the Environmental, Social, Governance and Nominating Committee considers, among other things, the diversity of the board of directors in terms of educational background, business industry experience, and knowledge of different geographic markets and the accommodations industry. Further, in considering nominees for director, diversity of viewpoints, expertise and experience are taken into account as well as gender, ethnicity and background. These factors are considered by the board of directors when identifying individuals for board membership. In the case of each current director being considered for renomination, the Environmental, Social, Governance and Nominating Committee took into account the director’s history of attendance at board of directors and committee meetings, the director’s tenure as a member of the board of directors and the director’s preparation for and participation in such meetings.</w:t>
      </w:r>
    </w:p>
    <w:p>
      <w:pPr>
        <w:spacing w:after="0" w:line="8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Because Civeo operates across the globe and serves customers and guests from different nations and backgrounds, we have always sought directors who, in addition to their integrity, experience, and acumen, have diverse backgrounds and points of view. Through purposeful refreshment, the Environmental, Social, Governance and Nominating Committee is committed to seeking highly qualified women and individuals from ethnically diverse groups to include in the pool of potential director candidates and has provided this instruction to the third-party search firm that it uses to assist in the identification of potential director candidates. During 2021, we identified and added two highly qualified diverse candidates whose skills and characteristics strengthened the entirety</w:t>
      </w:r>
    </w:p>
    <w:p>
      <w:pPr>
        <w:sectPr>
          <w:pgSz w:w="11900" w:h="16838" w:orient="portrait"/>
          <w:cols w:equalWidth="0" w:num="1">
            <w:col w:w="11240"/>
          </w:cols>
          <w:pgMar w:left="320" w:top="125"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of our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1797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Candidate Search</w:t>
      </w:r>
    </w:p>
    <w:p>
      <w:pPr>
        <w:spacing w:after="0" w:line="95" w:lineRule="exact"/>
        <w:rPr>
          <w:sz w:val="20"/>
          <w:szCs w:val="20"/>
          <w:color w:val="auto"/>
        </w:rPr>
      </w:pPr>
    </w:p>
    <w:p>
      <w:pPr>
        <w:ind w:left="680" w:right="40" w:hanging="195"/>
        <w:spacing w:after="0" w:line="286" w:lineRule="auto"/>
        <w:tabs>
          <w:tab w:leader="none" w:pos="650"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may seek referrals from other members of the board of directors, management, shareholders and other sources.</w:t>
      </w:r>
    </w:p>
    <w:p>
      <w:pPr>
        <w:spacing w:after="0" w:line="7" w:lineRule="exact"/>
        <w:rPr>
          <w:rFonts w:ascii="Arial" w:cs="Arial" w:eastAsia="Arial" w:hAnsi="Arial"/>
          <w:sz w:val="16"/>
          <w:szCs w:val="16"/>
          <w:color w:val="006DB6"/>
        </w:rPr>
      </w:pPr>
    </w:p>
    <w:p>
      <w:pPr>
        <w:ind w:left="680" w:right="160" w:hanging="195"/>
        <w:spacing w:after="0" w:line="286" w:lineRule="auto"/>
        <w:tabs>
          <w:tab w:leader="none" w:pos="650"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also may, but need not, retain a professional search firm in order to identify, recruit and evaluate qualified candidates 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210820</wp:posOffset>
            </wp:positionV>
            <wp:extent cx="1797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Consideration of Diversity and Other Relevant Factors</w:t>
      </w:r>
    </w:p>
    <w:p>
      <w:pPr>
        <w:spacing w:after="0" w:line="176" w:lineRule="exact"/>
        <w:rPr>
          <w:sz w:val="20"/>
          <w:szCs w:val="20"/>
          <w:color w:val="auto"/>
        </w:rPr>
      </w:pPr>
    </w:p>
    <w:p>
      <w:pPr>
        <w:ind w:left="680" w:hanging="195"/>
        <w:spacing w:after="0" w:line="254" w:lineRule="auto"/>
        <w:tabs>
          <w:tab w:leader="none" w:pos="65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board of directors and the Environmental, Social, Governance and Nominating Committee are committed to actively seeking new and diverse members whose expertise lend to the greater needs of the board of directors. In that regard, the Nominating and Corporate Governance Committee considers race and gender of prospective director candidates, as well as the factors identified above in order to achieve an overall variety and mix of diversity among our directors. The effectiveness of this policy is assessed in connection with the board of directors’ annual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184150</wp:posOffset>
            </wp:positionV>
            <wp:extent cx="1797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Assessment of the Environmental, Social, Governance and Nominating Committee</w:t>
      </w:r>
    </w:p>
    <w:p>
      <w:pPr>
        <w:spacing w:after="0" w:line="176" w:lineRule="exact"/>
        <w:rPr>
          <w:sz w:val="20"/>
          <w:szCs w:val="20"/>
          <w:color w:val="auto"/>
        </w:rPr>
      </w:pPr>
    </w:p>
    <w:p>
      <w:pPr>
        <w:ind w:left="680" w:right="780" w:hanging="195"/>
        <w:spacing w:after="0" w:line="286" w:lineRule="auto"/>
        <w:tabs>
          <w:tab w:leader="none" w:pos="650" w:val="left"/>
        </w:tabs>
        <w:numPr>
          <w:ilvl w:val="0"/>
          <w:numId w:val="12"/>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reviews the candidate’s experience, independence and understanding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167640</wp:posOffset>
            </wp:positionV>
            <wp:extent cx="1797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Interviews</w:t>
      </w:r>
    </w:p>
    <w:p>
      <w:pPr>
        <w:spacing w:after="0" w:line="95" w:lineRule="exact"/>
        <w:rPr>
          <w:sz w:val="20"/>
          <w:szCs w:val="20"/>
          <w:color w:val="auto"/>
        </w:rPr>
      </w:pPr>
    </w:p>
    <w:p>
      <w:pPr>
        <w:ind w:left="640" w:hanging="155"/>
        <w:spacing w:after="0"/>
        <w:tabs>
          <w:tab w:leader="none" w:pos="640" w:val="left"/>
        </w:tabs>
        <w:numPr>
          <w:ilvl w:val="0"/>
          <w:numId w:val="13"/>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conducts an interview with each candidate.</w:t>
      </w:r>
    </w:p>
    <w:p>
      <w:pPr>
        <w:spacing w:after="0" w:line="72" w:lineRule="exact"/>
        <w:rPr>
          <w:rFonts w:ascii="Arial" w:cs="Arial" w:eastAsia="Arial" w:hAnsi="Arial"/>
          <w:sz w:val="16"/>
          <w:szCs w:val="16"/>
          <w:color w:val="006DB6"/>
        </w:rPr>
      </w:pPr>
    </w:p>
    <w:p>
      <w:pPr>
        <w:ind w:left="640" w:hanging="155"/>
        <w:spacing w:after="0"/>
        <w:tabs>
          <w:tab w:leader="none" w:pos="640" w:val="left"/>
        </w:tabs>
        <w:numPr>
          <w:ilvl w:val="0"/>
          <w:numId w:val="13"/>
        </w:numPr>
        <w:rPr>
          <w:rFonts w:ascii="Arial" w:cs="Arial" w:eastAsia="Arial" w:hAnsi="Arial"/>
          <w:sz w:val="16"/>
          <w:szCs w:val="16"/>
          <w:color w:val="006DB6"/>
        </w:rPr>
      </w:pPr>
      <w:r>
        <w:rPr>
          <w:rFonts w:ascii="Arial" w:cs="Arial" w:eastAsia="Arial" w:hAnsi="Arial"/>
          <w:sz w:val="16"/>
          <w:szCs w:val="16"/>
          <w:color w:val="auto"/>
        </w:rPr>
        <w:t>Further interviews are conducted with other directors as well as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166370</wp:posOffset>
            </wp:positionV>
            <wp:extent cx="1797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Recommendations</w:t>
      </w:r>
    </w:p>
    <w:p>
      <w:pPr>
        <w:spacing w:after="0" w:line="176" w:lineRule="exact"/>
        <w:rPr>
          <w:sz w:val="20"/>
          <w:szCs w:val="20"/>
          <w:color w:val="auto"/>
        </w:rPr>
      </w:pPr>
    </w:p>
    <w:p>
      <w:pPr>
        <w:ind w:left="680" w:right="40" w:hanging="195"/>
        <w:spacing w:after="0" w:line="286" w:lineRule="auto"/>
        <w:tabs>
          <w:tab w:leader="none" w:pos="650" w:val="left"/>
        </w:tabs>
        <w:numPr>
          <w:ilvl w:val="0"/>
          <w:numId w:val="14"/>
        </w:numPr>
        <w:rPr>
          <w:rFonts w:ascii="Arial" w:cs="Arial" w:eastAsia="Arial" w:hAnsi="Arial"/>
          <w:sz w:val="16"/>
          <w:szCs w:val="16"/>
          <w:color w:val="006DB6"/>
        </w:rPr>
      </w:pPr>
      <w:r>
        <w:rPr>
          <w:rFonts w:ascii="Arial" w:cs="Arial" w:eastAsia="Arial" w:hAnsi="Arial"/>
          <w:sz w:val="16"/>
          <w:szCs w:val="16"/>
          <w:color w:val="auto"/>
        </w:rPr>
        <w:t>After the assessment and interview process, the Environmental, Social, Governance and Nominating Committee submits a recommendation of nominees to the board of directors, and the board of directors selects the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3 new directors were added 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-320040</wp:posOffset>
            </wp:positionV>
            <wp:extent cx="1243330" cy="42691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43330"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Jay K. Grewal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Michael Montelongo</w:t>
      </w:r>
    </w:p>
    <w:p>
      <w:pPr>
        <w:spacing w:after="0" w:line="200" w:lineRule="exact"/>
        <w:rPr>
          <w:sz w:val="20"/>
          <w:szCs w:val="20"/>
          <w:color w:val="auto"/>
        </w:rPr>
      </w:pPr>
    </w:p>
    <w:p>
      <w:pPr>
        <w:spacing w:after="0" w:line="264" w:lineRule="exact"/>
        <w:rPr>
          <w:sz w:val="20"/>
          <w:szCs w:val="20"/>
          <w:color w:val="auto"/>
        </w:rPr>
      </w:pPr>
    </w:p>
    <w:p>
      <w:pPr>
        <w:ind w:right="340" w:firstLine="235"/>
        <w:spacing w:after="0" w:line="286" w:lineRule="auto"/>
        <w:rPr>
          <w:sz w:val="20"/>
          <w:szCs w:val="20"/>
          <w:color w:val="auto"/>
        </w:rPr>
      </w:pPr>
      <w:r>
        <w:rPr>
          <w:rFonts w:ascii="Arial" w:cs="Arial" w:eastAsia="Arial" w:hAnsi="Arial"/>
          <w:sz w:val="16"/>
          <w:szCs w:val="16"/>
          <w:color w:val="auto"/>
        </w:rPr>
        <w:t>Ronald Gilbertson (resigned in 2019)</w:t>
      </w:r>
    </w:p>
    <w:p>
      <w:pPr>
        <w:spacing w:after="0" w:line="2603" w:lineRule="exact"/>
        <w:rPr>
          <w:sz w:val="20"/>
          <w:szCs w:val="20"/>
          <w:color w:val="auto"/>
        </w:rPr>
      </w:pPr>
    </w:p>
    <w:p>
      <w:pPr>
        <w:sectPr>
          <w:pgSz w:w="11900" w:h="16838" w:orient="portrait"/>
          <w:cols w:equalWidth="0" w:num="2">
            <w:col w:w="8900" w:space="480"/>
            <w:col w:w="1860"/>
          </w:cols>
          <w:pgMar w:left="320" w:top="125" w:right="339" w:bottom="1440" w:gutter="0" w:footer="0" w:header="0"/>
          <w:type w:val="continuous"/>
        </w:sectPr>
      </w:pPr>
    </w:p>
    <w:p>
      <w:pPr>
        <w:spacing w:after="0" w:line="7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Environmental, Social, Governance and Nominating Committee will consider recommendations from various sources, including from shareholders, regarding possible candidates for director. To submit a recommendation to the Environmental, Social, Governance and Nominating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154940</wp:posOffset>
            </wp:positionV>
            <wp:extent cx="394335" cy="1974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240"/>
          </w:cols>
          <w:pgMar w:left="320" w:top="125" w:right="3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Civeo’s Corporate Governance Guidelines reflect our belief that directors should not be subject to term limits or age-based limits. While such limits could facilitate fresh ideas and viewpoints being consistently brought to the board of directors, we believe they are counterbalanced by the disadvantage of causing the loss of a director who over a period of time has developed insight into our strategies, operations and risks and continues to provide valuable contributions to board of directors deliberations. Nonetheless, our board of directors is committed to adding new directors to infuse new ideas and fresh perspectives in the boardroom. Civeo has been a separate public company since May 2014, and during that time, 16 different individuals have served on our now 9-seat board of directors. As a result, the Environmental, Social, Governance and Nominating Committee has concluded that the company has experienced an adequate turnover and refreshing of its board of directors. All of the departed board members left in good standing without any disagreements with the Company relating to its operations, policies or practices, but voluntarily resigned either because of retirement or, in one case, a job opportunity in South Asia, or because particular shareholders who had proposed them as directors had changed their ownership positions in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Director Resignation Policy</w:t>
      </w:r>
    </w:p>
    <w:p>
      <w:pPr>
        <w:spacing w:after="0" w:line="12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Environmental, Social, Governance and Nominating Committee for consideration. The Environmental, Social, Governance and Nominating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Environmental, Social, Governance and Nominating Committee the opportunity to consider the appropriateness of continued membership on the board of directors of the director who tendered resignation and make a recommendation to the board of directors as to the director’s continued service on the board of directors.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the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Civeo’s Corporate Governance Guidelines also provide that, if a director changes his or her employer or otherwise has a significant change in job responsibilities during his or her tenure as a director, that director is required to inform the Environmental, Social, Governance and Nominating Committee of the change and tender his or her resignation to the board of directors for consideration. Such resignation shall not be effective unless and until the board of directors chooses to accept the resignation. The board of directors, through the Environmental, Social, Governance and Nominating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 — Role and Responsibilities</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Overview</w:t>
      </w:r>
    </w:p>
    <w:p>
      <w:pPr>
        <w:spacing w:after="0" w:line="1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basic responsibilities of our board of directors are to (1) supervise the management of the business and affairs of the company; (2) act honestly and in good faith with a view to the best interests of the Company; and (3) exercise the care, diligence and skill that a reasonably prudent person would exercise in comparable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Oversight of Enterprise Risk</w:t>
      </w:r>
    </w:p>
    <w:p>
      <w:pPr>
        <w:spacing w:after="0" w:line="132"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349"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results of the risk assessment are reviewed with the Audit Committee and with the full board of directors annually. The centerpiece of the assessment is the discussion of our key risks, which include strategic, operational, human capital, regulatory, cybersecurity and other risks and the factors discussed above. As part of the process for evaluating each key risk, a senior manager is identified to manage the risk, monitor potential impact of the risk and execute initiatives to mitigate the risk.</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7054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7054850"/>
                    </a:xfrm>
                    <a:prstGeom prst="rect">
                      <a:avLst/>
                    </a:prstGeom>
                    <a:noFill/>
                  </pic:spPr>
                </pic:pic>
              </a:graphicData>
            </a:graphic>
          </wp:anchor>
        </w:drawing>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006DB6"/>
        </w:rPr>
        <w:t>Board of Directors</w:t>
      </w:r>
    </w:p>
    <w:p>
      <w:pPr>
        <w:spacing w:after="0" w:line="235" w:lineRule="exact"/>
        <w:rPr>
          <w:sz w:val="20"/>
          <w:szCs w:val="20"/>
          <w:color w:val="auto"/>
        </w:rPr>
      </w:pPr>
    </w:p>
    <w:p>
      <w:pPr>
        <w:ind w:left="460" w:hanging="168"/>
        <w:spacing w:after="0"/>
        <w:tabs>
          <w:tab w:leader="none" w:pos="46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Is primarily responsible for the oversight of risk.</w:t>
      </w:r>
    </w:p>
    <w:p>
      <w:pPr>
        <w:spacing w:after="0" w:line="21" w:lineRule="exact"/>
        <w:rPr>
          <w:rFonts w:ascii="Arial" w:cs="Arial" w:eastAsia="Arial" w:hAnsi="Arial"/>
          <w:sz w:val="16"/>
          <w:szCs w:val="16"/>
          <w:color w:val="006DB6"/>
        </w:rPr>
      </w:pPr>
    </w:p>
    <w:p>
      <w:pPr>
        <w:ind w:left="460" w:hanging="168"/>
        <w:spacing w:after="0"/>
        <w:tabs>
          <w:tab w:leader="none" w:pos="46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Delegates responsibility for monitoring certain risks to its standing committees.</w:t>
      </w:r>
    </w:p>
    <w:p>
      <w:pPr>
        <w:spacing w:after="0" w:line="5" w:lineRule="exact"/>
        <w:rPr>
          <w:rFonts w:ascii="Arial" w:cs="Arial" w:eastAsia="Arial" w:hAnsi="Arial"/>
          <w:sz w:val="16"/>
          <w:szCs w:val="16"/>
          <w:color w:val="006DB6"/>
        </w:rPr>
      </w:pPr>
    </w:p>
    <w:p>
      <w:pPr>
        <w:ind w:left="460" w:hanging="168"/>
        <w:spacing w:after="0"/>
        <w:tabs>
          <w:tab w:leader="none" w:pos="46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Maintains responsibility for oversight of safety and food safety risks.</w:t>
      </w:r>
    </w:p>
    <w:p>
      <w:pPr>
        <w:spacing w:after="0" w:line="5" w:lineRule="exact"/>
        <w:rPr>
          <w:rFonts w:ascii="Arial" w:cs="Arial" w:eastAsia="Arial" w:hAnsi="Arial"/>
          <w:sz w:val="16"/>
          <w:szCs w:val="16"/>
          <w:color w:val="006DB6"/>
        </w:rPr>
      </w:pPr>
    </w:p>
    <w:p>
      <w:pPr>
        <w:ind w:left="460" w:hanging="168"/>
        <w:spacing w:after="0"/>
        <w:tabs>
          <w:tab w:leader="none" w:pos="46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Receives regular reports from committees and management concerning identified risks and mitigation or management of such risks.</w:t>
      </w:r>
    </w:p>
    <w:p>
      <w:pPr>
        <w:spacing w:after="0" w:line="327" w:lineRule="exact"/>
        <w:rPr>
          <w:sz w:val="20"/>
          <w:szCs w:val="20"/>
          <w:color w:val="auto"/>
        </w:rPr>
      </w:pPr>
    </w:p>
    <w:tbl>
      <w:tblPr>
        <w:tblLayout w:type="fixed"/>
        <w:tblInd w:w="2200" w:type="dxa"/>
        <w:tblCellMar>
          <w:top w:w="0" w:type="dxa"/>
          <w:left w:w="0" w:type="dxa"/>
          <w:bottom w:w="0" w:type="dxa"/>
          <w:right w:w="0" w:type="dxa"/>
        </w:tblCellMar>
      </w:tblPr>
      <w:tr>
        <w:trPr>
          <w:trHeight w:val="223"/>
        </w:trPr>
        <w:tc>
          <w:tcPr>
            <w:tcW w:w="324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3940" w:type="dxa"/>
            <w:vAlign w:val="bottom"/>
          </w:tcPr>
          <w:p>
            <w:pPr>
              <w:ind w:left="1940"/>
              <w:spacing w:after="0"/>
              <w:rPr>
                <w:sz w:val="20"/>
                <w:szCs w:val="20"/>
                <w:color w:val="auto"/>
              </w:rPr>
            </w:pPr>
            <w:r>
              <w:rPr>
                <w:rFonts w:ascii="Arial" w:cs="Arial" w:eastAsia="Arial" w:hAnsi="Arial"/>
                <w:sz w:val="16"/>
                <w:szCs w:val="16"/>
                <w:b w:val="1"/>
                <w:bCs w:val="1"/>
                <w:color w:val="auto"/>
                <w:w w:val="99"/>
              </w:rPr>
              <w:t>Compensation Committee</w:t>
            </w: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63" w:lineRule="exact"/>
        <w:rPr>
          <w:sz w:val="20"/>
          <w:szCs w:val="20"/>
          <w:color w:val="auto"/>
        </w:rPr>
      </w:pPr>
    </w:p>
    <w:p>
      <w:pPr>
        <w:ind w:left="460" w:hanging="168"/>
        <w:spacing w:after="0"/>
        <w:tabs>
          <w:tab w:leader="none" w:pos="46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86" w:lineRule="exact"/>
        <w:rPr>
          <w:rFonts w:ascii="Arial" w:cs="Arial" w:eastAsia="Arial" w:hAnsi="Arial"/>
          <w:sz w:val="16"/>
          <w:szCs w:val="16"/>
          <w:color w:val="006DB6"/>
        </w:rPr>
      </w:pPr>
    </w:p>
    <w:p>
      <w:pPr>
        <w:ind w:left="700" w:right="140" w:hanging="193"/>
        <w:spacing w:after="0" w:line="256" w:lineRule="auto"/>
        <w:tabs>
          <w:tab w:leader="none" w:pos="698" w:val="left"/>
        </w:tabs>
        <w:numPr>
          <w:ilvl w:val="1"/>
          <w:numId w:val="16"/>
        </w:numPr>
        <w:rPr>
          <w:rFonts w:ascii="Arial" w:cs="Arial" w:eastAsia="Arial" w:hAnsi="Arial"/>
          <w:sz w:val="16"/>
          <w:szCs w:val="16"/>
          <w:color w:val="auto"/>
        </w:rPr>
      </w:pPr>
      <w:r>
        <w:rPr>
          <w:rFonts w:ascii="Arial" w:cs="Arial" w:eastAsia="Arial" w:hAnsi="Arial"/>
          <w:sz w:val="16"/>
          <w:szCs w:val="16"/>
          <w:color w:val="auto"/>
        </w:rPr>
        <w:t>Financial statements, financial reporting process and internal controls over financial reporting;</w:t>
      </w:r>
    </w:p>
    <w:p>
      <w:pPr>
        <w:spacing w:after="0" w:line="1" w:lineRule="exact"/>
        <w:rPr>
          <w:rFonts w:ascii="Arial" w:cs="Arial" w:eastAsia="Arial" w:hAnsi="Arial"/>
          <w:sz w:val="16"/>
          <w:szCs w:val="16"/>
          <w:color w:val="auto"/>
        </w:rPr>
      </w:pPr>
    </w:p>
    <w:p>
      <w:pPr>
        <w:ind w:left="700" w:hanging="193"/>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Regulatory and accounting compliance;</w:t>
      </w:r>
    </w:p>
    <w:p>
      <w:pPr>
        <w:spacing w:after="0" w:line="5" w:lineRule="exact"/>
        <w:rPr>
          <w:rFonts w:ascii="Arial" w:cs="Arial" w:eastAsia="Arial" w:hAnsi="Arial"/>
          <w:sz w:val="16"/>
          <w:szCs w:val="16"/>
          <w:color w:val="auto"/>
        </w:rPr>
      </w:pPr>
    </w:p>
    <w:p>
      <w:pPr>
        <w:ind w:left="700" w:hanging="193"/>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Litigation risks;</w:t>
      </w:r>
    </w:p>
    <w:p>
      <w:pPr>
        <w:spacing w:after="0" w:line="5" w:lineRule="exact"/>
        <w:rPr>
          <w:rFonts w:ascii="Arial" w:cs="Arial" w:eastAsia="Arial" w:hAnsi="Arial"/>
          <w:sz w:val="16"/>
          <w:szCs w:val="16"/>
          <w:color w:val="auto"/>
        </w:rPr>
      </w:pPr>
    </w:p>
    <w:p>
      <w:pPr>
        <w:ind w:left="700" w:hanging="193"/>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Technology and cybersecurity risks; and</w:t>
      </w:r>
    </w:p>
    <w:p>
      <w:pPr>
        <w:spacing w:after="0" w:line="5" w:lineRule="exact"/>
        <w:rPr>
          <w:rFonts w:ascii="Arial" w:cs="Arial" w:eastAsia="Arial" w:hAnsi="Arial"/>
          <w:sz w:val="16"/>
          <w:szCs w:val="16"/>
          <w:color w:val="auto"/>
        </w:rPr>
      </w:pPr>
    </w:p>
    <w:p>
      <w:pPr>
        <w:ind w:left="700" w:hanging="193"/>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Succession of accounting and finance personnel.</w:t>
      </w:r>
    </w:p>
    <w:p>
      <w:pPr>
        <w:spacing w:after="0" w:line="56" w:lineRule="exact"/>
        <w:rPr>
          <w:rFonts w:ascii="Arial" w:cs="Arial" w:eastAsia="Arial" w:hAnsi="Arial"/>
          <w:sz w:val="16"/>
          <w:szCs w:val="16"/>
          <w:color w:val="auto"/>
        </w:rPr>
      </w:pPr>
    </w:p>
    <w:p>
      <w:pPr>
        <w:ind w:left="480" w:right="20" w:hanging="188"/>
        <w:spacing w:after="0" w:line="286" w:lineRule="auto"/>
        <w:tabs>
          <w:tab w:leader="none" w:pos="45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Oversees the internal audit function, including an annual review of scope and duties.</w:t>
      </w:r>
    </w:p>
    <w:p>
      <w:pPr>
        <w:spacing w:after="0" w:line="7" w:lineRule="exact"/>
        <w:rPr>
          <w:rFonts w:ascii="Arial" w:cs="Arial" w:eastAsia="Arial" w:hAnsi="Arial"/>
          <w:sz w:val="16"/>
          <w:szCs w:val="16"/>
          <w:color w:val="006DB6"/>
        </w:rPr>
      </w:pPr>
    </w:p>
    <w:p>
      <w:pPr>
        <w:ind w:left="460" w:hanging="168"/>
        <w:spacing w:after="0"/>
        <w:tabs>
          <w:tab w:leader="none" w:pos="46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Reviews results of management's risk assessment.</w:t>
      </w: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Environmental, Social, Governance &amp; Nominating Committee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66" w:hanging="166"/>
        <w:spacing w:after="0"/>
        <w:tabs>
          <w:tab w:leader="none" w:pos="166"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86" w:lineRule="exact"/>
        <w:rPr>
          <w:rFonts w:ascii="Arial" w:cs="Arial" w:eastAsia="Arial" w:hAnsi="Arial"/>
          <w:sz w:val="16"/>
          <w:szCs w:val="16"/>
          <w:color w:val="006DB6"/>
        </w:rPr>
      </w:pPr>
    </w:p>
    <w:p>
      <w:pPr>
        <w:ind w:left="406" w:hanging="192"/>
        <w:spacing w:after="0"/>
        <w:tabs>
          <w:tab w:leader="none" w:pos="406"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Executive compensation; and</w:t>
      </w:r>
    </w:p>
    <w:p>
      <w:pPr>
        <w:spacing w:after="0" w:line="21" w:lineRule="exact"/>
        <w:rPr>
          <w:rFonts w:ascii="Arial" w:cs="Arial" w:eastAsia="Arial" w:hAnsi="Arial"/>
          <w:sz w:val="16"/>
          <w:szCs w:val="16"/>
          <w:color w:val="auto"/>
        </w:rPr>
      </w:pPr>
    </w:p>
    <w:p>
      <w:pPr>
        <w:ind w:left="406" w:hanging="192"/>
        <w:spacing w:after="0"/>
        <w:tabs>
          <w:tab w:leader="none" w:pos="406"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Succession of key personnel.</w:t>
      </w:r>
    </w:p>
    <w:p>
      <w:pPr>
        <w:spacing w:after="0" w:line="56" w:lineRule="exact"/>
        <w:rPr>
          <w:rFonts w:ascii="Arial" w:cs="Arial" w:eastAsia="Arial" w:hAnsi="Arial"/>
          <w:sz w:val="16"/>
          <w:szCs w:val="16"/>
          <w:color w:val="auto"/>
        </w:rPr>
      </w:pPr>
    </w:p>
    <w:p>
      <w:pPr>
        <w:ind w:left="186" w:right="320" w:hanging="186"/>
        <w:spacing w:after="0" w:line="259" w:lineRule="auto"/>
        <w:tabs>
          <w:tab w:leader="none" w:pos="156"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Reviews our compensation policies to ensure they do not encourage excessive or unnecessary risk-taking, and that the level of risk that they do encourage is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6"/>
        <w:spacing w:after="0"/>
        <w:rPr>
          <w:sz w:val="20"/>
          <w:szCs w:val="20"/>
          <w:color w:val="auto"/>
        </w:rPr>
      </w:pPr>
      <w:r>
        <w:rPr>
          <w:rFonts w:ascii="Arial" w:cs="Arial" w:eastAsia="Arial" w:hAnsi="Arial"/>
          <w:sz w:val="16"/>
          <w:szCs w:val="16"/>
          <w:b w:val="1"/>
          <w:bCs w:val="1"/>
          <w:color w:val="auto"/>
        </w:rPr>
        <w:t>Finance and Investment Committee</w:t>
      </w:r>
    </w:p>
    <w:p>
      <w:pPr>
        <w:spacing w:after="0" w:line="200" w:lineRule="exact"/>
        <w:rPr>
          <w:sz w:val="20"/>
          <w:szCs w:val="20"/>
          <w:color w:val="auto"/>
        </w:rPr>
      </w:pPr>
    </w:p>
    <w:p>
      <w:pPr>
        <w:sectPr>
          <w:pgSz w:w="11900" w:h="16838" w:orient="portrait"/>
          <w:cols w:equalWidth="0" w:num="2">
            <w:col w:w="5200" w:space="614"/>
            <w:col w:w="5386"/>
          </w:cols>
          <w:pgMar w:left="320" w:top="125" w:right="379" w:bottom="1440" w:gutter="0" w:footer="0" w:header="0"/>
          <w:type w:val="continuous"/>
        </w:sectPr>
      </w:pP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140" w:type="dxa"/>
            <w:vAlign w:val="bottom"/>
            <w:gridSpan w:val="2"/>
          </w:tcPr>
          <w:p>
            <w:pPr>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Oversees risks related to:</w:t>
            </w:r>
          </w:p>
        </w:tc>
        <w:tc>
          <w:tcPr>
            <w:tcW w:w="4120" w:type="dxa"/>
            <w:vAlign w:val="bottom"/>
            <w:gridSpan w:val="2"/>
          </w:tcPr>
          <w:p>
            <w:pPr>
              <w:ind w:left="38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Involved in risk considerations related to:</w:t>
            </w:r>
          </w:p>
        </w:tc>
      </w:tr>
      <w:tr>
        <w:trPr>
          <w:trHeight w:val="244"/>
        </w:trPr>
        <w:tc>
          <w:tcPr>
            <w:tcW w:w="420" w:type="dxa"/>
            <w:vAlign w:val="bottom"/>
          </w:tcPr>
          <w:p>
            <w:pPr>
              <w:ind w:left="280"/>
              <w:spacing w:after="0"/>
              <w:rPr>
                <w:sz w:val="20"/>
                <w:szCs w:val="20"/>
                <w:color w:val="auto"/>
              </w:rPr>
            </w:pPr>
            <w:r>
              <w:rPr>
                <w:rFonts w:ascii="Arial" w:cs="Arial" w:eastAsia="Arial" w:hAnsi="Arial"/>
                <w:sz w:val="16"/>
                <w:szCs w:val="16"/>
                <w:color w:val="006DB6"/>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Independence of board of directors and potential conflicts of</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Civeo's strategic objectives;</w:t>
            </w:r>
          </w:p>
        </w:tc>
      </w:tr>
      <w:tr>
        <w:trPr>
          <w:trHeight w:val="189"/>
        </w:trPr>
        <w:tc>
          <w:tcPr>
            <w:tcW w:w="420" w:type="dxa"/>
            <w:vAlign w:val="bottom"/>
          </w:tcPr>
          <w:p>
            <w:pPr>
              <w:spacing w:after="0"/>
              <w:rPr>
                <w:sz w:val="16"/>
                <w:szCs w:val="16"/>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interest;</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Capital allocation policies;</w:t>
            </w:r>
          </w:p>
        </w:tc>
      </w:tr>
      <w:tr>
        <w:trPr>
          <w:trHeight w:val="189"/>
        </w:trPr>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of board of directors and related committee</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Debt strategies; and</w:t>
            </w:r>
          </w:p>
        </w:tc>
      </w:tr>
      <w:tr>
        <w:trPr>
          <w:trHeight w:val="205"/>
        </w:trPr>
        <w:tc>
          <w:tcPr>
            <w:tcW w:w="420" w:type="dxa"/>
            <w:vAlign w:val="bottom"/>
          </w:tcPr>
          <w:p>
            <w:pPr>
              <w:spacing w:after="0"/>
              <w:rPr>
                <w:sz w:val="17"/>
                <w:szCs w:val="17"/>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and</w:t>
            </w:r>
          </w:p>
        </w:tc>
        <w:tc>
          <w:tcPr>
            <w:tcW w:w="4120" w:type="dxa"/>
            <w:vAlign w:val="bottom"/>
            <w:gridSpan w:val="2"/>
          </w:tcPr>
          <w:p>
            <w:pPr>
              <w:ind w:left="580"/>
              <w:spacing w:after="0"/>
              <w:rPr>
                <w:sz w:val="20"/>
                <w:szCs w:val="20"/>
                <w:color w:val="auto"/>
              </w:rPr>
            </w:pPr>
            <w:r>
              <w:rPr>
                <w:rFonts w:ascii="Arial" w:cs="Arial" w:eastAsia="Arial" w:hAnsi="Arial"/>
                <w:sz w:val="16"/>
                <w:szCs w:val="16"/>
                <w:color w:val="auto"/>
              </w:rPr>
              <w:t>◦  Distributions and return of capital transactions.</w:t>
            </w:r>
          </w:p>
        </w:tc>
      </w:tr>
    </w:tbl>
    <w:p>
      <w:pPr>
        <w:ind w:left="780" w:hanging="192"/>
        <w:spacing w:after="0"/>
        <w:tabs>
          <w:tab w:leader="none" w:pos="7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5" w:lineRule="exact"/>
        <w:rPr>
          <w:rFonts w:ascii="Arial" w:cs="Arial" w:eastAsia="Arial" w:hAnsi="Arial"/>
          <w:sz w:val="16"/>
          <w:szCs w:val="16"/>
          <w:color w:val="auto"/>
        </w:rPr>
      </w:pPr>
    </w:p>
    <w:p>
      <w:pPr>
        <w:ind w:left="460" w:right="5880" w:hanging="196"/>
        <w:spacing w:after="0" w:line="246" w:lineRule="auto"/>
        <w:tabs>
          <w:tab w:leader="none" w:pos="43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Performs annual evaluation of the board of directors, each individual director and each committee.</w:t>
      </w:r>
    </w:p>
    <w:p>
      <w:pPr>
        <w:ind w:left="460" w:right="6700" w:hanging="196"/>
        <w:spacing w:after="0" w:line="265" w:lineRule="auto"/>
        <w:tabs>
          <w:tab w:leader="none" w:pos="43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Oversees Civeo's strategy and initiatives with regard to Environmental, Social and Governance ("ESG") matters.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6DB6"/>
        </w:rPr>
        <w:t>Management</w:t>
      </w:r>
    </w:p>
    <w:p>
      <w:pPr>
        <w:spacing w:after="0" w:line="235" w:lineRule="exact"/>
        <w:rPr>
          <w:sz w:val="20"/>
          <w:szCs w:val="20"/>
          <w:color w:val="auto"/>
        </w:rPr>
      </w:pPr>
    </w:p>
    <w:p>
      <w:pPr>
        <w:ind w:left="380" w:hanging="165"/>
        <w:spacing w:after="0"/>
        <w:tabs>
          <w:tab w:leader="none" w:pos="380"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Is responsible for day-to-day risk management.</w:t>
      </w:r>
    </w:p>
    <w:p>
      <w:pPr>
        <w:spacing w:after="0" w:line="21" w:lineRule="exact"/>
        <w:rPr>
          <w:rFonts w:ascii="Arial" w:cs="Arial" w:eastAsia="Arial" w:hAnsi="Arial"/>
          <w:sz w:val="16"/>
          <w:szCs w:val="16"/>
          <w:color w:val="006DB6"/>
        </w:rPr>
      </w:pPr>
    </w:p>
    <w:p>
      <w:pPr>
        <w:ind w:left="380" w:hanging="165"/>
        <w:spacing w:after="0"/>
        <w:tabs>
          <w:tab w:leader="none" w:pos="380"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Conducts an annual risk assessment of our business.</w:t>
      </w:r>
    </w:p>
    <w:p>
      <w:pPr>
        <w:spacing w:after="0" w:line="5" w:lineRule="exact"/>
        <w:rPr>
          <w:rFonts w:ascii="Arial" w:cs="Arial" w:eastAsia="Arial" w:hAnsi="Arial"/>
          <w:sz w:val="16"/>
          <w:szCs w:val="16"/>
          <w:color w:val="006DB6"/>
        </w:rPr>
      </w:pPr>
    </w:p>
    <w:p>
      <w:pPr>
        <w:ind w:left="380" w:hanging="165"/>
        <w:spacing w:after="0"/>
        <w:tabs>
          <w:tab w:leader="none" w:pos="380"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Incorporates risk assessment into annual internal audit plan.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6DB6"/>
        </w:rPr>
        <w:t>Cybersecurity Risk Oversight Strategy</w:t>
      </w:r>
    </w:p>
    <w:p>
      <w:pPr>
        <w:spacing w:after="0" w:line="221" w:lineRule="exact"/>
        <w:rPr>
          <w:sz w:val="20"/>
          <w:szCs w:val="20"/>
          <w:color w:val="auto"/>
        </w:rPr>
      </w:pPr>
    </w:p>
    <w:p>
      <w:pPr>
        <w:ind w:left="220" w:right="360"/>
        <w:spacing w:after="0" w:line="242" w:lineRule="auto"/>
        <w:rPr>
          <w:sz w:val="20"/>
          <w:szCs w:val="20"/>
          <w:color w:val="auto"/>
        </w:rPr>
      </w:pPr>
      <w:r>
        <w:rPr>
          <w:rFonts w:ascii="Arial" w:cs="Arial" w:eastAsia="Arial" w:hAnsi="Arial"/>
          <w:sz w:val="16"/>
          <w:szCs w:val="16"/>
          <w:color w:val="auto"/>
        </w:rPr>
        <w:t>Cybersecurity risks are continuously monitored and evaluated by management in partnership with internal audit. Civeo engages a variety of cybersecurity partners to perform and mediate penetration testing, as well as perform quarterly audits on our cyber security profile. Management has also implemented a variety of required programs to both test and train our employees on cybersecurity fundamentals, including annual information security awareness training.</w:t>
      </w:r>
    </w:p>
    <w:p>
      <w:pPr>
        <w:spacing w:after="0" w:line="203" w:lineRule="exact"/>
        <w:rPr>
          <w:sz w:val="20"/>
          <w:szCs w:val="20"/>
          <w:color w:val="auto"/>
        </w:rPr>
      </w:pPr>
    </w:p>
    <w:p>
      <w:pPr>
        <w:ind w:left="220" w:right="340"/>
        <w:spacing w:after="0" w:line="248" w:lineRule="auto"/>
        <w:rPr>
          <w:sz w:val="20"/>
          <w:szCs w:val="20"/>
          <w:color w:val="auto"/>
        </w:rPr>
      </w:pPr>
      <w:r>
        <w:rPr>
          <w:rFonts w:ascii="Arial" w:cs="Arial" w:eastAsia="Arial" w:hAnsi="Arial"/>
          <w:sz w:val="16"/>
          <w:szCs w:val="16"/>
          <w:color w:val="auto"/>
        </w:rPr>
        <w:t>Multiple times per year, executive management meets with the Audit Committee to discuss cybersecurity risk, review quarterly cyber metrics and oversee progress against our annual action plans, including status of projects to improve our cybersecurity defenses. Annually, the board of directors reviews the Company's cybersecurity strategy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272415</wp:posOffset>
            </wp:positionV>
            <wp:extent cx="394335" cy="196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200"/>
          </w:cols>
          <w:pgMar w:left="320" w:top="125" w:right="37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Management Succession Planning</w:t>
      </w:r>
    </w:p>
    <w:p>
      <w:pPr>
        <w:spacing w:after="0" w:line="13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Compensation Committee periodically reports to the board of directors on succession planning. The board of directors works with the Compensation Committee to evaluate potential successors to the Chief Executive Officer, as well as other key executive positions. Additionally, the Audit Committee reviews annually the Company's succession planning for accounting and finance personnel.</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Oversight of Human Capital Management</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Attracting, retaining and mentoring the talent needed to address the needs of our business is the basis of our human capital strategy. The board of directors and the Compensation Committee regularly discuss, prepare and advance the Company’s succession plan. The board of directors regularly interacts with the Company’s senior team, to enhance its full view of the Company’s talent pool and the necessary development needs of each high potential employee. We believe we provide a competitive and well rounded compensation package that attracts and retains exceptional talent.</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Oversight and Commitment to Diversity and Inclusion</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Diversity and inclusion are an essential part of our company's success. Our diversity helps us service our employees, clients and communities better, leading to greater success for everyone. Management has full support from our board of directors to advance diversity and inclusion initiatives across the business including our relationships with our Indigenous partners.</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a company, we recognize the importance of a diverse workforce represented by people from different backgrounds, experiences and ways of looking at the world. During 2020, we formed a Diversity and Inclusion Committee to help us serve our employees, clients and communities better as we strive to build a culture of inclusion. In Canada, we are committed to hiring Indigenous Peoples and expanding our Indigenous workforce, excluding corporate staff, to</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10%. In 2021, we reached 7% Indigenous employment, excluding corporate staff, in Canada despite challenging market conditions that resulted in reduced hiring in the region. Approximately 7% of our total new hires in Canada were of Indigenous background during 2021. In addition, our Indigenous Procurement Policy in Canada helps foster strong community relationships while ensuring a local and diverse supply chain of business partners. In 2021, we purchased more than C$56.5 million in goods and services from the Indigenous business community, representing 32% of our total Canadian local spending. In Australia, all of our food suppliers are Australian companies and, where possible, are based locally. Through our membership with Supply Nation, a non-profit organization committed to supplier diversity and Indigenous business development, we were able to direct approximately A$5.7 million in 2021 into Indigenous-owned and operated companies, and we are always looking for more opportunities to partner with these businesses.</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Role in Corporate Responsibility and Corporate Citizenship</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Code of Business Conduct &amp; Ethics</w:t>
      </w:r>
    </w:p>
    <w:p>
      <w:pPr>
        <w:spacing w:after="0" w:line="12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Civeo has adopted a Corporate Code of Business Conduct and Ethics (the “Code of Conduct”), which requires that all directors, officers and employees of Civeo act ethically at all times. This Code of Conduct is available at Civeo’s website www.civeo.com by first clicking “Corporate Governance” under the “Investor Relations” heading and then “Corporate Code of Business Conduct and Ethics.”</w:t>
      </w:r>
    </w:p>
    <w:p>
      <w:pPr>
        <w:spacing w:after="0" w:line="63"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Substantially all of our employees are required annually to complete online training which includes a review of our Corporate Code of Conduct and an acknowledgment that the employee has read and understands the policy.</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Financial Code of Ethics for Senior Officers</w:t>
      </w:r>
    </w:p>
    <w:p>
      <w:pPr>
        <w:spacing w:after="0" w:line="12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www.civeo.com by first clicking “Corporate Governance” under the “Investor Relations” heading and then “Financial Code of Ethics for Senior Officers.”</w:t>
      </w:r>
    </w:p>
    <w:p>
      <w:pPr>
        <w:spacing w:after="0" w:line="338"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Ethical principles set forth in the Financial Code of Ethics include, among other principles, matters such as:</w:t>
      </w:r>
    </w:p>
    <w:p>
      <w:pPr>
        <w:spacing w:after="0" w:line="113"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Acting ethically with honesty and integrity;</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Avoiding conflicts of interest;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Complying with disclosure and reporting obligations with full, fair, accurate, timely and understandable disclosures;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Complying with applicable laws, rules and regulations;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Acting in good faith, responsibly with due care, competence and diligence;</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Promoting honest and ethical behavior by others in the work environment;</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Respecting confidentiality of information acquired in the course of his or her work;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Responsibly using and maintaining assets and resources employed or entrusted to the Senior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Senior Officers must also comply with the Code of Conduct.</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Oversight of Commitment to ESG and Sustainability</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sound corporate citizenship and attention to ESG principles are essential to our success. Accordingly, during 2021, oversight of ESG matters was directly assigned to our newly renamed Environmental, Social, Governance and Nominating Committee. Please see "Board of Directors - Committees - Environmental, Social, Governance and Nominating Committee" for further information with respect to the Committee's responsibilities.</w:t>
      </w:r>
    </w:p>
    <w:p>
      <w:pPr>
        <w:spacing w:after="0" w:line="64"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Even though ESG topics have been increasingly capturing attention from shareholders and potential investors, they have long been of concern to Civeo and our guests, customers, employees, contractors, creditors, management and board of directors. We are committed to operating with integrity, contributing to the local communities where we operate, promoting diversity, developing our employees, focusing on sustainability and being thoughtful environmental stewards.</w:t>
      </w:r>
    </w:p>
    <w:p>
      <w:pPr>
        <w:spacing w:after="0" w:line="68"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Our customers are often involved in significant projects in remote areas where environmental impacts are carefully monitored; where safe food storage and preparation, clean water and careful handling of waste are critical; where medical care may be inaccessible; and where our diverse guests and staff members measure their work shifts in weeks, in sometimes difficult weather, and thus may feel somewhat confined into relatively small communities at our lodges and villages. In 2020, the global COVID-19 pandemic required even greater attention to health and safety protocols.</w:t>
      </w:r>
    </w:p>
    <w:p>
      <w:pPr>
        <w:spacing w:after="0" w:line="68" w:lineRule="exact"/>
        <w:rPr>
          <w:sz w:val="20"/>
          <w:szCs w:val="20"/>
          <w:color w:val="auto"/>
        </w:rPr>
      </w:pPr>
    </w:p>
    <w:p>
      <w:pPr>
        <w:ind w:right="120"/>
        <w:spacing w:after="0" w:line="217" w:lineRule="auto"/>
        <w:rPr>
          <w:sz w:val="20"/>
          <w:szCs w:val="20"/>
          <w:color w:val="auto"/>
        </w:rPr>
      </w:pPr>
      <w:r>
        <w:rPr>
          <w:rFonts w:ascii="Arial" w:cs="Arial" w:eastAsia="Arial" w:hAnsi="Arial"/>
          <w:sz w:val="16"/>
          <w:szCs w:val="16"/>
          <w:color w:val="auto"/>
        </w:rPr>
        <w:t>Beginning in early 2020 and continuing through the filing of this proxy statement, the board of directors has been highly engaged with the Chief Executive Officer and other members of management about the impact of COVID-19 and our response and plans. Since the COVID-19 pandemic developed, the board of directors has received frequent updates on the impact to the Company’s employees, operations and clients and reviewed with management the safety protocols in place to protect the health of our employees and guests while maintaining continuity of service to our clients. This board oversight has included COVID-19 situation updates at each board meeting beginning in mid-March 2020 through the filing of this proxy statement. These updates addressed the impact on our employees, operations, financial results and supply chain as well as media engagement and related legal and regulatory matters. Management also is engaged with the board of directors on identifying and addressing strategic risks and opportunities arising out of COVID-19. The board of directors is committed to working with management to protect the health and safety of the employees, guests and contractors. During the pandemic, we adjusted our planned in-person meetings of the board of directors to hold them virtually to ensure continued effective functioning of the board of directors. We resumed in-person meetings of the board of directors in the second half of 2021, and we continue to maintain safety protocols and closely monitor the impact of COVID-19 on our employees, operations and clients.</w:t>
      </w:r>
    </w:p>
    <w:p>
      <w:pPr>
        <w:spacing w:after="0" w:line="60"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As noted above, through the Environmental, Social, Governance and Nominating Committee, our board of directors provides oversight of management’s efforts around these ESG topics and is committed to supporting Civeo's efforts to operate as a sound corporate citizen. We believe that an integrated approach to business strategy, corporate governance, and corporate citizenship creates long-term value.</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Shareholder Engagement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Through the year, we meet with analysts and institutional investors to inform and share our perspective, and to solicit their feedback on our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This includes participation in investor conferences and other formal events, and group and one-on-one meetings throughout the year.</w:t>
      </w:r>
    </w:p>
    <w:p>
      <w:pPr>
        <w:sectPr>
          <w:pgSz w:w="11900" w:h="16838" w:orient="portrait"/>
          <w:cols w:equalWidth="0" w:num="1">
            <w:col w:w="11240"/>
          </w:cols>
          <w:pgMar w:left="320" w:top="125" w:right="339" w:bottom="1440" w:gutter="0" w:footer="0" w:header="0"/>
        </w:sect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OUTREACH</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23"/>
          <w:szCs w:val="23"/>
          <w:color w:val="FFC03C"/>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67462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74620" cy="171450"/>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5"/>
          <w:szCs w:val="15"/>
          <w:color w:val="FFFFFF"/>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407035</wp:posOffset>
            </wp:positionV>
            <wp:extent cx="394335" cy="196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right="440"/>
        <w:spacing w:after="0" w:line="250" w:lineRule="auto"/>
        <w:rPr>
          <w:sz w:val="20"/>
          <w:szCs w:val="20"/>
          <w:color w:val="auto"/>
        </w:rPr>
      </w:pPr>
      <w:r>
        <w:rPr>
          <w:rFonts w:ascii="Arial" w:cs="Arial" w:eastAsia="Arial" w:hAnsi="Arial"/>
          <w:sz w:val="15"/>
          <w:szCs w:val="15"/>
          <w:color w:val="auto"/>
        </w:rPr>
        <w:t xml:space="preserve">During 2021, we conducted shareholder engagement with shareholders representing </w:t>
      </w:r>
      <w:r>
        <w:rPr>
          <w:rFonts w:ascii="Arial" w:cs="Arial" w:eastAsia="Arial" w:hAnsi="Arial"/>
          <w:sz w:val="15"/>
          <w:szCs w:val="15"/>
          <w:color w:val="FBC150"/>
        </w:rPr>
        <w:t>74%</w:t>
      </w:r>
      <w:r>
        <w:rPr>
          <w:rFonts w:ascii="Arial" w:cs="Arial" w:eastAsia="Arial" w:hAnsi="Arial"/>
          <w:sz w:val="15"/>
          <w:szCs w:val="15"/>
          <w:color w:val="auto"/>
        </w:rPr>
        <w:t xml:space="preserve"> of our fully diluted shares regarding the Company’s operations, financial results and strategy.</w:t>
      </w:r>
    </w:p>
    <w:p>
      <w:pPr>
        <w:spacing w:after="0" w:line="1" w:lineRule="exact"/>
        <w:rPr>
          <w:sz w:val="20"/>
          <w:szCs w:val="20"/>
          <w:color w:val="auto"/>
        </w:rPr>
      </w:pPr>
    </w:p>
    <w:p>
      <w:pPr>
        <w:ind w:right="360"/>
        <w:spacing w:after="0" w:line="253" w:lineRule="auto"/>
        <w:rPr>
          <w:sz w:val="20"/>
          <w:szCs w:val="20"/>
          <w:color w:val="auto"/>
        </w:rPr>
      </w:pPr>
      <w:r>
        <w:rPr>
          <w:rFonts w:ascii="Arial" w:cs="Arial" w:eastAsia="Arial" w:hAnsi="Arial"/>
          <w:sz w:val="15"/>
          <w:szCs w:val="15"/>
          <w:color w:val="auto"/>
        </w:rPr>
        <w:t>Note - fully diluted shares include common shares outstanding (exclusive of shares owned by directors and officers) as well as common shares assumed to be converted from preferred shares on an as converted basis.</w:t>
      </w:r>
    </w:p>
    <w:p>
      <w:pPr>
        <w:spacing w:after="0" w:line="200"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240"/>
          </w:cols>
          <w:pgMar w:left="320" w:top="125"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Directors—Structure</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Civeo board of directors is divided into three classes, with three directors in each class. The members of each class serve for three years following their election, with one class being elected each year. The directors designated as Class II directors will have terms expiring at the annual general meeting this year. If elected at the annual general meeting, Messrs. Navarre and Lambert and Ms. Moore, as Class II directors, will have terms expiring in 2025. The directors designated as Class III directors have terms expiring in 2023, and the directors designated as Class I directors have terms expiring in 2024.</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Leadership</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Our board of directors is led by our independent Chair of the Board, and the Chief Executive Officer position is currently separate from the Chair role.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of directors to fulfill its risk oversight responsibilities.</w:t>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Independence</w:t>
      </w:r>
    </w:p>
    <w:p>
      <w:pPr>
        <w:spacing w:after="0" w:line="13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7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Civeo board of directors has determined that, except for Bradley Dodson, our President and Chief Executive Officer, all of Civeo's current directors (Richard A. Navarre, C. Ronald Blankenship, Jay K. Grewal, Martin A. Lambert, Michael Montelongo, Constance B. Moore, Charles Szalkowski, and Timothy O. Wall) qualify as “independent” in accordance with the applicable NYSE listing standards.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Executive Sessions</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independent directors regularly meet in executive session with no members of management present, generally at each board of directors and committee meeting. Our Chair of the Board, Richard Navarre, who is an independent director, or each Committee Chair, who is independent, presides at these sessions.</w:t>
      </w:r>
    </w:p>
    <w:p>
      <w:pPr>
        <w:spacing w:after="0" w:line="200" w:lineRule="exact"/>
        <w:rPr>
          <w:sz w:val="20"/>
          <w:szCs w:val="20"/>
          <w:color w:val="auto"/>
        </w:rPr>
      </w:pPr>
    </w:p>
    <w:p>
      <w:pPr>
        <w:spacing w:after="0" w:line="315"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Directors—Committees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Civeo board of directors has established several standing committees in connection with the discharge of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05610" cy="30257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05610" cy="302577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75" w:lineRule="exact"/>
        <w:rPr>
          <w:sz w:val="20"/>
          <w:szCs w:val="20"/>
          <w:color w:val="auto"/>
        </w:rPr>
      </w:pPr>
    </w:p>
    <w:p>
      <w:pPr>
        <w:ind w:left="100" w:right="720"/>
        <w:spacing w:after="0" w:line="296" w:lineRule="auto"/>
        <w:rPr>
          <w:sz w:val="20"/>
          <w:szCs w:val="20"/>
          <w:color w:val="auto"/>
        </w:rPr>
      </w:pPr>
      <w:r>
        <w:rPr>
          <w:rFonts w:ascii="Arial" w:cs="Arial" w:eastAsia="Arial" w:hAnsi="Arial"/>
          <w:sz w:val="16"/>
          <w:szCs w:val="16"/>
          <w:b w:val="1"/>
          <w:bCs w:val="1"/>
          <w:color w:val="auto"/>
        </w:rPr>
        <w:t>Constance B. Moore (Chair)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 Ronald Blankenship Jay K.</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Grewal Charles Szalkowski</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2249805</wp:posOffset>
            </wp:positionV>
            <wp:extent cx="1705610" cy="2682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05610" cy="268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Audit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right="480" w:hanging="192"/>
        <w:spacing w:after="0" w:line="286" w:lineRule="auto"/>
        <w:tabs>
          <w:tab w:leader="none" w:pos="17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Oversees the integrity of Civeo's financial statements and effectiveness of our internal control over financial reporting.</w:t>
      </w:r>
    </w:p>
    <w:p>
      <w:pPr>
        <w:spacing w:after="0" w:line="20" w:lineRule="exact"/>
        <w:rPr>
          <w:rFonts w:ascii="Arial" w:cs="Arial" w:eastAsia="Arial" w:hAnsi="Arial"/>
          <w:sz w:val="16"/>
          <w:szCs w:val="16"/>
          <w:color w:val="006DB6"/>
        </w:rPr>
      </w:pPr>
    </w:p>
    <w:p>
      <w:pPr>
        <w:ind w:left="200" w:right="300" w:hanging="192"/>
        <w:spacing w:after="0" w:line="266" w:lineRule="auto"/>
        <w:tabs>
          <w:tab w:leader="none" w:pos="17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Appoints our independent auditors and reviews the general scope of audit coverage, the fees charged by the independent auditors, matters relating to internal control systems and other matters related to accounting and reporting functions.</w:t>
      </w:r>
    </w:p>
    <w:p>
      <w:pPr>
        <w:spacing w:after="0" w:line="22" w:lineRule="exact"/>
        <w:rPr>
          <w:rFonts w:ascii="Arial" w:cs="Arial" w:eastAsia="Arial" w:hAnsi="Arial"/>
          <w:sz w:val="16"/>
          <w:szCs w:val="16"/>
          <w:color w:val="006DB6"/>
        </w:rPr>
      </w:pPr>
    </w:p>
    <w:p>
      <w:pPr>
        <w:ind w:left="200" w:right="1040" w:hanging="192"/>
        <w:spacing w:after="0" w:line="286" w:lineRule="auto"/>
        <w:tabs>
          <w:tab w:leader="none" w:pos="17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Meets separately with representatives of our independent auditors, our internal audit personnel and representatives of senior management in performing its functions.</w:t>
      </w:r>
    </w:p>
    <w:p>
      <w:pPr>
        <w:spacing w:after="0" w:line="4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board of directors has determined that each of Messrs. Blankenship and Szalkowski and Mses. Grewal and Moore is independent under applicable NYSE and SEC rules for board of director and audit committee independence.</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board of directors has determined that each of Messrs. Blankenship and Szalkowski and Mses. Grewal and Moore is financially literate and has accounting or related financial management expertise, each as required by the applicable NYSE listing standards. The board of directors also has determined that Mr. Blankenship and Mses. Grewal and Moore qualify as audit committee financial experts under the applicable rules of the SEC.</w:t>
      </w:r>
    </w:p>
    <w:p>
      <w:pPr>
        <w:spacing w:after="0" w:line="70"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A more detailed discussion of the Audit Committee’s mission, composition and responsibilities is contained in the Audit Committee charter, which is available on our website, ir.civeo.com, by first clicking “Corporate Governance” under the “Governance &amp; Responsibility” heading and then “Audit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66040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480"/>
            <w:col w:w="8320"/>
          </w:cols>
          <w:pgMar w:left="320" w:top="125" w:right="379" w:bottom="1440" w:gutter="0" w:footer="0" w:header="0"/>
          <w:type w:val="continuous"/>
        </w:sect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Martin A. Lambert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(Chair)</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line="276" w:lineRule="auto"/>
        <w:rPr>
          <w:sz w:val="20"/>
          <w:szCs w:val="20"/>
          <w:color w:val="auto"/>
        </w:rPr>
      </w:pPr>
      <w:r>
        <w:rPr>
          <w:rFonts w:ascii="Arial" w:cs="Arial" w:eastAsia="Arial" w:hAnsi="Arial"/>
          <w:sz w:val="16"/>
          <w:szCs w:val="16"/>
          <w:b w:val="1"/>
          <w:bCs w:val="1"/>
          <w:color w:val="auto"/>
        </w:rPr>
        <w:t>Michael Montelongo Constance B. Moore</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1983740</wp:posOffset>
            </wp:positionV>
            <wp:extent cx="394335" cy="196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Determines the compensation of our chief executive officer and other executive officers.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Oversees and approves compensation and employee benefit policies.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Meets on succession planning with respect to Company's key executive positions.</w:t>
      </w:r>
    </w:p>
    <w:p>
      <w:pPr>
        <w:spacing w:after="0" w:line="72" w:lineRule="exact"/>
        <w:rPr>
          <w:rFonts w:ascii="Arial" w:cs="Arial" w:eastAsia="Arial" w:hAnsi="Arial"/>
          <w:sz w:val="16"/>
          <w:szCs w:val="16"/>
          <w:color w:val="006DB6"/>
        </w:rPr>
      </w:pPr>
    </w:p>
    <w:p>
      <w:pPr>
        <w:ind w:left="200" w:right="200" w:hanging="192"/>
        <w:spacing w:after="0" w:line="266" w:lineRule="auto"/>
        <w:tabs>
          <w:tab w:leader="none" w:pos="17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Administers the EPP, and in this capacity makes a recommendation to the full board of directors concerning the aggregate amount of all option grants or share awards to employees as well as specific awards to executive officers under the EPP.</w:t>
      </w:r>
    </w:p>
    <w:p>
      <w:pPr>
        <w:spacing w:after="0" w:line="22" w:lineRule="exact"/>
        <w:rPr>
          <w:rFonts w:ascii="Arial" w:cs="Arial" w:eastAsia="Arial" w:hAnsi="Arial"/>
          <w:sz w:val="16"/>
          <w:szCs w:val="16"/>
          <w:color w:val="006DB6"/>
        </w:rPr>
      </w:pPr>
    </w:p>
    <w:p>
      <w:pPr>
        <w:ind w:left="200" w:right="80" w:hanging="192"/>
        <w:spacing w:after="0" w:line="286" w:lineRule="auto"/>
        <w:tabs>
          <w:tab w:leader="none" w:pos="17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Reviews and discusses with our management the Compensation Discussion and Analysis and related disclosure included in our annual proxy statement.</w:t>
      </w:r>
    </w:p>
    <w:p>
      <w:pPr>
        <w:spacing w:after="0" w:line="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of directors has determined that each of Messrs. Lambert and Montelongo and Ms. Moore is independent under applicable NYSE and SEC rules for board of director and compensation committee independence.</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 more detailed discussion of the Compensation Committee’s mission, composition and responsibilities is contained in the Compensation Committee charter, which is available on our website, ir.civeo.com, by first clicking “Corporate Governance” under the “Governance &amp; Responsibility” heading and then “Compensation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70485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40"/>
            <w:col w:w="8320"/>
          </w:cols>
          <w:pgMar w:left="320" w:top="125" w:right="37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200"/>
          </w:cols>
          <w:pgMar w:left="320" w:top="125" w:right="37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705610" cy="2562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0561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right="900"/>
        <w:spacing w:after="0" w:line="296" w:lineRule="auto"/>
        <w:rPr>
          <w:sz w:val="20"/>
          <w:szCs w:val="20"/>
          <w:color w:val="auto"/>
        </w:rPr>
      </w:pPr>
      <w:r>
        <w:rPr>
          <w:rFonts w:ascii="Arial" w:cs="Arial" w:eastAsia="Arial" w:hAnsi="Arial"/>
          <w:sz w:val="16"/>
          <w:szCs w:val="16"/>
          <w:b w:val="1"/>
          <w:bCs w:val="1"/>
          <w:color w:val="auto"/>
        </w:rPr>
        <w:t>Charles Szalkowski (Chair)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line="276" w:lineRule="auto"/>
        <w:rPr>
          <w:sz w:val="20"/>
          <w:szCs w:val="20"/>
          <w:color w:val="auto"/>
        </w:rPr>
      </w:pPr>
      <w:r>
        <w:rPr>
          <w:rFonts w:ascii="Arial" w:cs="Arial" w:eastAsia="Arial" w:hAnsi="Arial"/>
          <w:sz w:val="16"/>
          <w:szCs w:val="16"/>
          <w:b w:val="1"/>
          <w:bCs w:val="1"/>
          <w:color w:val="auto"/>
        </w:rPr>
        <w:t>Michael Montelongo Richard A. Navarre Timothy O. Wall</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1718310</wp:posOffset>
            </wp:positionV>
            <wp:extent cx="1705610" cy="15944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05610" cy="1594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Environmental, Social, Governance and Nominating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Oversees the Company's strategy and initiatives with regard to ESG Matters.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Identifies and implements appropriate corporate governance policies.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Advises the board of directors about appropriate composition of the board of directors and its committees.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Identifies and implements appropriate corporate governance policies.</w:t>
      </w:r>
    </w:p>
    <w:p>
      <w:pPr>
        <w:spacing w:after="0" w:line="72" w:lineRule="exact"/>
        <w:rPr>
          <w:rFonts w:ascii="Arial" w:cs="Arial" w:eastAsia="Arial" w:hAnsi="Arial"/>
          <w:sz w:val="16"/>
          <w:szCs w:val="16"/>
          <w:color w:val="006DB6"/>
        </w:rPr>
      </w:pPr>
    </w:p>
    <w:p>
      <w:pPr>
        <w:ind w:left="200" w:right="760" w:hanging="192"/>
        <w:spacing w:after="0" w:line="286" w:lineRule="auto"/>
        <w:tabs>
          <w:tab w:leader="none" w:pos="17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Makes proposals to the board of directors for candidates to be nominated by the board of directors to fill vacancies or for new directorship positions, if any, which may be created from time to time.</w:t>
      </w:r>
    </w:p>
    <w:p>
      <w:pPr>
        <w:spacing w:after="0" w:line="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board of directors has determined that each Messrs. Montelongo, Navarre, Szalkowski and Wall is independent under applicable NYSE rules.</w:t>
      </w:r>
    </w:p>
    <w:p>
      <w:pPr>
        <w:spacing w:after="0" w:line="4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 more detailed discussion of the Environmental, Social, Governance and Nominating Committee’s mission, composition and responsibilities is contained in the Environmental, Social, Governance and Nominating Committee charter, which is available on our website, ir.civeo.com, by first clicking “Corporate Governance” under the “Governance &amp; Responsibility” heading and then “Environmental, Social, Governance and Nominating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71755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60"/>
            <w:col w:w="8360"/>
          </w:cols>
          <w:pgMar w:left="320" w:top="125" w:right="339" w:bottom="1440" w:gutter="0" w:footer="0" w:header="0"/>
        </w:sectPr>
      </w:pPr>
    </w:p>
    <w:p>
      <w:pPr>
        <w:spacing w:after="0" w:line="169" w:lineRule="exact"/>
        <w:rPr>
          <w:sz w:val="20"/>
          <w:szCs w:val="20"/>
          <w:color w:val="auto"/>
        </w:rPr>
      </w:pPr>
    </w:p>
    <w:p>
      <w:pPr>
        <w:ind w:left="100" w:right="720"/>
        <w:spacing w:after="0" w:line="296" w:lineRule="auto"/>
        <w:rPr>
          <w:sz w:val="20"/>
          <w:szCs w:val="20"/>
          <w:color w:val="auto"/>
        </w:rPr>
      </w:pPr>
      <w:r>
        <w:rPr>
          <w:rFonts w:ascii="Arial" w:cs="Arial" w:eastAsia="Arial" w:hAnsi="Arial"/>
          <w:sz w:val="16"/>
          <w:szCs w:val="16"/>
          <w:b w:val="1"/>
          <w:bCs w:val="1"/>
          <w:color w:val="auto"/>
        </w:rPr>
        <w:t>C. Ronald Blankenship (Chair)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line="276" w:lineRule="auto"/>
        <w:rPr>
          <w:sz w:val="20"/>
          <w:szCs w:val="20"/>
          <w:color w:val="auto"/>
        </w:rPr>
      </w:pPr>
      <w:r>
        <w:rPr>
          <w:rFonts w:ascii="Arial" w:cs="Arial" w:eastAsia="Arial" w:hAnsi="Arial"/>
          <w:sz w:val="16"/>
          <w:szCs w:val="16"/>
          <w:b w:val="1"/>
          <w:bCs w:val="1"/>
          <w:color w:val="auto"/>
        </w:rPr>
        <w:t>Jay K. Grewal Martin A. Lambert Timothy O. Wall</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Finance and Investment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right="340" w:hanging="192"/>
        <w:spacing w:after="0" w:line="266"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Assists the board of directors in its consideration of opportunities to enhance our long-term performance and valuation, including reviewing including reviewing and making recommendations to the board of directors with respect to our strategic objectives and financial and operating metrics and performance.</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 more detailed discussion of the Finance and Investment Committee’s mission, composition and responsibilities is contained in the Finance and Investment Committee charter, which is available on our website, ir.civeo.com, by first clicking “Corporate Governance” under the “Governance &amp; Responsibility” heading and then “Finance and Investment Committee Charter” at the bottom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70485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80"/>
            <w:col w:w="8360"/>
          </w:cols>
          <w:pgMar w:left="320" w:top="125"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Committee Composition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committee structure and membership information.</w:t>
      </w:r>
    </w:p>
    <w:p>
      <w:pPr>
        <w:spacing w:after="0" w:line="166" w:lineRule="exact"/>
        <w:rPr>
          <w:sz w:val="20"/>
          <w:szCs w:val="20"/>
          <w:color w:val="auto"/>
        </w:rPr>
      </w:pPr>
    </w:p>
    <w:tbl>
      <w:tblPr>
        <w:tblLayout w:type="fixed"/>
        <w:tblInd w:w="522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Environmental, Social,</w:t>
            </w:r>
          </w:p>
        </w:tc>
        <w:tc>
          <w:tcPr>
            <w:tcW w:w="10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Governance and</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Finance and</w:t>
            </w:r>
          </w:p>
        </w:tc>
      </w:tr>
      <w:tr>
        <w:trPr>
          <w:trHeight w:val="162"/>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Audit</w:t>
            </w:r>
          </w:p>
        </w:tc>
        <w:tc>
          <w:tcPr>
            <w:tcW w:w="156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Compensation</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Nominating</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Investment</w:t>
            </w:r>
          </w:p>
        </w:tc>
      </w:tr>
      <w:tr>
        <w:trPr>
          <w:trHeight w:val="186"/>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Committee</w:t>
            </w:r>
          </w:p>
        </w:tc>
        <w:tc>
          <w:tcPr>
            <w:tcW w:w="156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Committee</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Committee</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Jay K.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123825</wp:posOffset>
            </wp:positionV>
            <wp:extent cx="102870" cy="1028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75" w:lineRule="exact"/>
        <w:rPr>
          <w:sz w:val="20"/>
          <w:szCs w:val="20"/>
          <w:color w:val="auto"/>
        </w:rPr>
      </w:pPr>
    </w:p>
    <w:p>
      <w:pPr>
        <w:ind w:left="400"/>
        <w:spacing w:after="0"/>
        <w:tabs>
          <w:tab w:leader="none" w:pos="1891" w:val="left"/>
          <w:tab w:leader="none" w:pos="3320" w:val="left"/>
          <w:tab w:leader="none" w:pos="3720" w:val="left"/>
        </w:tabs>
        <w:rPr>
          <w:sz w:val="20"/>
          <w:szCs w:val="20"/>
          <w:color w:val="auto"/>
        </w:rPr>
      </w:pPr>
      <w:r>
        <w:rPr>
          <w:rFonts w:ascii="Arial" w:cs="Arial" w:eastAsia="Arial" w:hAnsi="Arial"/>
          <w:sz w:val="14"/>
          <w:szCs w:val="14"/>
          <w:color w:val="auto"/>
        </w:rPr>
        <w:t>Chair</w:t>
      </w:r>
      <w:r>
        <w:rPr>
          <w:sz w:val="20"/>
          <w:szCs w:val="20"/>
          <w:color w:val="auto"/>
        </w:rPr>
        <w:tab/>
      </w:r>
      <w:r>
        <w:rPr>
          <w:sz w:val="1"/>
          <w:szCs w:val="1"/>
          <w:color w:val="auto"/>
        </w:rPr>
        <w:drawing>
          <wp:inline distT="0" distB="0" distL="0" distR="0">
            <wp:extent cx="111760" cy="1117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4"/>
          <w:szCs w:val="14"/>
          <w:color w:val="auto"/>
        </w:rPr>
        <w:t xml:space="preserve">   Member</w:t>
      </w:r>
      <w:r>
        <w:rPr>
          <w:sz w:val="20"/>
          <w:szCs w:val="20"/>
          <w:color w:val="auto"/>
        </w:rPr>
        <w:tab/>
      </w:r>
      <w:r>
        <w:rPr>
          <w:rFonts w:ascii="Arial" w:cs="Arial" w:eastAsia="Arial" w:hAnsi="Arial"/>
          <w:sz w:val="14"/>
          <w:szCs w:val="14"/>
          <w:b w:val="1"/>
          <w:bCs w:val="1"/>
          <w:color w:val="auto"/>
        </w:rPr>
        <w:t>F</w:t>
      </w:r>
      <w:r>
        <w:rPr>
          <w:sz w:val="20"/>
          <w:szCs w:val="20"/>
          <w:color w:val="auto"/>
        </w:rPr>
        <w:tab/>
      </w:r>
      <w:r>
        <w:rPr>
          <w:rFonts w:ascii="Arial" w:cs="Arial" w:eastAsia="Arial" w:hAnsi="Arial"/>
          <w:sz w:val="14"/>
          <w:szCs w:val="14"/>
          <w:color w:val="auto"/>
        </w:rPr>
        <w:t>Financial Expert</w:t>
      </w:r>
    </w:p>
    <w:p>
      <w:pPr>
        <w:spacing w:after="0" w:line="200" w:lineRule="exact"/>
        <w:rPr>
          <w:sz w:val="20"/>
          <w:szCs w:val="20"/>
          <w:color w:val="auto"/>
        </w:rPr>
      </w:pPr>
    </w:p>
    <w:p>
      <w:pPr>
        <w:spacing w:after="0" w:line="207"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bl>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Directors—Practices, Policies and Processes</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Commitment to Good Governance Practices</w:t>
      </w:r>
    </w:p>
    <w:p>
      <w:pPr>
        <w:sectPr>
          <w:pgSz w:w="11900" w:h="16838" w:orient="portrait"/>
          <w:cols w:equalWidth="0" w:num="1">
            <w:col w:w="11220"/>
          </w:cols>
          <w:pgMar w:left="320" w:top="125" w:right="35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566160" cy="24942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66160" cy="2494280"/>
                    </a:xfrm>
                    <a:prstGeom prst="rect">
                      <a:avLst/>
                    </a:prstGeom>
                    <a:noFill/>
                  </pic:spPr>
                </pic:pic>
              </a:graphicData>
            </a:graphic>
          </wp:anchor>
        </w:drawing>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18" w:lineRule="exact"/>
        <w:rPr>
          <w:sz w:val="20"/>
          <w:szCs w:val="20"/>
          <w:color w:val="auto"/>
        </w:rPr>
      </w:pPr>
    </w:p>
    <w:p>
      <w:pPr>
        <w:ind w:left="220" w:right="1860"/>
        <w:spacing w:after="0" w:line="343" w:lineRule="auto"/>
        <w:rPr>
          <w:sz w:val="20"/>
          <w:szCs w:val="20"/>
          <w:color w:val="auto"/>
        </w:rPr>
      </w:pPr>
      <w:r>
        <w:rPr>
          <w:sz w:val="1"/>
          <w:szCs w:val="1"/>
          <w:color w:val="auto"/>
        </w:rPr>
        <w:drawing>
          <wp:inline distT="0" distB="0" distL="0" distR="0">
            <wp:extent cx="68580" cy="5969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 </w:t>
      </w:r>
      <w:r>
        <w:rPr>
          <w:sz w:val="1"/>
          <w:szCs w:val="1"/>
          <w:color w:val="auto"/>
        </w:rPr>
        <w:drawing>
          <wp:inline distT="0" distB="0" distL="0" distR="0">
            <wp:extent cx="68580" cy="6032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spacing w:after="0" w:line="1" w:lineRule="exact"/>
        <w:rPr>
          <w:sz w:val="20"/>
          <w:szCs w:val="20"/>
          <w:color w:val="auto"/>
        </w:rPr>
      </w:pPr>
    </w:p>
    <w:p>
      <w:pPr>
        <w:ind w:left="420" w:right="80" w:hanging="203"/>
        <w:spacing w:after="0"/>
        <w:rPr>
          <w:sz w:val="20"/>
          <w:szCs w:val="20"/>
          <w:color w:val="auto"/>
        </w:rPr>
      </w:pPr>
      <w:r>
        <w:rPr>
          <w:sz w:val="1"/>
          <w:szCs w:val="1"/>
          <w:color w:val="auto"/>
        </w:rPr>
        <w:drawing>
          <wp:inline distT="0" distB="0" distL="0" distR="0">
            <wp:extent cx="68580" cy="603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4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comprised of independent directors</w:t>
      </w:r>
    </w:p>
    <w:p>
      <w:pPr>
        <w:spacing w:after="0" w:line="86"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5969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42" w:lineRule="exact"/>
        <w:rPr>
          <w:sz w:val="20"/>
          <w:szCs w:val="20"/>
          <w:color w:val="auto"/>
        </w:rPr>
      </w:pPr>
    </w:p>
    <w:p>
      <w:pPr>
        <w:ind w:left="420" w:right="780" w:hanging="203"/>
        <w:spacing w:after="0"/>
        <w:rPr>
          <w:sz w:val="20"/>
          <w:szCs w:val="20"/>
          <w:color w:val="auto"/>
        </w:rPr>
      </w:pPr>
      <w:r>
        <w:rPr>
          <w:sz w:val="1"/>
          <w:szCs w:val="1"/>
          <w:color w:val="auto"/>
        </w:rPr>
        <w:drawing>
          <wp:inline distT="0" distB="0" distL="0" distR="0">
            <wp:extent cx="68580" cy="6032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4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Active board of director oversight of enterprise risk</w:t>
      </w:r>
    </w:p>
    <w:p>
      <w:pPr>
        <w:spacing w:after="0" w:line="86" w:lineRule="exact"/>
        <w:rPr>
          <w:sz w:val="20"/>
          <w:szCs w:val="20"/>
          <w:color w:val="auto"/>
        </w:rPr>
      </w:pPr>
    </w:p>
    <w:p>
      <w:pPr>
        <w:ind w:left="420" w:right="380" w:hanging="203"/>
        <w:spacing w:after="0"/>
        <w:rPr>
          <w:sz w:val="20"/>
          <w:szCs w:val="20"/>
          <w:color w:val="auto"/>
        </w:rPr>
      </w:pPr>
      <w:r>
        <w:rPr>
          <w:sz w:val="1"/>
          <w:szCs w:val="1"/>
          <w:color w:val="auto"/>
        </w:rPr>
        <w:drawing>
          <wp:inline distT="0" distB="0" distL="0" distR="0">
            <wp:extent cx="68580" cy="5969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42" w:lineRule="exact"/>
        <w:rPr>
          <w:sz w:val="20"/>
          <w:szCs w:val="20"/>
          <w:color w:val="auto"/>
        </w:rPr>
      </w:pPr>
    </w:p>
    <w:p>
      <w:pPr>
        <w:ind w:left="420" w:right="520" w:hanging="203"/>
        <w:spacing w:after="0"/>
        <w:rPr>
          <w:sz w:val="20"/>
          <w:szCs w:val="20"/>
          <w:color w:val="auto"/>
        </w:rPr>
      </w:pPr>
      <w:r>
        <w:rPr>
          <w:sz w:val="1"/>
          <w:szCs w:val="1"/>
          <w:color w:val="auto"/>
        </w:rPr>
        <w:drawing>
          <wp:inline distT="0" distB="0" distL="0" distR="0">
            <wp:extent cx="68580" cy="6032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Oversight of ESG matters directly assigned to newly renamed Environmental, Social,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-147320</wp:posOffset>
            </wp:positionV>
            <wp:extent cx="3566160" cy="24942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66160" cy="2494280"/>
                    </a:xfrm>
                    <a:prstGeom prst="rect">
                      <a:avLst/>
                    </a:prstGeom>
                    <a:noFill/>
                  </pic:spPr>
                </pic:pic>
              </a:graphicData>
            </a:graphic>
          </wp:anchor>
        </w:drawing>
      </w:r>
    </w:p>
    <w:p>
      <w:pPr>
        <w:spacing w:after="0" w:line="98" w:lineRule="exact"/>
        <w:rPr>
          <w:sz w:val="20"/>
          <w:szCs w:val="20"/>
          <w:color w:val="auto"/>
        </w:rPr>
      </w:pPr>
    </w:p>
    <w:p>
      <w:pPr>
        <w:ind w:left="220" w:right="200" w:hanging="203"/>
        <w:spacing w:after="0"/>
        <w:rPr>
          <w:sz w:val="20"/>
          <w:szCs w:val="20"/>
          <w:color w:val="auto"/>
        </w:rPr>
      </w:pPr>
      <w:r>
        <w:rPr>
          <w:sz w:val="1"/>
          <w:szCs w:val="1"/>
          <w:color w:val="auto"/>
        </w:rPr>
        <w:drawing>
          <wp:inline distT="0" distB="0" distL="0" distR="0">
            <wp:extent cx="68580" cy="5969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trading transactions by executive officers or directors</w:t>
      </w:r>
    </w:p>
    <w:p>
      <w:pPr>
        <w:spacing w:after="0" w:line="55" w:lineRule="exact"/>
        <w:rPr>
          <w:sz w:val="20"/>
          <w:szCs w:val="20"/>
          <w:color w:val="auto"/>
        </w:rPr>
      </w:pPr>
    </w:p>
    <w:p>
      <w:pPr>
        <w:ind w:left="220" w:right="720" w:hanging="203"/>
        <w:spacing w:after="0"/>
        <w:rPr>
          <w:sz w:val="20"/>
          <w:szCs w:val="20"/>
          <w:color w:val="auto"/>
        </w:rPr>
      </w:pPr>
      <w:r>
        <w:rPr>
          <w:sz w:val="1"/>
          <w:szCs w:val="1"/>
          <w:color w:val="auto"/>
        </w:rPr>
        <w:drawing>
          <wp:inline distT="0" distB="0" distL="0" distR="0">
            <wp:extent cx="68580" cy="6032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Stock ownership guidelines applicable to executive officers and directors</w:t>
      </w:r>
    </w:p>
    <w:p>
      <w:pPr>
        <w:spacing w:after="0" w:line="42" w:lineRule="exact"/>
        <w:rPr>
          <w:sz w:val="20"/>
          <w:szCs w:val="20"/>
          <w:color w:val="auto"/>
        </w:rPr>
      </w:pPr>
    </w:p>
    <w:p>
      <w:pPr>
        <w:ind w:left="220" w:right="160" w:hanging="203"/>
        <w:spacing w:after="0"/>
        <w:rPr>
          <w:sz w:val="20"/>
          <w:szCs w:val="20"/>
          <w:color w:val="auto"/>
        </w:rPr>
      </w:pPr>
      <w:r>
        <w:rPr>
          <w:sz w:val="1"/>
          <w:szCs w:val="1"/>
          <w:color w:val="auto"/>
        </w:rPr>
        <w:drawing>
          <wp:inline distT="0" distB="0" distL="0" distR="0">
            <wp:extent cx="68580" cy="5969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42" w:lineRule="exact"/>
        <w:rPr>
          <w:sz w:val="20"/>
          <w:szCs w:val="20"/>
          <w:color w:val="auto"/>
        </w:rPr>
      </w:pPr>
    </w:p>
    <w:p>
      <w:pPr>
        <w:ind w:left="220" w:right="200" w:hanging="203"/>
        <w:spacing w:after="0"/>
        <w:rPr>
          <w:sz w:val="20"/>
          <w:szCs w:val="20"/>
          <w:color w:val="auto"/>
        </w:rPr>
      </w:pPr>
      <w:r>
        <w:rPr>
          <w:sz w:val="1"/>
          <w:szCs w:val="1"/>
          <w:color w:val="auto"/>
        </w:rPr>
        <w:drawing>
          <wp:inline distT="0" distB="0" distL="0" distR="0">
            <wp:extent cx="68580" cy="5969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8580" cy="5969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Executive succession planning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8580" cy="5969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Clawback policy</w:t>
      </w:r>
    </w:p>
    <w:p>
      <w:pPr>
        <w:spacing w:after="0" w:line="86" w:lineRule="exact"/>
        <w:rPr>
          <w:sz w:val="20"/>
          <w:szCs w:val="20"/>
          <w:color w:val="auto"/>
        </w:rPr>
      </w:pPr>
    </w:p>
    <w:p>
      <w:pPr>
        <w:ind w:left="220" w:right="300" w:hanging="203"/>
        <w:spacing w:after="0"/>
        <w:rPr>
          <w:sz w:val="20"/>
          <w:szCs w:val="20"/>
          <w:color w:val="auto"/>
        </w:rPr>
      </w:pPr>
      <w:r>
        <w:rPr>
          <w:sz w:val="1"/>
          <w:szCs w:val="1"/>
          <w:color w:val="auto"/>
        </w:rPr>
        <w:drawing>
          <wp:inline distT="0" distB="0" distL="0" distR="0">
            <wp:extent cx="68580" cy="5969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related risks</w:t>
      </w:r>
    </w:p>
    <w:p>
      <w:pPr>
        <w:spacing w:after="0" w:line="645" w:lineRule="exact"/>
        <w:rPr>
          <w:sz w:val="20"/>
          <w:szCs w:val="20"/>
          <w:color w:val="auto"/>
        </w:rPr>
      </w:pPr>
    </w:p>
    <w:p>
      <w:pPr>
        <w:sectPr>
          <w:pgSz w:w="11900" w:h="16838" w:orient="portrait"/>
          <w:cols w:equalWidth="0" w:num="2">
            <w:col w:w="5480" w:space="340"/>
            <w:col w:w="5400"/>
          </w:cols>
          <w:pgMar w:left="320" w:top="125" w:right="35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and Committee Meetings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During 2021, the Civeo board of directors held eight meetings, the Audit Committee held seven meetings, the Compensation Committee held five meetings, the Environmental, Social, Governance and Nominating Committee held four meetings and the Finance and Investment Committee held one meeting. In total, with the exception of one director who attended 87.5% of the total meetings of the board of directors, each director attended 100% of the total meetings of the board of directors. Additionally, each director attended 100% of the total committee meetings for committees on which he or she served. While we understand that scheduling conflicts may arise, we expect directors to make reasonable efforts to attend the annual general meeting of shareholders, meetings of the board of directors and the committees on which they serve. All of our directors attended the 2021 annual general meeting of shareholders.</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Directors—Performance Evaluations</w:t>
      </w:r>
    </w:p>
    <w:p>
      <w:pPr>
        <w:spacing w:after="0" w:line="132"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Annually, the board of directors conducts a self-evaluation to determine whether it and its committees are functioning effectively. The Environmental, Social, Governance and Nominating Committee receives comments from all directors and reports to the board of directors with an assessment of the performance of the board of directors and each individual director. The assessment focuses on the board of directors and each individual director's contribution to Civeo and specifically focuses on areas in which the board of directors or management believes that the board of directors and each individual director could improve.</w:t>
      </w:r>
    </w:p>
    <w:p>
      <w:pPr>
        <w:spacing w:after="0" w:line="265"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Additionally, the Environmental, Social, Governance and Nominating Committee leads the board of directors in the annual performance review of each of the board's committees. As part of this process, the chair of each committee reports to the Environmental, Social, Governance and Nominating Committee Chair who then reports the results of the self-evaluations to the full board of directors about the committee’s annual evaluation of its performance and evaluation of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147320</wp:posOffset>
            </wp:positionV>
            <wp:extent cx="394335" cy="1974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220"/>
          </w:cols>
          <w:pgMar w:left="320" w:top="125" w:right="3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Orientation and Continuing Education</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Each new director must participate in the Company’s orientation program, which is conducted in a reasonable period of time after the meeting at which such director is initially appointed. This orientation includes presentations by senior management to familiarize new directors with the Company’s operations, its strategic plans, its significant financial, accounting and risk management issues, its compliance programs, its Code of Conduct and its Financial Code of Ethics, its principal officers, and its internal and independent auditors. In addition, the orientation program includes visits to Company headquarters and, to the extent practical, visits to various operational sites of the Company.</w:t>
      </w:r>
    </w:p>
    <w:p>
      <w:pPr>
        <w:spacing w:after="0" w:line="58" w:lineRule="exact"/>
        <w:rPr>
          <w:sz w:val="20"/>
          <w:szCs w:val="20"/>
          <w:color w:val="auto"/>
        </w:rPr>
      </w:pPr>
    </w:p>
    <w:p>
      <w:pPr>
        <w:ind w:right="40"/>
        <w:spacing w:after="0" w:line="222" w:lineRule="auto"/>
        <w:rPr>
          <w:sz w:val="20"/>
          <w:szCs w:val="20"/>
          <w:color w:val="auto"/>
        </w:rPr>
      </w:pPr>
      <w:r>
        <w:rPr>
          <w:rFonts w:ascii="Arial" w:cs="Arial" w:eastAsia="Arial" w:hAnsi="Arial"/>
          <w:sz w:val="16"/>
          <w:szCs w:val="16"/>
          <w:color w:val="auto"/>
        </w:rPr>
        <w:t>In addition, training sessions by outside experts are periodically conducted during meetings of the board of directors related to, among other things: U.S. securities law; risk assessment, insurance and management; investor perspective on ESG practices and trends; and macro-economic trends in the U.S. and global economies. Directors also attend continuing education seminars and webcasts hosted by outside experts such as the National Association of Corporate Directors in order to stay current with best practices and evolving trends. Finally, management regularly provides the board of directors with published articles and white papers authored by outside experts on topics ranging from shareholder activism, ESG trends, proxy advisory firm ratings, guidance and proposed regulations.</w:t>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Governance Guidelines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ensure that the interests of the board of directors and management are aligned with the interests of the shareholders. Civeo’s Corporate Governance Guidelines are available at www.civeo.com by first clicking “Corporate Governance” under the “Investor Relations” heading and then “Corporate Governance Guidelines.”</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Communications with Directors; Accounting and Auditing Concerns</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Corporate Secretary of Civeo to the addressee without review by management.</w:t>
      </w:r>
    </w:p>
    <w:p>
      <w:pPr>
        <w:spacing w:after="0" w:line="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Certain Relationships and Related-Party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transactions or relationships required to be disclosed under Item 404(a) of Regulation S-K during the past two fiscal years.</w:t>
      </w:r>
    </w:p>
    <w:p>
      <w:pPr>
        <w:spacing w:after="0" w:line="11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board of directors has adopted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person has a direct or indirect material interest in the transaction. As required under the rules of the SEC, any related party transaction will be disclosed in filings we make with the SEC when required, including disclosure in our proxy statements.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Code of Conduct prohibits conflicts of interest. Any waivers of these guidelines must be approved by the Environmental, Social, Governance and Nominating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345"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bl>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Environmental, Social, Governance and Nominating Committee, our board of directors or our independent registered public accounting firm, as deemed appropriate, and discussed with management. As part of this review, the following factors will generally be considered:</w:t>
      </w:r>
    </w:p>
    <w:p>
      <w:pPr>
        <w:spacing w:after="0" w:line="7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the nature of the related party’s interest in the transaction;</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the material terms of the transaction, including, without limitation, the amount and type of the transaction;</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the importance of the transaction to the related party;</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the importance of the transaction to us;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whether the transaction would impair the judgment of a director or executive officer to act in Civeo’s best interest;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whether the transaction might affect the status of a director as independent under the independence standards of the NYSE;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any other matters deemed appropriate with respect to the particular transaction.</w:t>
      </w:r>
    </w:p>
    <w:p>
      <w:pPr>
        <w:spacing w:after="0" w:line="11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Ultimately, all material related-party transactions must be approved or ratified by the Environmental, Social, Governance and Nominating Committee of our board of directors. Any member of the Environmental, Social, Governance and Nominating Committee who is a related party with respect to a transaction would be recused from the review of the transaction.</w:t>
      </w:r>
    </w:p>
    <w:p>
      <w:pPr>
        <w:spacing w:after="0" w:line="6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63"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We also have other policies and procedures to prevent conflicts of interest, including related-party transactions. For example, the charter of our Environmental, Social, Governance and Nominating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 Code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Conduct:</w:t>
      </w:r>
    </w:p>
    <w:p>
      <w:pPr>
        <w:spacing w:after="0" w:line="97" w:lineRule="exact"/>
        <w:rPr>
          <w:sz w:val="20"/>
          <w:szCs w:val="20"/>
          <w:color w:val="auto"/>
        </w:rPr>
      </w:pPr>
    </w:p>
    <w:p>
      <w:pPr>
        <w:ind w:left="200" w:right="280" w:hanging="192"/>
        <w:spacing w:after="0" w:line="28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None of Civeo’s funds, assets or services will be used for political contributions, directly or indirectly, unless allowed by applicable foreign and U.S. law and approved in advance by our board of directors.</w:t>
      </w:r>
    </w:p>
    <w:p>
      <w:pPr>
        <w:spacing w:after="0" w:line="7" w:lineRule="exact"/>
        <w:rPr>
          <w:rFonts w:ascii="Arial" w:cs="Arial" w:eastAsia="Arial" w:hAnsi="Arial"/>
          <w:sz w:val="16"/>
          <w:szCs w:val="16"/>
          <w:color w:val="006DB6"/>
        </w:rPr>
      </w:pPr>
    </w:p>
    <w:p>
      <w:pPr>
        <w:ind w:left="200" w:right="640" w:hanging="192"/>
        <w:spacing w:after="0" w:line="28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Any contributions by Civeo to support or oppose public referenda or similar ballot issues are only permitted with advance approval of our board of directors.</w:t>
      </w:r>
    </w:p>
    <w:p>
      <w:pPr>
        <w:spacing w:after="0" w:line="20" w:lineRule="exact"/>
        <w:rPr>
          <w:rFonts w:ascii="Arial" w:cs="Arial" w:eastAsia="Arial" w:hAnsi="Arial"/>
          <w:sz w:val="16"/>
          <w:szCs w:val="16"/>
          <w:color w:val="006DB6"/>
        </w:rPr>
      </w:pPr>
    </w:p>
    <w:p>
      <w:pPr>
        <w:ind w:left="200" w:right="80" w:hanging="192"/>
        <w:spacing w:after="0" w:line="25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Noralta Acquisition</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On April 2, 2018, we acquired the equity of Noralta Lodge Ltd. ("Noralta"), located in Alberta, Canada (the "Noralta Acquisition"). The total consideration, subject to adjustment in accordance with the terms of the definitive agreement, included (i) C$207.7 million (or approximately US$161.2 million) in cash, (ii) 2.7 million of our common shares, of which 0.7 million shares are held in escrow as of December 31, 2021 and will be released based on certain conditions related to Noralta customer contracts remaining in place, and (iii) 9,679 Class A Series 1 Preferred Shares (the “preferred shares”) with an initial liquidation preference of $96.8 million and initially convertible into 2.4 million of our common shares.</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During the second quarter of 2021, 0.4 million common shares were released to the sellers from escrow to cover certain conditions related to Noralta customer contracts remaining in place. During the second quarter of 2020, $5.0 million in cash was released to us from escrow to cover certain agreed upon indemnification claims. During the first quarter of 2019, $2.1 million in cash was released to us from escrow to cover certain agreed upon indemnification claims. During the fourth quarter of 2018, $10.4 million in cash, 0.2 million common shares and 637 preferred shares were released to us, and $1.2 million in cash, 15 thousand common shares and 55 preferred shares were released to the sellers, from escrow to cover purchase price adjustments related to employee compensation cost increases. During the third quarter of 2018, $3.6 million in cash was released to us from escrow to cover purchase price adjustments related to a working capital shortfall at closing.</w:t>
      </w:r>
    </w:p>
    <w:p>
      <w:pPr>
        <w:spacing w:after="0" w:line="73"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color w:val="auto"/>
        </w:rPr>
        <w:t>Holders of the preferred shares are entitled to receive a 2% annual dividend on the liquidation preference, paid quarterly in cash or, at our option, by increasing the preferred shares’ liquidation preference. The preferred shares are convertible into common shares at a conversion price of $39.60 per preferred share, subject to customary anti-dilution adjustments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151765</wp:posOffset>
            </wp:positionV>
            <wp:extent cx="394335" cy="196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200"/>
          </w:cols>
          <w:pgMar w:left="320" w:top="125"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Price”). We have the right to elect to convert the preferred shares into common shares if the 15-day volume weighted average price of the common shares is equal to or exceeds the Conversion Price. Holders of the preferred shares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We may redeem any or all of the preferred shares for cash at the liquidation preference, plus accrued and unpaid dividends. The preferred shares do not have voting rights, except as statutorily required.</w:t>
      </w:r>
    </w:p>
    <w:p>
      <w:pPr>
        <w:spacing w:after="0" w:line="7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connection with closing of the Noralta Acquisition, we entered into the registration rights, lock-up and standstill agreement, dated April 2, 2018 (the “Registration Rights Agreement”), with Torgerson Family Trust (“Torgerson Trust”) and 989677 Alberta Ltd. (collectively, the “Restricted Shareholders”). Pursuant to the Registration Rights Agreement, for a period of 18 months following the closing, the Restricted Shareholders agreed not to transfer any of their common shares without our prior written consent, with certain limited exceptions for permitted transfers. Following such 18-month period, the Restricted Shareholders are permitted to transfer common shares under Rule 144 or an effective registration statement under the U.S. Securities Act of 1933 (the “Securities Act”), subject to a limitation restricting transfers during any 90-day period of more than 10% of the common shares (including common shares received upon conversion of the preferred shares) received by the Restricted Shareholders in the Acquisition. In addition, no Restricted Shareholder may transfer any common shares or preferred shares to any competitor of Civeo or any person, whether individually or as part of a group, that would then have the right to vote more than 10% of the common shares then outstanding, other than transfers in an underwritten public offering or in a market transaction pursuant to Rule 144. The Restricted Shareholders also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the Restricted Shareholders no longer constitute at least 5% of our common shares then outstanding (calculated assuming conversion of all of the outstanding preferred shares) or upon a bankruptcy or change of control of Civeo.</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Pursuant to the Registration Rights Agreement, we filed a shelf registration statement under the Securities Act covering the public offering of the registrable securities held by the Restricted Shareholders, which became effective on September 5, 2019. In addition, the Restricted Shareholders have customary “piggy-back” rights with respect to public offerings of common shares by Civeo.</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Registration Rights Agreement also provides that we will pay certain expenses relating to such registrations and indemnify the Restricted Shareholders against (or make contributions in respect of) certain liabilities which may arise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Process</w:t>
      </w:r>
    </w:p>
    <w:p>
      <w:pPr>
        <w:spacing w:after="0" w:line="13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non-employee directors receive compensation for their services on the board of directors. The Compensation Committee conducts annual reviews of director compensation, engages Mercer, LLC ("Mercer"), the Compensation Committee's independent compensation consultant, to provide market data bi-annually related to director compensation, and makes a recommendation to the board of directors regarding the form and amount of director compensation. Director compensation should be adequate to compensate directors for their time and effort expended in satisfying their obligations. The Compensation Committee will, however, consider that directors' independence may be jeopardized if director compensation and perquisites exceed customary levels, if the Company makes substantial charitable contributions to organizations with which a director is affiliated, or if the Company enters into consulting contracts with (or provides other indirect form of compensation to) a director or an organization with which the director is affiliated.</w:t>
      </w:r>
    </w:p>
    <w:p>
      <w:pPr>
        <w:spacing w:after="0" w:line="7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Directors who are also our employees do not receive a retainer or fees for service on our board of directors or any committees. Accordingly, Mr. Dodson, a director of Civeo and Civeo’s President and Chief Executive Officer, does not receive director compensation.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components of compensation paid by Civeo to non-employee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Component</w:t>
            </w:r>
          </w:p>
        </w:tc>
        <w:tc>
          <w:tcPr>
            <w:tcW w:w="7660" w:type="dxa"/>
            <w:vAlign w:val="bottom"/>
            <w:tcBorders>
              <w:bottom w:val="single" w:sz="8" w:color="006DB6"/>
            </w:tcBorders>
          </w:tcPr>
          <w:p>
            <w:pPr>
              <w:ind w:left="400"/>
              <w:spacing w:after="0"/>
              <w:rPr>
                <w:sz w:val="20"/>
                <w:szCs w:val="20"/>
                <w:color w:val="auto"/>
              </w:rPr>
            </w:pPr>
            <w:r>
              <w:rPr>
                <w:rFonts w:ascii="Arial" w:cs="Arial" w:eastAsia="Arial" w:hAnsi="Arial"/>
                <w:sz w:val="14"/>
                <w:szCs w:val="14"/>
                <w:b w:val="1"/>
                <w:bCs w:val="1"/>
                <w:color w:val="706F6F"/>
              </w:rPr>
              <w:t>Non-Employee Director Compensation</w:t>
            </w: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Annual Cash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$65,000</w:t>
            </w: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Annual Equity Retainer </w:t>
            </w:r>
            <w:r>
              <w:rPr>
                <w:rFonts w:ascii="Arial" w:cs="Arial" w:eastAsia="Arial" w:hAnsi="Arial"/>
                <w:sz w:val="21"/>
                <w:szCs w:val="21"/>
                <w:color w:val="auto"/>
                <w:vertAlign w:val="superscript"/>
              </w:rPr>
              <w:t>(1)</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Stock award equal to $125,000</w:t>
            </w: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Chair of the Board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Annual retainer of $75,000, paid quarterly 50% in cash and 50% in fully vested common shares</w:t>
            </w:r>
          </w:p>
        </w:tc>
      </w:tr>
      <w:tr>
        <w:trPr>
          <w:trHeight w:val="202"/>
        </w:trPr>
        <w:tc>
          <w:tcPr>
            <w:tcW w:w="348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Committee Chair Annual Cash Retainer </w:t>
            </w:r>
            <w:r>
              <w:rPr>
                <w:rFonts w:ascii="Arial" w:cs="Arial" w:eastAsia="Arial" w:hAnsi="Arial"/>
                <w:sz w:val="21"/>
                <w:szCs w:val="21"/>
                <w:color w:val="auto"/>
                <w:vertAlign w:val="superscript"/>
              </w:rPr>
              <w:t>(2)</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$27,500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$23,000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$23,000</w:t>
            </w:r>
          </w:p>
        </w:tc>
      </w:tr>
      <w:tr>
        <w:trPr>
          <w:trHeight w:val="224"/>
        </w:trPr>
        <w:tc>
          <w:tcPr>
            <w:tcW w:w="348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Finance and Investment - $18,000</w:t>
            </w:r>
          </w:p>
        </w:tc>
      </w:tr>
      <w:tr>
        <w:trPr>
          <w:trHeight w:val="202"/>
        </w:trPr>
        <w:tc>
          <w:tcPr>
            <w:tcW w:w="3480" w:type="dxa"/>
            <w:vAlign w:val="bottom"/>
          </w:tcPr>
          <w:p>
            <w:pPr>
              <w:ind w:left="20"/>
              <w:spacing w:after="0"/>
              <w:rPr>
                <w:sz w:val="20"/>
                <w:szCs w:val="20"/>
                <w:color w:val="auto"/>
              </w:rPr>
            </w:pPr>
            <w:r>
              <w:rPr>
                <w:rFonts w:ascii="Arial" w:cs="Arial" w:eastAsia="Arial" w:hAnsi="Arial"/>
                <w:sz w:val="16"/>
                <w:szCs w:val="16"/>
                <w:color w:val="auto"/>
              </w:rPr>
              <w:t>Committee Member Annual Cash Retainer</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$18,000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$13,000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$13,000</w:t>
            </w:r>
          </w:p>
        </w:tc>
      </w:tr>
      <w:tr>
        <w:trPr>
          <w:trHeight w:val="224"/>
        </w:trPr>
        <w:tc>
          <w:tcPr>
            <w:tcW w:w="348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Finance and Investment - $13,000</w:t>
            </w:r>
          </w:p>
        </w:tc>
      </w:tr>
    </w:tbl>
    <w:p>
      <w:pPr>
        <w:spacing w:after="0" w:line="188" w:lineRule="exact"/>
        <w:rPr>
          <w:sz w:val="20"/>
          <w:szCs w:val="20"/>
          <w:color w:val="auto"/>
        </w:rPr>
      </w:pPr>
    </w:p>
    <w:p>
      <w:pPr>
        <w:ind w:left="660" w:hanging="328"/>
        <w:spacing w:after="0" w:line="259"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Newly elected non-employee directors receive restricted stock awards valued at $125,000 after their initial appointment. In addition, non-employee directors who have served for not less than six months receive additional restricted stock awards valued at $125,000 at each annual shareholders’ meeting after which they continue to serve. The non-employee directors’ restricted stock awards are valued on the award date based on the closing share price and vest on the earlier of one year from the date of grant or the next annual shareholders’ meeting date following the date of grant.</w:t>
      </w:r>
    </w:p>
    <w:p>
      <w:pPr>
        <w:spacing w:after="0" w:line="15"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6"/>
          <w:szCs w:val="16"/>
          <w:color w:val="auto"/>
        </w:rPr>
        <w:t>Commencing with annual grants made in 2019, our non-employee directors were permitted to elect to receive their annual restricted stock award in the form of deferred shares, which vest on the earlier of one year from the date of grant or the next annual shareholders’ meeting date following the date of grant, subject to continued service through such date; however, settlement of such deferred shares is deferred until the director’s separation from service.</w:t>
      </w:r>
    </w:p>
    <w:p>
      <w:pPr>
        <w:spacing w:after="0" w:line="69" w:lineRule="exact"/>
        <w:rPr>
          <w:rFonts w:ascii="Arial" w:cs="Arial" w:eastAsia="Arial" w:hAnsi="Arial"/>
          <w:sz w:val="16"/>
          <w:szCs w:val="16"/>
          <w:color w:val="auto"/>
        </w:rPr>
      </w:pPr>
    </w:p>
    <w:p>
      <w:pPr>
        <w:ind w:left="660" w:right="180" w:hanging="328"/>
        <w:spacing w:after="0" w:line="286" w:lineRule="auto"/>
        <w:tabs>
          <w:tab w:leader="none" w:pos="65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Effective as of January 1, 2022, the Committee chair annual cash retainer for the Environmental, Social, Governance and Nominating Committee was increased from $18,000 to $23,000, to reflect the increased responsibilities of the committee.</w:t>
      </w:r>
    </w:p>
    <w:p>
      <w:pPr>
        <w:spacing w:after="0" w:line="48"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 Additionally, we purchase and maintain directors' and officers' liability insurance for, and provide indemnification to, each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6000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66" w:lineRule="exact"/>
        <w:rPr>
          <w:sz w:val="20"/>
          <w:szCs w:val="20"/>
          <w:color w:val="auto"/>
        </w:rPr>
      </w:pPr>
    </w:p>
    <w:p>
      <w:pPr>
        <w:ind w:left="20" w:right="160"/>
        <w:spacing w:after="0" w:line="266" w:lineRule="auto"/>
        <w:rPr>
          <w:sz w:val="20"/>
          <w:szCs w:val="20"/>
          <w:color w:val="auto"/>
        </w:rPr>
      </w:pPr>
      <w:r>
        <w:rPr>
          <w:rFonts w:ascii="Arial" w:cs="Arial" w:eastAsia="Arial" w:hAnsi="Arial"/>
          <w:sz w:val="16"/>
          <w:szCs w:val="16"/>
          <w:color w:val="auto"/>
        </w:rPr>
        <w:t>The Compensation Committee annually reviews director compensation, and uses outside consultants to ensure such compensation is appropriate relative to our peer groups. The review includes, but is not limited to, compensation levels, chair premiums, pay mix and relevant governance trends. In addition, the Environmental, Social, Governance and Nominating Committee annually reviews compliance with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846455</wp:posOffset>
            </wp:positionV>
            <wp:extent cx="394335" cy="1968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200"/>
          </w:cols>
          <w:pgMar w:left="32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Compensation Table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paid by Civeo to non-employee directors for the fiscal year ended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322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706F6F"/>
              </w:rPr>
              <w:t>Fees Earned or</w:t>
            </w:r>
          </w:p>
        </w:tc>
        <w:tc>
          <w:tcPr>
            <w:tcW w:w="36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4"/>
                <w:szCs w:val="14"/>
                <w:b w:val="1"/>
                <w:bCs w:val="1"/>
                <w:color w:val="706F6F"/>
              </w:rPr>
              <w:t>Share</w:t>
            </w:r>
          </w:p>
        </w:tc>
        <w:tc>
          <w:tcPr>
            <w:tcW w:w="14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706F6F"/>
              </w:rPr>
              <w:t>2020 Grant Paid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32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ind w:left="100"/>
              <w:spacing w:after="0" w:line="145" w:lineRule="exact"/>
              <w:rPr>
                <w:sz w:val="20"/>
                <w:szCs w:val="20"/>
                <w:color w:val="auto"/>
              </w:rPr>
            </w:pPr>
            <w:r>
              <w:rPr>
                <w:rFonts w:ascii="Arial" w:cs="Arial" w:eastAsia="Arial" w:hAnsi="Arial"/>
                <w:sz w:val="14"/>
                <w:szCs w:val="14"/>
                <w:b w:val="1"/>
                <w:bCs w:val="1"/>
                <w:color w:val="706F6F"/>
              </w:rPr>
              <w:t>Awards</w:t>
            </w:r>
            <w:r>
              <w:rPr>
                <w:rFonts w:ascii="Arial" w:cs="Arial" w:eastAsia="Arial" w:hAnsi="Arial"/>
                <w:sz w:val="9"/>
                <w:szCs w:val="9"/>
                <w:b w:val="1"/>
                <w:bCs w:val="1"/>
                <w:color w:val="706F6F"/>
              </w:rPr>
              <w:t>(1)</w:t>
            </w:r>
          </w:p>
        </w:tc>
        <w:tc>
          <w:tcPr>
            <w:tcW w:w="1420" w:type="dxa"/>
            <w:vAlign w:val="bottom"/>
            <w:gridSpan w:val="2"/>
          </w:tcPr>
          <w:p>
            <w:pPr>
              <w:jc w:val="right"/>
              <w:ind w:right="99"/>
              <w:spacing w:after="0" w:line="145" w:lineRule="exact"/>
              <w:rPr>
                <w:sz w:val="20"/>
                <w:szCs w:val="20"/>
                <w:color w:val="auto"/>
              </w:rPr>
            </w:pPr>
            <w:r>
              <w:rPr>
                <w:rFonts w:ascii="Arial" w:cs="Arial" w:eastAsia="Arial" w:hAnsi="Arial"/>
                <w:sz w:val="14"/>
                <w:szCs w:val="14"/>
                <w:b w:val="1"/>
                <w:bCs w:val="1"/>
                <w:color w:val="706F6F"/>
              </w:rPr>
              <w:t xml:space="preserve">in Cash in 2021 </w:t>
            </w:r>
            <w:r>
              <w:rPr>
                <w:rFonts w:ascii="Arial" w:cs="Arial" w:eastAsia="Arial" w:hAnsi="Arial"/>
                <w:sz w:val="10"/>
                <w:szCs w:val="10"/>
                <w:b w:val="1"/>
                <w:bCs w:val="1"/>
                <w:color w:val="706F6F"/>
              </w:rPr>
              <w:t>(2)</w:t>
            </w:r>
          </w:p>
        </w:tc>
        <w:tc>
          <w:tcPr>
            <w:tcW w:w="3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Total</w:t>
            </w:r>
          </w:p>
        </w:tc>
        <w:tc>
          <w:tcPr>
            <w:tcW w:w="0" w:type="dxa"/>
            <w:vAlign w:val="bottom"/>
          </w:tcPr>
          <w:p>
            <w:pPr>
              <w:spacing w:after="0"/>
              <w:rPr>
                <w:sz w:val="1"/>
                <w:szCs w:val="1"/>
                <w:color w:val="auto"/>
              </w:rPr>
            </w:pPr>
          </w:p>
        </w:tc>
      </w:tr>
      <w:tr>
        <w:trPr>
          <w:trHeight w:val="162"/>
        </w:trPr>
        <w:tc>
          <w:tcPr>
            <w:tcW w:w="3800" w:type="dxa"/>
            <w:vAlign w:val="bottom"/>
            <w:tcBorders>
              <w:bottom w:val="single" w:sz="8" w:color="006DB6"/>
            </w:tcBorders>
            <w:vMerge w:val="continue"/>
          </w:tcPr>
          <w:p>
            <w:pPr>
              <w:spacing w:after="0"/>
              <w:rPr>
                <w:sz w:val="14"/>
                <w:szCs w:val="14"/>
                <w:color w:val="auto"/>
              </w:rPr>
            </w:pPr>
          </w:p>
        </w:tc>
        <w:tc>
          <w:tcPr>
            <w:tcW w:w="3220" w:type="dxa"/>
            <w:vAlign w:val="bottom"/>
            <w:tcBorders>
              <w:bottom w:val="single" w:sz="8" w:color="006DB6"/>
            </w:tcBorders>
            <w:gridSpan w:val="2"/>
          </w:tcPr>
          <w:p>
            <w:pPr>
              <w:jc w:val="right"/>
              <w:ind w:right="99"/>
              <w:spacing w:after="0"/>
              <w:rPr>
                <w:sz w:val="20"/>
                <w:szCs w:val="20"/>
                <w:color w:val="auto"/>
              </w:rPr>
            </w:pPr>
            <w:r>
              <w:rPr>
                <w:rFonts w:ascii="Arial" w:cs="Arial" w:eastAsia="Arial" w:hAnsi="Arial"/>
                <w:sz w:val="14"/>
                <w:szCs w:val="14"/>
                <w:b w:val="1"/>
                <w:bCs w:val="1"/>
                <w:color w:val="706F6F"/>
              </w:rPr>
              <w:t>Paid in Cash</w:t>
            </w:r>
          </w:p>
        </w:tc>
        <w:tc>
          <w:tcPr>
            <w:tcW w:w="360" w:type="dxa"/>
            <w:vAlign w:val="bottom"/>
            <w:tcBorders>
              <w:bottom w:val="single" w:sz="8" w:color="006DB6"/>
            </w:tcBorders>
          </w:tcPr>
          <w:p>
            <w:pPr>
              <w:spacing w:after="0"/>
              <w:rPr>
                <w:sz w:val="14"/>
                <w:szCs w:val="14"/>
                <w:color w:val="auto"/>
              </w:rPr>
            </w:pPr>
          </w:p>
        </w:tc>
        <w:tc>
          <w:tcPr>
            <w:tcW w:w="760" w:type="dxa"/>
            <w:vAlign w:val="bottom"/>
            <w:tcBorders>
              <w:bottom w:val="single" w:sz="8" w:color="006DB6"/>
            </w:tcBorders>
          </w:tcPr>
          <w:p>
            <w:pPr>
              <w:spacing w:after="0"/>
              <w:rPr>
                <w:sz w:val="14"/>
                <w:szCs w:val="14"/>
                <w:color w:val="auto"/>
              </w:rPr>
            </w:pPr>
          </w:p>
        </w:tc>
        <w:tc>
          <w:tcPr>
            <w:tcW w:w="500" w:type="dxa"/>
            <w:vAlign w:val="bottom"/>
            <w:tcBorders>
              <w:bottom w:val="single" w:sz="8" w:color="006DB6"/>
            </w:tcBorders>
          </w:tcPr>
          <w:p>
            <w:pPr>
              <w:spacing w:after="0"/>
              <w:rPr>
                <w:sz w:val="14"/>
                <w:szCs w:val="14"/>
                <w:color w:val="auto"/>
              </w:rPr>
            </w:pPr>
          </w:p>
        </w:tc>
        <w:tc>
          <w:tcPr>
            <w:tcW w:w="920" w:type="dxa"/>
            <w:vAlign w:val="bottom"/>
            <w:tcBorders>
              <w:bottom w:val="single" w:sz="8" w:color="006DB6"/>
            </w:tcBorders>
          </w:tcPr>
          <w:p>
            <w:pPr>
              <w:spacing w:after="0"/>
              <w:rPr>
                <w:sz w:val="14"/>
                <w:szCs w:val="14"/>
                <w:color w:val="auto"/>
              </w:rPr>
            </w:pPr>
          </w:p>
        </w:tc>
        <w:tc>
          <w:tcPr>
            <w:tcW w:w="360" w:type="dxa"/>
            <w:vAlign w:val="bottom"/>
            <w:tcBorders>
              <w:bottom w:val="single" w:sz="8" w:color="006DB6"/>
            </w:tcBorders>
          </w:tcPr>
          <w:p>
            <w:pPr>
              <w:spacing w:after="0"/>
              <w:rPr>
                <w:sz w:val="14"/>
                <w:szCs w:val="14"/>
                <w:color w:val="auto"/>
              </w:rPr>
            </w:pPr>
          </w:p>
        </w:tc>
        <w:tc>
          <w:tcPr>
            <w:tcW w:w="760" w:type="dxa"/>
            <w:vAlign w:val="bottom"/>
            <w:tcBorders>
              <w:bottom w:val="single" w:sz="8" w:color="006DB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115,500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162,509</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378,009</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109,125</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125,007</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334,132</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36,000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124,991</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160,991</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101,000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125,007</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326,007</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34,125</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124,991</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159,116</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105,500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125,007</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330,507</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101,000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125,007</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326,007</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232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91,000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ind w:left="80"/>
              <w:spacing w:after="0"/>
              <w:rPr>
                <w:sz w:val="20"/>
                <w:szCs w:val="20"/>
                <w:color w:val="auto"/>
              </w:rPr>
            </w:pPr>
            <w:r>
              <w:rPr>
                <w:rFonts w:ascii="Arial" w:cs="Arial" w:eastAsia="Arial" w:hAnsi="Arial"/>
                <w:sz w:val="16"/>
                <w:szCs w:val="16"/>
                <w:color w:val="auto"/>
              </w:rPr>
              <w:t>125,007</w:t>
            </w:r>
          </w:p>
        </w:tc>
        <w:tc>
          <w:tcPr>
            <w:tcW w:w="500" w:type="dxa"/>
            <w:vAlign w:val="bottom"/>
            <w:tcBorders>
              <w:bottom w:val="single" w:sz="8" w:color="706F6F"/>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06F6F"/>
            </w:tcBorders>
          </w:tcPr>
          <w:p>
            <w:pPr>
              <w:jc w:val="right"/>
              <w:ind w:right="13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706F6F"/>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316,007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160" w:hanging="252"/>
        <w:spacing w:after="0" w:line="234" w:lineRule="auto"/>
        <w:tabs>
          <w:tab w:leader="none" w:pos="264"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The amounts in the “Share Awards” column reflect the aggregate grant date fair value of restricted stock awards granted in 2021 calculated in accordance with FASB ASC Topic 718—Stock Compensation. Please see Note 19 to the notes to consolidated financial statements included in Item 8 of Civeo’s Annual Report on Form 10-K for the year ended December 31, 2021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share award total includes 37,503 of Civeo common shares as part of his fees as Chair of the Board, which vested on the grant date.</w:t>
      </w:r>
    </w:p>
    <w:p>
      <w:pPr>
        <w:spacing w:after="0" w:line="82" w:lineRule="exact"/>
        <w:rPr>
          <w:rFonts w:ascii="Arial" w:cs="Arial" w:eastAsia="Arial" w:hAnsi="Arial"/>
          <w:sz w:val="19"/>
          <w:szCs w:val="19"/>
          <w:color w:val="auto"/>
          <w:vertAlign w:val="superscript"/>
        </w:rPr>
      </w:pPr>
    </w:p>
    <w:p>
      <w:pPr>
        <w:ind w:left="260" w:right="220" w:hanging="252"/>
        <w:spacing w:after="0" w:line="222" w:lineRule="auto"/>
        <w:tabs>
          <w:tab w:leader="none" w:pos="264"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In 2020, in light of the Company's then current stock price and the desire to limit shareholder dilution, the non-employee directors replaced their 2020 annual stock award with an additional cash retainer of $100,000 that was paid on the date of the 2021 annual shareholders' meeting.</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aggregate number of unvested restricted stock awards held by non-employee directors were as follows:</w:t>
      </w:r>
    </w:p>
    <w:p>
      <w:pPr>
        <w:sectPr>
          <w:pgSz w:w="11900" w:h="16838" w:orient="portrait"/>
          <w:cols w:equalWidth="0" w:num="1">
            <w:col w:w="11240"/>
          </w:cols>
          <w:pgMar w:left="320" w:top="125"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Share Awards</w:t>
            </w:r>
          </w:p>
        </w:tc>
        <w:tc>
          <w:tcPr>
            <w:tcW w:w="280" w:type="dxa"/>
            <w:vAlign w:val="bottom"/>
            <w:tcBorders>
              <w:bottom w:val="single" w:sz="8" w:color="706F6F"/>
            </w:tcBorders>
          </w:tcPr>
          <w:p>
            <w:pPr>
              <w:spacing w:after="0"/>
              <w:rPr>
                <w:sz w:val="17"/>
                <w:szCs w:val="17"/>
                <w:color w:val="auto"/>
              </w:rPr>
            </w:pPr>
          </w:p>
        </w:tc>
      </w:tr>
      <w:tr>
        <w:trPr>
          <w:trHeight w:val="234"/>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6"/>
                <w:szCs w:val="16"/>
                <w:color w:val="auto"/>
              </w:rPr>
              <w:t>7,627</w:t>
            </w:r>
          </w:p>
        </w:tc>
        <w:tc>
          <w:tcPr>
            <w:tcW w:w="280" w:type="dxa"/>
            <w:vAlign w:val="bottom"/>
            <w:tcBorders>
              <w:bottom w:val="single" w:sz="8" w:color="706F6F"/>
            </w:tcBorders>
          </w:tcPr>
          <w:p>
            <w:pPr>
              <w:spacing w:after="0"/>
              <w:rPr>
                <w:sz w:val="20"/>
                <w:szCs w:val="20"/>
                <w:color w:val="auto"/>
              </w:rPr>
            </w:pPr>
          </w:p>
        </w:tc>
      </w:tr>
      <w:tr>
        <w:trPr>
          <w:trHeight w:val="237"/>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6"/>
                <w:szCs w:val="16"/>
                <w:color w:val="auto"/>
              </w:rPr>
              <w:t>7,627</w:t>
            </w:r>
          </w:p>
        </w:tc>
        <w:tc>
          <w:tcPr>
            <w:tcW w:w="280" w:type="dxa"/>
            <w:vAlign w:val="bottom"/>
            <w:tcBorders>
              <w:bottom w:val="single" w:sz="8" w:color="706F6F"/>
            </w:tcBorders>
          </w:tcPr>
          <w:p>
            <w:pPr>
              <w:spacing w:after="0"/>
              <w:rPr>
                <w:sz w:val="20"/>
                <w:szCs w:val="20"/>
                <w:color w:val="auto"/>
              </w:rPr>
            </w:pPr>
          </w:p>
        </w:tc>
      </w:tr>
      <w:tr>
        <w:trPr>
          <w:trHeight w:val="236"/>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5,610</w:t>
            </w:r>
          </w:p>
        </w:tc>
        <w:tc>
          <w:tcPr>
            <w:tcW w:w="280" w:type="dxa"/>
            <w:vAlign w:val="bottom"/>
            <w:tcBorders>
              <w:bottom w:val="single" w:sz="8" w:color="706F6F"/>
            </w:tcBorders>
          </w:tcPr>
          <w:p>
            <w:pPr>
              <w:spacing w:after="0"/>
              <w:rPr>
                <w:sz w:val="20"/>
                <w:szCs w:val="20"/>
                <w:color w:val="auto"/>
              </w:rPr>
            </w:pPr>
          </w:p>
        </w:tc>
      </w:tr>
      <w:tr>
        <w:trPr>
          <w:trHeight w:val="237"/>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7,627</w:t>
            </w:r>
          </w:p>
        </w:tc>
        <w:tc>
          <w:tcPr>
            <w:tcW w:w="280" w:type="dxa"/>
            <w:vAlign w:val="bottom"/>
            <w:tcBorders>
              <w:bottom w:val="single" w:sz="8" w:color="706F6F"/>
            </w:tcBorders>
          </w:tcPr>
          <w:p>
            <w:pPr>
              <w:jc w:val="right"/>
              <w:ind w:right="119"/>
              <w:spacing w:after="0"/>
              <w:rPr>
                <w:sz w:val="20"/>
                <w:szCs w:val="20"/>
                <w:color w:val="auto"/>
              </w:rPr>
            </w:pPr>
            <w:r>
              <w:rPr>
                <w:rFonts w:ascii="Arial" w:cs="Arial" w:eastAsia="Arial" w:hAnsi="Arial"/>
                <w:sz w:val="16"/>
                <w:szCs w:val="16"/>
                <w:b w:val="1"/>
                <w:bCs w:val="1"/>
                <w:color w:val="006DB6"/>
                <w:w w:val="95"/>
              </w:rPr>
              <w:t>*</w:t>
            </w:r>
          </w:p>
        </w:tc>
      </w:tr>
    </w:tbl>
    <w:p>
      <w:pPr>
        <w:spacing w:after="0" w:line="19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Deferred shares to be settled upon separation from service.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Share Awards</w:t>
            </w:r>
          </w:p>
        </w:tc>
        <w:tc>
          <w:tcPr>
            <w:tcW w:w="200" w:type="dxa"/>
            <w:vAlign w:val="bottom"/>
            <w:tcBorders>
              <w:bottom w:val="single" w:sz="8" w:color="706F6F"/>
            </w:tcBorders>
          </w:tcPr>
          <w:p>
            <w:pPr>
              <w:spacing w:after="0"/>
              <w:rPr>
                <w:sz w:val="17"/>
                <w:szCs w:val="17"/>
                <w:color w:val="auto"/>
              </w:rPr>
            </w:pPr>
          </w:p>
        </w:tc>
      </w:tr>
      <w:tr>
        <w:trPr>
          <w:trHeight w:val="234"/>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5,610</w:t>
            </w:r>
          </w:p>
        </w:tc>
        <w:tc>
          <w:tcPr>
            <w:tcW w:w="200" w:type="dxa"/>
            <w:vAlign w:val="bottom"/>
            <w:tcBorders>
              <w:bottom w:val="single" w:sz="8" w:color="706F6F"/>
            </w:tcBorders>
          </w:tcPr>
          <w:p>
            <w:pPr>
              <w:spacing w:after="0"/>
              <w:rPr>
                <w:sz w:val="20"/>
                <w:szCs w:val="20"/>
                <w:color w:val="auto"/>
              </w:rPr>
            </w:pPr>
          </w:p>
        </w:tc>
      </w:tr>
      <w:tr>
        <w:trPr>
          <w:trHeight w:val="237"/>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7,627</w:t>
            </w:r>
          </w:p>
        </w:tc>
        <w:tc>
          <w:tcPr>
            <w:tcW w:w="200" w:type="dxa"/>
            <w:vAlign w:val="bottom"/>
            <w:tcBorders>
              <w:bottom w:val="single" w:sz="8" w:color="706F6F"/>
            </w:tcBorders>
          </w:tcPr>
          <w:p>
            <w:pPr>
              <w:spacing w:after="0"/>
              <w:rPr>
                <w:sz w:val="20"/>
                <w:szCs w:val="20"/>
                <w:color w:val="auto"/>
              </w:rPr>
            </w:pPr>
          </w:p>
        </w:tc>
      </w:tr>
      <w:tr>
        <w:trPr>
          <w:trHeight w:val="236"/>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7,627</w:t>
            </w:r>
          </w:p>
        </w:tc>
        <w:tc>
          <w:tcPr>
            <w:tcW w:w="200" w:type="dxa"/>
            <w:vAlign w:val="bottom"/>
            <w:tcBorders>
              <w:bottom w:val="single" w:sz="8" w:color="706F6F"/>
            </w:tcBorders>
          </w:tcPr>
          <w:p>
            <w:pPr>
              <w:jc w:val="right"/>
              <w:ind w:right="39"/>
              <w:spacing w:after="0"/>
              <w:rPr>
                <w:sz w:val="20"/>
                <w:szCs w:val="20"/>
                <w:color w:val="auto"/>
              </w:rPr>
            </w:pPr>
            <w:r>
              <w:rPr>
                <w:rFonts w:ascii="Arial" w:cs="Arial" w:eastAsia="Arial" w:hAnsi="Arial"/>
                <w:sz w:val="16"/>
                <w:szCs w:val="16"/>
                <w:b w:val="1"/>
                <w:bCs w:val="1"/>
                <w:color w:val="006DB6"/>
                <w:w w:val="95"/>
              </w:rPr>
              <w:t>*</w:t>
            </w:r>
          </w:p>
        </w:tc>
      </w:tr>
      <w:tr>
        <w:trPr>
          <w:trHeight w:val="237"/>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7,627</w:t>
            </w:r>
          </w:p>
        </w:tc>
        <w:tc>
          <w:tcPr>
            <w:tcW w:w="200" w:type="dxa"/>
            <w:vAlign w:val="bottom"/>
            <w:tcBorders>
              <w:bottom w:val="single" w:sz="8" w:color="706F6F"/>
            </w:tcBorders>
          </w:tcPr>
          <w:p>
            <w:pPr>
              <w:jc w:val="right"/>
              <w:ind w:right="39"/>
              <w:spacing w:after="0"/>
              <w:rPr>
                <w:sz w:val="20"/>
                <w:szCs w:val="20"/>
                <w:color w:val="auto"/>
              </w:rPr>
            </w:pPr>
            <w:r>
              <w:rPr>
                <w:rFonts w:ascii="Arial" w:cs="Arial" w:eastAsia="Arial" w:hAnsi="Arial"/>
                <w:sz w:val="16"/>
                <w:szCs w:val="16"/>
                <w:b w:val="1"/>
                <w:bCs w:val="1"/>
                <w:color w:val="006DB6"/>
                <w:w w:val="95"/>
              </w:rPr>
              <w:t>*</w:t>
            </w:r>
          </w:p>
        </w:tc>
      </w:tr>
    </w:tbl>
    <w:p>
      <w:pPr>
        <w:spacing w:after="0" w:line="554" w:lineRule="exact"/>
        <w:rPr>
          <w:sz w:val="20"/>
          <w:szCs w:val="20"/>
          <w:color w:val="auto"/>
        </w:rPr>
      </w:pPr>
    </w:p>
    <w:p>
      <w:pPr>
        <w:sectPr>
          <w:pgSz w:w="11900" w:h="16838" w:orient="portrait"/>
          <w:cols w:equalWidth="0" w:num="2">
            <w:col w:w="4980" w:space="260"/>
            <w:col w:w="6000"/>
          </w:cols>
          <w:pgMar w:left="320" w:top="125"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 Ownership Guidelines</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Non-employee directors are subject to Civeo’s share ownership guidelines pursuant to which they are expected to retain shares from restricted stock awards, after payment of applicable taxes, valued at five times the annual retainer amount until retirement or until leaving the board of directors. Once the ownership guideline is established for a director and communicated, the director has five years to attain the targeted level of ownership. All directors are expected to be in compliance with the guidelines within the five-year period for compliance.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As of March 29, 2022, all non-employee directors were in compliance with the guidelines as demonstrated in the chart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260" w:type="dxa"/>
            <w:vAlign w:val="bottom"/>
            <w:tcBorders>
              <w:bottom w:val="single" w:sz="8" w:color="006DB6"/>
            </w:tcBorders>
            <w:gridSpan w:val="2"/>
          </w:tcPr>
          <w:p>
            <w:pPr>
              <w:jc w:val="right"/>
              <w:ind w:right="841"/>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23"/>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Non-employee directors</w:t>
            </w:r>
          </w:p>
        </w:tc>
        <w:tc>
          <w:tcPr>
            <w:tcW w:w="1820" w:type="dxa"/>
            <w:vAlign w:val="bottom"/>
            <w:tcBorders>
              <w:bottom w:val="single" w:sz="8" w:color="006DB6"/>
            </w:tcBorders>
          </w:tcPr>
          <w:p>
            <w:pPr>
              <w:jc w:val="right"/>
              <w:ind w:right="161"/>
              <w:spacing w:after="0"/>
              <w:rPr>
                <w:sz w:val="20"/>
                <w:szCs w:val="20"/>
                <w:color w:val="auto"/>
              </w:rPr>
            </w:pPr>
            <w:r>
              <w:rPr>
                <w:rFonts w:ascii="Arial" w:cs="Arial" w:eastAsia="Arial" w:hAnsi="Arial"/>
                <w:sz w:val="14"/>
                <w:szCs w:val="14"/>
                <w:b w:val="1"/>
                <w:bCs w:val="1"/>
                <w:color w:val="706F6F"/>
              </w:rPr>
              <w:t>Target Ownership</w:t>
            </w:r>
          </w:p>
        </w:tc>
        <w:tc>
          <w:tcPr>
            <w:tcW w:w="14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720" w:type="dxa"/>
            <w:vAlign w:val="bottom"/>
            <w:tcBorders>
              <w:bottom w:val="single" w:sz="8" w:color="006DB6"/>
            </w:tcBorders>
          </w:tcPr>
          <w:p>
            <w:pPr>
              <w:spacing w:after="0"/>
              <w:rPr>
                <w:sz w:val="19"/>
                <w:szCs w:val="19"/>
                <w:color w:val="auto"/>
              </w:rPr>
            </w:pPr>
          </w:p>
        </w:tc>
        <w:tc>
          <w:tcPr>
            <w:tcW w:w="5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Y/N</w:t>
            </w:r>
          </w:p>
        </w:tc>
      </w:tr>
      <w:tr>
        <w:trPr>
          <w:trHeight w:val="23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18,678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36,848</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18,678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28,924</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14,806</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5,610</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94"/>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18,678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90,293</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14,806</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5,610</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94"/>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18,678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29,867</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18,678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28,965</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b w:val="1"/>
                <w:bCs w:val="1"/>
                <w:color w:val="006DB6"/>
              </w:rPr>
              <w:t>Timothy O. Wall</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12,311</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20,982</w:t>
            </w:r>
          </w:p>
        </w:tc>
        <w:tc>
          <w:tcPr>
            <w:tcW w:w="720" w:type="dxa"/>
            <w:vAlign w:val="bottom"/>
          </w:tcPr>
          <w:p>
            <w:pPr>
              <w:spacing w:after="0"/>
              <w:rPr>
                <w:sz w:val="20"/>
                <w:szCs w:val="20"/>
                <w:color w:val="auto"/>
              </w:rPr>
            </w:pPr>
          </w:p>
        </w:tc>
        <w:tc>
          <w:tcPr>
            <w:tcW w:w="560" w:type="dxa"/>
            <w:vAlign w:val="bottom"/>
          </w:tcPr>
          <w:p>
            <w:pPr>
              <w:jc w:val="right"/>
              <w:ind w:right="141"/>
              <w:spacing w:after="0"/>
              <w:rPr>
                <w:sz w:val="20"/>
                <w:szCs w:val="20"/>
                <w:color w:val="auto"/>
              </w:rPr>
            </w:pPr>
            <w:r>
              <w:rPr>
                <w:rFonts w:ascii="Arial" w:cs="Arial" w:eastAsia="Arial" w:hAnsi="Arial"/>
                <w:sz w:val="16"/>
                <w:szCs w:val="16"/>
                <w:color w:val="auto"/>
              </w:rPr>
              <w:t>Yes</w:t>
            </w:r>
          </w:p>
        </w:tc>
      </w:tr>
      <w:tr>
        <w:trPr>
          <w:trHeight w:val="283"/>
        </w:trPr>
        <w:tc>
          <w:tcPr>
            <w:tcW w:w="6700" w:type="dxa"/>
            <w:vAlign w:val="bottom"/>
          </w:tcPr>
          <w:p>
            <w:pPr>
              <w:ind w:left="340"/>
              <w:spacing w:after="0"/>
              <w:rPr>
                <w:sz w:val="20"/>
                <w:szCs w:val="20"/>
                <w:color w:val="auto"/>
              </w:rPr>
            </w:pPr>
            <w:r>
              <w:rPr>
                <w:rFonts w:ascii="Arial" w:cs="Arial" w:eastAsia="Arial" w:hAnsi="Arial"/>
                <w:sz w:val="14"/>
                <w:szCs w:val="14"/>
                <w:color w:val="auto"/>
              </w:rPr>
              <w:t>*    Within grace period for compliance.</w:t>
            </w: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5"/>
        </w:trPr>
        <w:tc>
          <w:tcPr>
            <w:tcW w:w="6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60" w:type="dxa"/>
            <w:vAlign w:val="bottom"/>
            <w:gridSpan w:val="2"/>
          </w:tcPr>
          <w:p>
            <w:pPr>
              <w:ind w:left="740"/>
              <w:spacing w:after="0"/>
              <w:rPr>
                <w:sz w:val="20"/>
                <w:szCs w:val="20"/>
                <w:color w:val="auto"/>
              </w:rPr>
            </w:pPr>
            <w:r>
              <w:rPr>
                <w:rFonts w:ascii="Arial" w:cs="Arial" w:eastAsia="Arial" w:hAnsi="Arial"/>
                <w:sz w:val="14"/>
                <w:szCs w:val="14"/>
                <w:color w:val="auto"/>
              </w:rPr>
              <w:t>2022 Proxy Statement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bl>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45"/>
          <w:szCs w:val="45"/>
          <w:b w:val="1"/>
          <w:bCs w:val="1"/>
          <w:color w:val="006DB6"/>
        </w:rPr>
        <w:t>Executive Officers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97790</wp:posOffset>
            </wp:positionV>
            <wp:extent cx="5837555" cy="6172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37555" cy="617220"/>
                    </a:xfrm>
                    <a:prstGeom prst="rect">
                      <a:avLst/>
                    </a:prstGeom>
                    <a:noFill/>
                  </pic:spPr>
                </pic:pic>
              </a:graphicData>
            </a:graphic>
          </wp:anchor>
        </w:drawing>
      </w:r>
    </w:p>
    <w:p>
      <w:pPr>
        <w:spacing w:after="0" w:line="353"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Bradley J. Dodson, </w:t>
      </w:r>
      <w:r>
        <w:rPr>
          <w:rFonts w:ascii="Arial" w:cs="Arial" w:eastAsia="Arial" w:hAnsi="Arial"/>
          <w:sz w:val="25"/>
          <w:szCs w:val="25"/>
          <w:color w:val="006DB6"/>
        </w:rPr>
        <w:t>48</w:t>
      </w:r>
    </w:p>
    <w:p>
      <w:pPr>
        <w:spacing w:after="0" w:line="3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267970</wp:posOffset>
            </wp:positionV>
            <wp:extent cx="951230" cy="9512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2060" w:right="80"/>
        <w:spacing w:after="0" w:line="249" w:lineRule="auto"/>
        <w:rPr>
          <w:sz w:val="20"/>
          <w:szCs w:val="20"/>
          <w:color w:val="auto"/>
        </w:rPr>
      </w:pPr>
      <w:r>
        <w:rPr>
          <w:rFonts w:ascii="Arial" w:cs="Arial" w:eastAsia="Arial" w:hAnsi="Arial"/>
          <w:sz w:val="16"/>
          <w:szCs w:val="16"/>
          <w:color w:val="706F6F"/>
        </w:rPr>
        <w:t>Bradley J. Dodson has been President and Chief Executive Officer and director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77" w:lineRule="exact"/>
        <w:rPr>
          <w:sz w:val="20"/>
          <w:szCs w:val="20"/>
          <w:color w:val="auto"/>
        </w:rPr>
      </w:pPr>
    </w:p>
    <w:p>
      <w:pPr>
        <w:ind w:left="2060" w:right="780"/>
        <w:spacing w:after="0" w:line="286" w:lineRule="auto"/>
        <w:rPr>
          <w:sz w:val="20"/>
          <w:szCs w:val="20"/>
          <w:color w:val="auto"/>
        </w:rPr>
      </w:pPr>
      <w:r>
        <w:rPr>
          <w:rFonts w:ascii="Arial" w:cs="Arial" w:eastAsia="Arial" w:hAnsi="Arial"/>
          <w:sz w:val="16"/>
          <w:szCs w:val="16"/>
          <w:color w:val="706F6F"/>
        </w:rPr>
        <w:t>Mr. Dodson holds a M.B.A. degree from The University of Texas at Austin and a B.A. degree in economics from Duke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588010</wp:posOffset>
            </wp:positionV>
            <wp:extent cx="5837555" cy="6172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375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Carolyn J. Stone, </w:t>
      </w:r>
      <w:r>
        <w:rPr>
          <w:rFonts w:ascii="Arial" w:cs="Arial" w:eastAsia="Arial" w:hAnsi="Arial"/>
          <w:sz w:val="25"/>
          <w:szCs w:val="25"/>
          <w:color w:val="006DB6"/>
        </w:rPr>
        <w:t>49</w:t>
      </w:r>
    </w:p>
    <w:p>
      <w:pPr>
        <w:spacing w:after="0" w:line="3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Senior Vice President, Chief Financial Officer and Treasurer</w:t>
      </w:r>
    </w:p>
    <w:p>
      <w:pPr>
        <w:spacing w:after="0" w:line="200" w:lineRule="exact"/>
        <w:rPr>
          <w:sz w:val="20"/>
          <w:szCs w:val="20"/>
          <w:color w:val="auto"/>
        </w:rPr>
      </w:pPr>
    </w:p>
    <w:p>
      <w:pPr>
        <w:spacing w:after="0" w:line="275"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2060"/>
        <w:spacing w:after="0" w:line="248" w:lineRule="auto"/>
        <w:rPr>
          <w:sz w:val="20"/>
          <w:szCs w:val="20"/>
          <w:color w:val="auto"/>
        </w:rPr>
      </w:pPr>
      <w:r>
        <w:rPr>
          <w:rFonts w:ascii="Arial" w:cs="Arial" w:eastAsia="Arial" w:hAnsi="Arial"/>
          <w:sz w:val="16"/>
          <w:szCs w:val="16"/>
          <w:color w:val="auto"/>
        </w:rPr>
        <w:t>Carolyn J. Stone has been Senior Vice President, Chief Financial Officer and Treasurer of Civeo since November 2019. Prior to her appointment, Carolyn served as Chief Accounting Officer since May 2019 and Vice President, Controller and Corporate Secretary of Civeo since May 2014. From April 2014 to May 2014, Ms. Stone was a consultant to Oil States. Ms. Stone served as Executive Vice President and Chief Financial Officer of Synagro Technologies Inc ("Synagro") from March 2012 to September 2013. In April 2013, Synagro and various affiliates filed for bankruptcy under Chapter 11 of the U.S. Bankruptcy Code. Prior to joining Synagro, Ms. Stone was at Dynegy Inc. from November 2001 until March 2012. She served as Senior Vice President and Chief Accounting Officer of Dynegy Inc. from July 2011 and Senior Vice President and Treasurer from March 2009 until July 2011. From November 2001 until March 2009, Ms. Stone held positions of increasing responsibility within the accounting department at Dynegy. Prior to joining Dynegy, Ms. Stone served in the accounting and auditing practice at PricewaterhouseCoopers LLP from 1995 to 2001.</w:t>
      </w:r>
    </w:p>
    <w:p>
      <w:pPr>
        <w:spacing w:after="0" w:line="81" w:lineRule="exact"/>
        <w:rPr>
          <w:sz w:val="20"/>
          <w:szCs w:val="20"/>
          <w:color w:val="auto"/>
        </w:rPr>
      </w:pPr>
    </w:p>
    <w:p>
      <w:pPr>
        <w:ind w:left="2060" w:right="300"/>
        <w:spacing w:after="0" w:line="286" w:lineRule="auto"/>
        <w:rPr>
          <w:sz w:val="20"/>
          <w:szCs w:val="20"/>
          <w:color w:val="auto"/>
        </w:rPr>
      </w:pPr>
      <w:r>
        <w:rPr>
          <w:rFonts w:ascii="Arial" w:cs="Arial" w:eastAsia="Arial" w:hAnsi="Arial"/>
          <w:sz w:val="16"/>
          <w:szCs w:val="16"/>
          <w:color w:val="auto"/>
        </w:rPr>
        <w:t>Ms. Stone received a Bachelor of Business Administration degree and a Master of Professional Accounting degree from the University of Texas. She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862330</wp:posOffset>
            </wp:positionV>
            <wp:extent cx="394335"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220"/>
          </w:cols>
          <w:pgMar w:left="320" w:top="969"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006DB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389255</wp:posOffset>
            </wp:positionV>
            <wp:extent cx="5837555" cy="6172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375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40"/>
        <w:spacing w:after="0"/>
        <w:rPr>
          <w:sz w:val="20"/>
          <w:szCs w:val="20"/>
          <w:color w:val="auto"/>
        </w:rPr>
      </w:pPr>
      <w:r>
        <w:rPr>
          <w:rFonts w:ascii="Arial" w:cs="Arial" w:eastAsia="Arial" w:hAnsi="Arial"/>
          <w:sz w:val="25"/>
          <w:szCs w:val="25"/>
          <w:b w:val="1"/>
          <w:bCs w:val="1"/>
          <w:color w:val="006DB6"/>
        </w:rPr>
        <w:t xml:space="preserve">Peter L. McCann, </w:t>
      </w:r>
      <w:r>
        <w:rPr>
          <w:rFonts w:ascii="Arial" w:cs="Arial" w:eastAsia="Arial" w:hAnsi="Arial"/>
          <w:sz w:val="25"/>
          <w:szCs w:val="25"/>
          <w:color w:val="006DB6"/>
        </w:rPr>
        <w:t>53</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6"/>
          <w:szCs w:val="16"/>
          <w:color w:val="706F6F"/>
        </w:rPr>
        <w:t>Senior Vice President,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-100330</wp:posOffset>
            </wp:positionV>
            <wp:extent cx="951230" cy="8915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jc w:val="both"/>
        <w:ind w:left="940" w:right="140"/>
        <w:spacing w:after="0" w:line="252" w:lineRule="auto"/>
        <w:rPr>
          <w:sz w:val="20"/>
          <w:szCs w:val="20"/>
          <w:color w:val="auto"/>
        </w:rPr>
      </w:pPr>
      <w:r>
        <w:rPr>
          <w:rFonts w:ascii="Arial" w:cs="Arial" w:eastAsia="Arial" w:hAnsi="Arial"/>
          <w:sz w:val="16"/>
          <w:szCs w:val="16"/>
          <w:color w:val="auto"/>
        </w:rPr>
        <w:t>Peter L. McCann has served as Senior Vice President, Australia since June 2014. Mr. McCann was Managing Director of The MAC, a wholly owned subsidiary of Civeo, from June 2012 to June 2014. From January 2010 through June 2012, Mr. McCann was the Executive General Manager, Finance for The MAC. From 2004 to 2010, Mr. McCann served as Chief Financial Officer of Royal Wolf Trading.</w:t>
      </w:r>
    </w:p>
    <w:p>
      <w:pPr>
        <w:spacing w:after="0" w:line="7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Mr. McCann holds a Bachelor of Commerce degree in accountancy from the University of New South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192405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432435</wp:posOffset>
            </wp:positionV>
            <wp:extent cx="5837555" cy="6172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375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40"/>
        <w:spacing w:after="0"/>
        <w:rPr>
          <w:sz w:val="20"/>
          <w:szCs w:val="20"/>
          <w:color w:val="auto"/>
        </w:rPr>
      </w:pPr>
      <w:r>
        <w:rPr>
          <w:rFonts w:ascii="Arial" w:cs="Arial" w:eastAsia="Arial" w:hAnsi="Arial"/>
          <w:sz w:val="25"/>
          <w:szCs w:val="25"/>
          <w:b w:val="1"/>
          <w:bCs w:val="1"/>
          <w:color w:val="006DB6"/>
        </w:rPr>
        <w:t xml:space="preserve">Allan D. Schoening, </w:t>
      </w:r>
      <w:r>
        <w:rPr>
          <w:rFonts w:ascii="Arial" w:cs="Arial" w:eastAsia="Arial" w:hAnsi="Arial"/>
          <w:sz w:val="25"/>
          <w:szCs w:val="25"/>
          <w:color w:val="006DB6"/>
        </w:rPr>
        <w:t>63</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6"/>
          <w:szCs w:val="16"/>
          <w:color w:val="706F6F"/>
        </w:rPr>
        <w:t>Senior Vice President, Canada</w:t>
      </w:r>
    </w:p>
    <w:p>
      <w:pPr>
        <w:spacing w:after="0" w:line="200" w:lineRule="exact"/>
        <w:rPr>
          <w:sz w:val="20"/>
          <w:szCs w:val="20"/>
          <w:color w:val="auto"/>
        </w:rPr>
      </w:pPr>
    </w:p>
    <w:p>
      <w:pPr>
        <w:spacing w:after="0" w:line="275"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706F6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-73025</wp:posOffset>
            </wp:positionV>
            <wp:extent cx="951230" cy="8915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1" w:lineRule="exact"/>
        <w:rPr>
          <w:sz w:val="20"/>
          <w:szCs w:val="20"/>
          <w:color w:val="auto"/>
        </w:rPr>
      </w:pPr>
    </w:p>
    <w:p>
      <w:pPr>
        <w:ind w:left="940" w:right="40"/>
        <w:spacing w:after="0" w:line="248" w:lineRule="auto"/>
        <w:rPr>
          <w:sz w:val="20"/>
          <w:szCs w:val="20"/>
          <w:color w:val="auto"/>
        </w:rPr>
      </w:pPr>
      <w:r>
        <w:rPr>
          <w:rFonts w:ascii="Arial" w:cs="Arial" w:eastAsia="Arial" w:hAnsi="Arial"/>
          <w:sz w:val="16"/>
          <w:szCs w:val="16"/>
          <w:color w:val="auto"/>
        </w:rPr>
        <w:t>Allan D. Schoening has served as Senior Vice President, Canada since November 2018. Prior to his appointment, Mr. Schoening served as Senior Vice 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w:t>
      </w:r>
    </w:p>
    <w:p>
      <w:pPr>
        <w:spacing w:after="0" w:line="27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Mr. Schoening holds a B.A., Psychology (Spec.) from the University of Alberta.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372110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814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bl>
    <w:p>
      <w:pPr>
        <w:sectPr>
          <w:pgSz w:w="11900" w:h="16838" w:orient="portrait"/>
          <w:cols w:equalWidth="0" w:num="1">
            <w:col w:w="10120"/>
          </w:cols>
          <w:pgMar w:left="1440" w:top="125" w:right="339" w:bottom="1440" w:gutter="0" w:footer="0" w:header="0"/>
        </w:sectPr>
      </w:pPr>
    </w:p>
    <w:bookmarkStart w:id="35" w:name="page36"/>
    <w:bookmarkEnd w:id="35"/>
    <w:p>
      <w:pPr>
        <w:spacing w:after="0"/>
        <w:rPr>
          <w:sz w:val="20"/>
          <w:szCs w:val="20"/>
          <w:color w:val="auto"/>
        </w:rPr>
      </w:pPr>
      <w:r>
        <w:rPr>
          <w:rFonts w:ascii="Arial" w:cs="Arial" w:eastAsia="Arial" w:hAnsi="Arial"/>
          <w:sz w:val="45"/>
          <w:szCs w:val="45"/>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4800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2</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We are asking that you vote for approval, on an advisory basis, of the compensation of our named executive officers as disclosed in this proxy statement, commonly referred to as a “Say-on-Pay” proposal. As approved by our shareholders at the 2021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2023 annual meeting of shareholders.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are requesting your nonbinding vote on the following resolution:</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“RESOLVED, that the shareholders approve, on a non-binding, advisory basis, the compensation of Civeo’s named executive officers as disclosed in Civeo’s proxy statement for its 2022 annual general meeting of shareholders, pursuant to Item 402 of Regulation S-K, including the Compensation Discussion and Analysis, the executive compensation tables and the accompanying narrative discussion.”</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668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22" w:lineRule="exact"/>
        <w:rPr>
          <w:sz w:val="20"/>
          <w:szCs w:val="20"/>
          <w:color w:val="auto"/>
        </w:rPr>
      </w:pPr>
    </w:p>
    <w:p>
      <w:pPr>
        <w:jc w:val="both"/>
        <w:ind w:left="160" w:right="160"/>
        <w:spacing w:after="0" w:line="266" w:lineRule="auto"/>
        <w:rPr>
          <w:sz w:val="20"/>
          <w:szCs w:val="20"/>
          <w:color w:val="auto"/>
        </w:rPr>
      </w:pPr>
      <w:r>
        <w:rPr>
          <w:rFonts w:ascii="Arial" w:cs="Arial" w:eastAsia="Arial" w:hAnsi="Arial"/>
          <w:sz w:val="16"/>
          <w:szCs w:val="16"/>
          <w:color w:val="auto"/>
        </w:rPr>
        <w:t>Civeo’s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580390</wp:posOffset>
            </wp:positionV>
            <wp:extent cx="394335" cy="1974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240"/>
          </w:cols>
          <w:pgMar w:left="320" w:top="96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13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("NEO") for 2021. Our NEOs for 2021 were:</w:t>
      </w:r>
    </w:p>
    <w:p>
      <w:pPr>
        <w:spacing w:after="0" w:line="198"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Bradley J. Dodson, President and Chief Executive Officer;</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Carolyn J. Stone, Senior Vice President, Chief Financial Officer and Treasurer;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Peter L. McCann, Senior Vice President, Australia;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Allan D. Schoening, Senior Vice President, Canada.</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Executive Overview</w:t>
      </w:r>
    </w:p>
    <w:p>
      <w:pPr>
        <w:spacing w:after="0" w:line="11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2021 was a pivotal year for Civeo as we made significant progress against our strategic goals and improved our financial position with continued strong free cash flow generation, marking a promising recovery from the impact of COVID-19 and a successful navigation through a challenging economic landscape. We are extremely proud of the entire Civeo team for their dedication and perseverance that helped us make 2021 a strong year for the company, despite the ongoing pandemic-related headwinds.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2021, we stayed focused on our operational, strategic and financial priorities: operating safely, generating significant operating cash flow and reducing our total debt balance. For the full year 2021, Civeo generated $94 million in Adjusted Operating Cash Flow and reduced total debt by $76 million to end the year at $175 million of total debt. We also reduced our net leverage ratio to 1.49x at year-end 2021, down from 2.06x at year-end 2020.</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Specific 2021 Accomplishments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From an operational standpoint, the Company’s primary focus in 2021 was, and continues to be, the safety and wellbeing of our guests and employees.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Operationally, Mr. Dodson and our global leadership team’s effective operations in a dynamic environment included the following:</w:t>
      </w:r>
    </w:p>
    <w:p>
      <w:pPr>
        <w:spacing w:after="0" w:line="9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6"/>
          <w:szCs w:val="16"/>
          <w:color w:val="006DB6"/>
        </w:rPr>
      </w:pPr>
      <w:r>
        <w:rPr>
          <w:rFonts w:ascii="Arial" w:cs="Arial" w:eastAsia="Arial" w:hAnsi="Arial"/>
          <w:sz w:val="16"/>
          <w:szCs w:val="16"/>
          <w:color w:val="auto"/>
        </w:rPr>
        <w:t>Continued to safely and profitably execute on the Company’s contracts related to LNGC Canada and Coastal Gaslink Pipeline projects;</w:t>
      </w:r>
    </w:p>
    <w:p>
      <w:pPr>
        <w:spacing w:after="0" w:line="72" w:lineRule="exact"/>
        <w:rPr>
          <w:rFonts w:ascii="Arial" w:cs="Arial" w:eastAsia="Arial" w:hAnsi="Arial"/>
          <w:sz w:val="16"/>
          <w:szCs w:val="16"/>
          <w:color w:val="006DB6"/>
        </w:rPr>
      </w:pPr>
    </w:p>
    <w:p>
      <w:pPr>
        <w:ind w:left="200" w:right="260" w:hanging="192"/>
        <w:spacing w:after="0" w:line="286" w:lineRule="auto"/>
        <w:tabs>
          <w:tab w:leader="none" w:pos="170" w:val="left"/>
        </w:tabs>
        <w:numPr>
          <w:ilvl w:val="0"/>
          <w:numId w:val="31"/>
        </w:numPr>
        <w:rPr>
          <w:rFonts w:ascii="Arial" w:cs="Arial" w:eastAsia="Arial" w:hAnsi="Arial"/>
          <w:sz w:val="16"/>
          <w:szCs w:val="16"/>
          <w:color w:val="006DB6"/>
        </w:rPr>
      </w:pPr>
      <w:r>
        <w:rPr>
          <w:rFonts w:ascii="Arial" w:cs="Arial" w:eastAsia="Arial" w:hAnsi="Arial"/>
          <w:sz w:val="16"/>
          <w:szCs w:val="16"/>
          <w:color w:val="auto"/>
        </w:rPr>
        <w:t>Continued strong safety performance across all regions, resulting in a full year aggregate Total Recordable Incident Rate ("TRIR") of 0.42, compared to 0.45 in 2020; and</w:t>
      </w:r>
    </w:p>
    <w:p>
      <w:pPr>
        <w:spacing w:after="0" w:line="47" w:lineRule="exact"/>
        <w:rPr>
          <w:rFonts w:ascii="Arial" w:cs="Arial" w:eastAsia="Arial" w:hAnsi="Arial"/>
          <w:sz w:val="16"/>
          <w:szCs w:val="16"/>
          <w:color w:val="006DB6"/>
        </w:rPr>
      </w:pPr>
    </w:p>
    <w:p>
      <w:pPr>
        <w:ind w:left="180" w:hanging="172"/>
        <w:spacing w:after="0"/>
        <w:tabs>
          <w:tab w:leader="none" w:pos="180" w:val="left"/>
        </w:tabs>
        <w:numPr>
          <w:ilvl w:val="0"/>
          <w:numId w:val="31"/>
        </w:numPr>
        <w:rPr>
          <w:rFonts w:ascii="Arial" w:cs="Arial" w:eastAsia="Arial" w:hAnsi="Arial"/>
          <w:sz w:val="16"/>
          <w:szCs w:val="16"/>
          <w:color w:val="006DB6"/>
        </w:rPr>
      </w:pPr>
      <w:r>
        <w:rPr>
          <w:rFonts w:ascii="Arial" w:cs="Arial" w:eastAsia="Arial" w:hAnsi="Arial"/>
          <w:sz w:val="16"/>
          <w:szCs w:val="16"/>
          <w:color w:val="auto"/>
        </w:rPr>
        <w:t>Maintained global protocols to mitigate the transmission of the COVID-19 virus in our locations.</w:t>
      </w:r>
    </w:p>
    <w:p>
      <w:pPr>
        <w:spacing w:after="0" w:line="100"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The Company’s strategic and financial focus remained the same in 2021 as it was in 2020: continue to focus on operating cash flow generation and debt reduction. Significant financial achievements in 2021 included:</w:t>
      </w:r>
    </w:p>
    <w:p>
      <w:pPr>
        <w:spacing w:after="0" w:line="48"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6"/>
          <w:szCs w:val="16"/>
          <w:color w:val="006DB6"/>
        </w:rPr>
      </w:pPr>
      <w:r>
        <w:rPr>
          <w:rFonts w:ascii="Arial" w:cs="Arial" w:eastAsia="Arial" w:hAnsi="Arial"/>
          <w:sz w:val="16"/>
          <w:szCs w:val="16"/>
          <w:color w:val="auto"/>
        </w:rPr>
        <w:t>Generated $94 million of Adjusted Operating Cash Flow, which represents 114.9% of the Company's consolidated Adjusted Operating Cash Flow budget;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32"/>
        </w:numPr>
        <w:rPr>
          <w:rFonts w:ascii="Arial" w:cs="Arial" w:eastAsia="Arial" w:hAnsi="Arial"/>
          <w:sz w:val="16"/>
          <w:szCs w:val="16"/>
          <w:color w:val="006DB6"/>
        </w:rPr>
      </w:pPr>
      <w:r>
        <w:rPr>
          <w:rFonts w:ascii="Arial" w:cs="Arial" w:eastAsia="Arial" w:hAnsi="Arial"/>
          <w:sz w:val="16"/>
          <w:szCs w:val="16"/>
          <w:color w:val="auto"/>
        </w:rPr>
        <w:t>Reduced total debt by $76 million;</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32"/>
        </w:numPr>
        <w:rPr>
          <w:rFonts w:ascii="Arial" w:cs="Arial" w:eastAsia="Arial" w:hAnsi="Arial"/>
          <w:sz w:val="16"/>
          <w:szCs w:val="16"/>
          <w:color w:val="006DB6"/>
        </w:rPr>
      </w:pPr>
      <w:r>
        <w:rPr>
          <w:rFonts w:ascii="Arial" w:cs="Arial" w:eastAsia="Arial" w:hAnsi="Arial"/>
          <w:sz w:val="16"/>
          <w:szCs w:val="16"/>
          <w:color w:val="auto"/>
        </w:rPr>
        <w:t>Decreased our net leverage ratio to 1.49 times at December 31, 2021 from 2.06 times at December 31, 2020;</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32"/>
        </w:numPr>
        <w:rPr>
          <w:rFonts w:ascii="Arial" w:cs="Arial" w:eastAsia="Arial" w:hAnsi="Arial"/>
          <w:sz w:val="16"/>
          <w:szCs w:val="16"/>
          <w:color w:val="006DB6"/>
        </w:rPr>
      </w:pPr>
      <w:r>
        <w:rPr>
          <w:rFonts w:ascii="Arial" w:cs="Arial" w:eastAsia="Arial" w:hAnsi="Arial"/>
          <w:sz w:val="16"/>
          <w:szCs w:val="16"/>
          <w:color w:val="auto"/>
        </w:rPr>
        <w:t>Successfully pursued asset disposal opportunities to supplement operating cash flow in Canada and the US;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32"/>
        </w:numPr>
        <w:rPr>
          <w:rFonts w:ascii="Arial" w:cs="Arial" w:eastAsia="Arial" w:hAnsi="Arial"/>
          <w:sz w:val="16"/>
          <w:szCs w:val="16"/>
          <w:color w:val="006DB6"/>
        </w:rPr>
      </w:pPr>
      <w:r>
        <w:rPr>
          <w:rFonts w:ascii="Arial" w:cs="Arial" w:eastAsia="Arial" w:hAnsi="Arial"/>
          <w:sz w:val="16"/>
          <w:szCs w:val="16"/>
          <w:color w:val="auto"/>
        </w:rPr>
        <w:t>Secured key client contract extensions in Canada, which included increased room rates;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32"/>
        </w:numPr>
        <w:rPr>
          <w:rFonts w:ascii="Arial" w:cs="Arial" w:eastAsia="Arial" w:hAnsi="Arial"/>
          <w:sz w:val="16"/>
          <w:szCs w:val="16"/>
          <w:color w:val="006DB6"/>
        </w:rPr>
      </w:pPr>
      <w:r>
        <w:rPr>
          <w:rFonts w:ascii="Arial" w:cs="Arial" w:eastAsia="Arial" w:hAnsi="Arial"/>
          <w:sz w:val="16"/>
          <w:szCs w:val="16"/>
          <w:color w:val="auto"/>
        </w:rPr>
        <w:t>Replaced and refinanced existing credit agreement, extending maturity to September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Approach to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Governance</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keeping with our commitment to strong governance standards across our business, our executive compensation governance framework is built around the following:</w:t>
      </w:r>
    </w:p>
    <w:p>
      <w:pPr>
        <w:spacing w:after="0" w:line="48" w:lineRule="exact"/>
        <w:rPr>
          <w:sz w:val="20"/>
          <w:szCs w:val="20"/>
          <w:color w:val="auto"/>
        </w:rPr>
      </w:pPr>
    </w:p>
    <w:p>
      <w:pPr>
        <w:ind w:left="200" w:right="440" w:hanging="192"/>
        <w:spacing w:after="0" w:line="266" w:lineRule="auto"/>
        <w:tabs>
          <w:tab w:leader="none" w:pos="170" w:val="left"/>
        </w:tabs>
        <w:numPr>
          <w:ilvl w:val="0"/>
          <w:numId w:val="33"/>
        </w:numPr>
        <w:rPr>
          <w:rFonts w:ascii="Arial" w:cs="Arial" w:eastAsia="Arial" w:hAnsi="Arial"/>
          <w:sz w:val="16"/>
          <w:szCs w:val="16"/>
          <w:color w:val="006DB6"/>
        </w:rPr>
      </w:pPr>
      <w:r>
        <w:rPr>
          <w:rFonts w:ascii="Arial" w:cs="Arial" w:eastAsia="Arial" w:hAnsi="Arial"/>
          <w:sz w:val="16"/>
          <w:szCs w:val="16"/>
          <w:color w:val="auto"/>
        </w:rPr>
        <w:t>A Compensation Committee comprised of individuals with deep relevant business experience, all of whom have served previously as chief executive officers of energy or real estate related companies or as executives at hospitality companies. All members of the Compensation Committee are independent in accordance with NYSE listing standards;</w:t>
      </w:r>
    </w:p>
    <w:p>
      <w:pPr>
        <w:spacing w:after="0" w:line="22" w:lineRule="exact"/>
        <w:rPr>
          <w:rFonts w:ascii="Arial" w:cs="Arial" w:eastAsia="Arial" w:hAnsi="Arial"/>
          <w:sz w:val="16"/>
          <w:szCs w:val="16"/>
          <w:color w:val="006DB6"/>
        </w:rPr>
      </w:pPr>
    </w:p>
    <w:p>
      <w:pPr>
        <w:ind w:left="200" w:right="40" w:hanging="192"/>
        <w:spacing w:after="0" w:line="266" w:lineRule="auto"/>
        <w:tabs>
          <w:tab w:leader="none" w:pos="170" w:val="left"/>
        </w:tabs>
        <w:numPr>
          <w:ilvl w:val="0"/>
          <w:numId w:val="33"/>
        </w:numPr>
        <w:rPr>
          <w:rFonts w:ascii="Arial" w:cs="Arial" w:eastAsia="Arial" w:hAnsi="Arial"/>
          <w:sz w:val="16"/>
          <w:szCs w:val="16"/>
          <w:color w:val="006DB6"/>
        </w:rPr>
      </w:pPr>
      <w:r>
        <w:rPr>
          <w:rFonts w:ascii="Arial" w:cs="Arial" w:eastAsia="Arial" w:hAnsi="Arial"/>
          <w:sz w:val="16"/>
          <w:szCs w:val="16"/>
          <w:color w:val="auto"/>
        </w:rPr>
        <w:t>A clearly defined decision-making framework and delegation of authority that ensures all material compensation decisions for section 16 officers are made solely by the Compensation Committee, whose priority is to ensure our policies and procedures allow Civeo to attract, reward and retain executives who are focused on delivering long-term results for shareholders; and</w:t>
      </w:r>
    </w:p>
    <w:p>
      <w:pPr>
        <w:spacing w:after="0" w:line="22" w:lineRule="exact"/>
        <w:rPr>
          <w:rFonts w:ascii="Arial" w:cs="Arial" w:eastAsia="Arial" w:hAnsi="Arial"/>
          <w:sz w:val="16"/>
          <w:szCs w:val="16"/>
          <w:color w:val="006DB6"/>
        </w:rPr>
      </w:pPr>
    </w:p>
    <w:p>
      <w:pPr>
        <w:ind w:left="180" w:hanging="172"/>
        <w:spacing w:after="0"/>
        <w:tabs>
          <w:tab w:leader="none" w:pos="180" w:val="left"/>
        </w:tabs>
        <w:numPr>
          <w:ilvl w:val="0"/>
          <w:numId w:val="33"/>
        </w:numPr>
        <w:rPr>
          <w:rFonts w:ascii="Arial" w:cs="Arial" w:eastAsia="Arial" w:hAnsi="Arial"/>
          <w:sz w:val="16"/>
          <w:szCs w:val="16"/>
          <w:color w:val="006DB6"/>
        </w:rPr>
      </w:pPr>
      <w:r>
        <w:rPr>
          <w:rFonts w:ascii="Arial" w:cs="Arial" w:eastAsia="Arial" w:hAnsi="Arial"/>
          <w:sz w:val="16"/>
          <w:szCs w:val="16"/>
          <w:color w:val="auto"/>
        </w:rPr>
        <w:t>Clearly defined compensation policies structured to accommodate circumstances that are characteristic of a cyclical industry sector.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CEO and NEO Compensation Mix</w:t>
      </w:r>
    </w:p>
    <w:p>
      <w:pPr>
        <w:spacing w:after="0" w:line="9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This section outlines each of the components of our compensation program. Compensation decisions specific to our named executive officers for 2021 for each of these components are discussed in greater detail following this section.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3740" w:val="left"/>
          <w:tab w:leader="none" w:pos="7480" w:val="left"/>
        </w:tabs>
        <w:rPr>
          <w:sz w:val="20"/>
          <w:szCs w:val="20"/>
          <w:color w:val="auto"/>
        </w:rPr>
      </w:pPr>
      <w:r>
        <w:rPr>
          <w:rFonts w:ascii="Arial" w:cs="Arial" w:eastAsia="Arial" w:hAnsi="Arial"/>
          <w:sz w:val="14"/>
          <w:szCs w:val="14"/>
          <w:b w:val="1"/>
          <w:bCs w:val="1"/>
          <w:color w:val="706F6F"/>
        </w:rPr>
        <w:t>Base</w:t>
      </w:r>
      <w:r>
        <w:rPr>
          <w:sz w:val="20"/>
          <w:szCs w:val="20"/>
          <w:color w:val="auto"/>
        </w:rPr>
        <w:tab/>
      </w:r>
      <w:r>
        <w:rPr>
          <w:rFonts w:ascii="Arial" w:cs="Arial" w:eastAsia="Arial" w:hAnsi="Arial"/>
          <w:sz w:val="14"/>
          <w:szCs w:val="14"/>
          <w:b w:val="1"/>
          <w:bCs w:val="1"/>
          <w:color w:val="006DB6"/>
        </w:rPr>
        <w:t>Annual Incentive Compensation</w:t>
      </w:r>
      <w:r>
        <w:rPr>
          <w:sz w:val="20"/>
          <w:szCs w:val="20"/>
          <w:color w:val="auto"/>
        </w:rPr>
        <w:tab/>
      </w:r>
      <w:r>
        <w:rPr>
          <w:rFonts w:ascii="Arial" w:cs="Arial" w:eastAsia="Arial" w:hAnsi="Arial"/>
          <w:sz w:val="14"/>
          <w:szCs w:val="14"/>
          <w:b w:val="1"/>
          <w:bCs w:val="1"/>
          <w:color w:val="FFC03C"/>
        </w:rPr>
        <w:t>Long-Term</w:t>
      </w:r>
    </w:p>
    <w:p>
      <w:pPr>
        <w:spacing w:after="0" w:line="15" w:lineRule="exact"/>
        <w:rPr>
          <w:sz w:val="20"/>
          <w:szCs w:val="20"/>
          <w:color w:val="auto"/>
        </w:rPr>
      </w:pPr>
    </w:p>
    <w:p>
      <w:pPr>
        <w:ind w:left="20"/>
        <w:spacing w:after="0"/>
        <w:tabs>
          <w:tab w:leader="none" w:pos="3740" w:val="left"/>
          <w:tab w:leader="none" w:pos="7480" w:val="left"/>
        </w:tabs>
        <w:rPr>
          <w:sz w:val="20"/>
          <w:szCs w:val="20"/>
          <w:color w:val="auto"/>
        </w:rPr>
      </w:pPr>
      <w:r>
        <w:rPr>
          <w:rFonts w:ascii="Arial" w:cs="Arial" w:eastAsia="Arial" w:hAnsi="Arial"/>
          <w:sz w:val="14"/>
          <w:szCs w:val="14"/>
          <w:b w:val="1"/>
          <w:bCs w:val="1"/>
          <w:color w:val="706F6F"/>
        </w:rPr>
        <w:t>Salary</w:t>
      </w:r>
      <w:r>
        <w:rPr>
          <w:sz w:val="20"/>
          <w:szCs w:val="20"/>
          <w:color w:val="auto"/>
        </w:rPr>
        <w:tab/>
      </w:r>
      <w:r>
        <w:rPr>
          <w:rFonts w:ascii="Arial" w:cs="Arial" w:eastAsia="Arial" w:hAnsi="Arial"/>
          <w:sz w:val="14"/>
          <w:szCs w:val="14"/>
          <w:b w:val="1"/>
          <w:bCs w:val="1"/>
          <w:color w:val="006DB6"/>
        </w:rPr>
        <w:t>Plan ("AICP")</w:t>
      </w:r>
      <w:r>
        <w:rPr>
          <w:sz w:val="20"/>
          <w:szCs w:val="20"/>
          <w:color w:val="auto"/>
        </w:rPr>
        <w:tab/>
      </w:r>
      <w:r>
        <w:rPr>
          <w:rFonts w:ascii="Arial" w:cs="Arial" w:eastAsia="Arial" w:hAnsi="Arial"/>
          <w:sz w:val="14"/>
          <w:szCs w:val="14"/>
          <w:b w:val="1"/>
          <w:bCs w:val="1"/>
          <w:color w:val="FFC03C"/>
        </w:rPr>
        <w:t>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ind w:left="20"/>
        <w:spacing w:after="0" w:line="251" w:lineRule="auto"/>
        <w:rPr>
          <w:sz w:val="20"/>
          <w:szCs w:val="20"/>
          <w:color w:val="auto"/>
        </w:rPr>
      </w:pPr>
      <w:r>
        <w:rPr>
          <w:rFonts w:ascii="Arial" w:cs="Arial" w:eastAsia="Arial" w:hAnsi="Arial"/>
          <w:sz w:val="16"/>
          <w:szCs w:val="16"/>
          <w:color w:val="auto"/>
        </w:rPr>
        <w:t>Base salary recognizes the job being performed, executive seniority and tenure and the value of that job in the competitive market. Base salary must be sufficient to attract and retain the executive talent necessary for our success and provides an element of compensation that is not at risk to avoid fluctuations in compensation that could distract our executives from the performance of their responsibilities.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key objective of Civeo’s AICP is to reward the achievement of defined annual financial and safety objectives and to incentivize employee activities that will continually improve Civeo, both on a business unit and company-wide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577215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Civeo’s LTIP, established under the Equity Participation Plan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competitive and cyclical industry.</w:t>
      </w:r>
    </w:p>
    <w:p>
      <w:pPr>
        <w:spacing w:after="0" w:line="200" w:lineRule="exact"/>
        <w:rPr>
          <w:sz w:val="20"/>
          <w:szCs w:val="20"/>
          <w:color w:val="auto"/>
        </w:rPr>
      </w:pPr>
    </w:p>
    <w:p>
      <w:pPr>
        <w:sectPr>
          <w:pgSz w:w="11900" w:h="16838" w:orient="portrait"/>
          <w:cols w:equalWidth="0" w:num="3">
            <w:col w:w="3700" w:space="60"/>
            <w:col w:w="3640" w:space="100"/>
            <w:col w:w="3740"/>
          </w:cols>
          <w:pgMar w:left="320" w:top="125"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Our Variable Compensation Performance Metrics and Their Relation to Our Strategy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706F6F"/>
              </w:rPr>
              <w:t>Performance Metrics</w:t>
            </w:r>
          </w:p>
        </w:tc>
        <w:tc>
          <w:tcPr>
            <w:tcW w:w="9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706F6F"/>
              </w:rPr>
              <w:t>How The Performance Metrics Tie to Our Strategy</w:t>
            </w:r>
          </w:p>
        </w:tc>
        <w:tc>
          <w:tcPr>
            <w:tcW w:w="0" w:type="dxa"/>
            <w:vAlign w:val="bottom"/>
          </w:tcPr>
          <w:p>
            <w:pPr>
              <w:spacing w:after="0"/>
              <w:rPr>
                <w:sz w:val="1"/>
                <w:szCs w:val="1"/>
                <w:color w:val="auto"/>
              </w:rPr>
            </w:pPr>
          </w:p>
        </w:tc>
      </w:tr>
      <w:tr>
        <w:trPr>
          <w:trHeight w:val="196"/>
        </w:trPr>
        <w:tc>
          <w:tcPr>
            <w:tcW w:w="2100" w:type="dxa"/>
            <w:vAlign w:val="bottom"/>
          </w:tcPr>
          <w:p>
            <w:pPr>
              <w:ind w:left="20"/>
              <w:spacing w:after="0"/>
              <w:rPr>
                <w:sz w:val="20"/>
                <w:szCs w:val="20"/>
                <w:color w:val="auto"/>
              </w:rPr>
            </w:pPr>
            <w:r>
              <w:rPr>
                <w:rFonts w:ascii="Arial" w:cs="Arial" w:eastAsia="Arial" w:hAnsi="Arial"/>
                <w:sz w:val="16"/>
                <w:szCs w:val="16"/>
                <w:color w:val="auto"/>
              </w:rPr>
              <w:t>Consolidated Adjusted</w:t>
            </w:r>
          </w:p>
        </w:tc>
        <w:tc>
          <w:tcPr>
            <w:tcW w:w="9140" w:type="dxa"/>
            <w:vAlign w:val="bottom"/>
          </w:tcPr>
          <w:p>
            <w:pPr>
              <w:ind w:left="180"/>
              <w:spacing w:after="0"/>
              <w:rPr>
                <w:sz w:val="20"/>
                <w:szCs w:val="20"/>
                <w:color w:val="auto"/>
              </w:rPr>
            </w:pPr>
            <w:r>
              <w:rPr>
                <w:rFonts w:ascii="Arial" w:cs="Arial" w:eastAsia="Arial" w:hAnsi="Arial"/>
                <w:sz w:val="16"/>
                <w:szCs w:val="16"/>
                <w:color w:val="auto"/>
              </w:rPr>
              <w:t>Based in part on the feedback from our 2020 shareholder engagement efforts, in 2021, the Company altered its performance</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6"/>
                <w:szCs w:val="16"/>
                <w:color w:val="auto"/>
              </w:rPr>
              <w:t>Operating Cash Flow</w:t>
            </w:r>
          </w:p>
        </w:tc>
        <w:tc>
          <w:tcPr>
            <w:tcW w:w="9140" w:type="dxa"/>
            <w:vAlign w:val="bottom"/>
          </w:tcPr>
          <w:p>
            <w:pPr>
              <w:ind w:left="180"/>
              <w:spacing w:after="0"/>
              <w:rPr>
                <w:sz w:val="20"/>
                <w:szCs w:val="20"/>
                <w:color w:val="auto"/>
              </w:rPr>
            </w:pPr>
            <w:r>
              <w:rPr>
                <w:rFonts w:ascii="Arial" w:cs="Arial" w:eastAsia="Arial" w:hAnsi="Arial"/>
                <w:sz w:val="16"/>
                <w:szCs w:val="16"/>
                <w:color w:val="auto"/>
              </w:rPr>
              <w:t>goals utilized under the Company’s AICP. For 2021, the Company also used consolidated adjusted operating cash flow as a</w:t>
            </w:r>
          </w:p>
        </w:tc>
        <w:tc>
          <w:tcPr>
            <w:tcW w:w="0" w:type="dxa"/>
            <w:vAlign w:val="bottom"/>
          </w:tcPr>
          <w:p>
            <w:pPr>
              <w:spacing w:after="0"/>
              <w:rPr>
                <w:sz w:val="1"/>
                <w:szCs w:val="1"/>
                <w:color w:val="auto"/>
              </w:rPr>
            </w:pPr>
          </w:p>
        </w:tc>
      </w:tr>
      <w:tr>
        <w:trPr>
          <w:trHeight w:val="224"/>
        </w:trPr>
        <w:tc>
          <w:tcPr>
            <w:tcW w:w="2100" w:type="dxa"/>
            <w:vAlign w:val="bottom"/>
            <w:tcBorders>
              <w:bottom w:val="single" w:sz="8" w:color="auto"/>
            </w:tcBorders>
          </w:tcPr>
          <w:p>
            <w:pPr>
              <w:spacing w:after="0"/>
              <w:rPr>
                <w:sz w:val="19"/>
                <w:szCs w:val="19"/>
                <w:color w:val="auto"/>
              </w:rPr>
            </w:pPr>
          </w:p>
        </w:tc>
        <w:tc>
          <w:tcPr>
            <w:tcW w:w="91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financial metric under the AICP, given the Company’s current focus on generating cash flow and reducing leverage.</w:t>
            </w:r>
          </w:p>
        </w:tc>
        <w:tc>
          <w:tcPr>
            <w:tcW w:w="0" w:type="dxa"/>
            <w:vAlign w:val="bottom"/>
          </w:tcPr>
          <w:p>
            <w:pPr>
              <w:spacing w:after="0"/>
              <w:rPr>
                <w:sz w:val="1"/>
                <w:szCs w:val="1"/>
                <w:color w:val="auto"/>
              </w:rPr>
            </w:pPr>
          </w:p>
        </w:tc>
      </w:tr>
      <w:tr>
        <w:trPr>
          <w:trHeight w:val="202"/>
        </w:trPr>
        <w:tc>
          <w:tcPr>
            <w:tcW w:w="2100" w:type="dxa"/>
            <w:vAlign w:val="bottom"/>
          </w:tcPr>
          <w:p>
            <w:pPr>
              <w:ind w:left="20"/>
              <w:spacing w:after="0"/>
              <w:rPr>
                <w:sz w:val="20"/>
                <w:szCs w:val="20"/>
                <w:color w:val="auto"/>
              </w:rPr>
            </w:pPr>
            <w:r>
              <w:rPr>
                <w:rFonts w:ascii="Arial" w:cs="Arial" w:eastAsia="Arial" w:hAnsi="Arial"/>
                <w:sz w:val="16"/>
                <w:szCs w:val="16"/>
                <w:color w:val="auto"/>
              </w:rPr>
              <w:t>Relative Total Shareholder</w:t>
            </w:r>
          </w:p>
        </w:tc>
        <w:tc>
          <w:tcPr>
            <w:tcW w:w="9140" w:type="dxa"/>
            <w:vAlign w:val="bottom"/>
          </w:tcPr>
          <w:p>
            <w:pPr>
              <w:ind w:left="180"/>
              <w:spacing w:after="0"/>
              <w:rPr>
                <w:sz w:val="20"/>
                <w:szCs w:val="20"/>
                <w:color w:val="auto"/>
              </w:rPr>
            </w:pPr>
            <w:r>
              <w:rPr>
                <w:rFonts w:ascii="Arial" w:cs="Arial" w:eastAsia="Arial" w:hAnsi="Arial"/>
                <w:sz w:val="16"/>
                <w:szCs w:val="16"/>
                <w:color w:val="auto"/>
              </w:rPr>
              <w:t>Relative TSR is a valuable metric to assess performance against our peer group over a performance period. The intent is to</w:t>
            </w:r>
          </w:p>
        </w:tc>
        <w:tc>
          <w:tcPr>
            <w:tcW w:w="0" w:type="dxa"/>
            <w:vAlign w:val="bottom"/>
          </w:tcPr>
          <w:p>
            <w:pPr>
              <w:spacing w:after="0"/>
              <w:rPr>
                <w:sz w:val="1"/>
                <w:szCs w:val="1"/>
                <w:color w:val="auto"/>
              </w:rPr>
            </w:pPr>
          </w:p>
        </w:tc>
      </w:tr>
      <w:tr>
        <w:trPr>
          <w:trHeight w:val="224"/>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Return ("TSR")</w:t>
            </w:r>
          </w:p>
        </w:tc>
        <w:tc>
          <w:tcPr>
            <w:tcW w:w="91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better align executive pay with shareholder interests.</w:t>
            </w:r>
          </w:p>
        </w:tc>
        <w:tc>
          <w:tcPr>
            <w:tcW w:w="0" w:type="dxa"/>
            <w:vAlign w:val="bottom"/>
          </w:tcPr>
          <w:p>
            <w:pPr>
              <w:spacing w:after="0"/>
              <w:rPr>
                <w:sz w:val="1"/>
                <w:szCs w:val="1"/>
                <w:color w:val="auto"/>
              </w:rPr>
            </w:pPr>
          </w:p>
        </w:tc>
      </w:tr>
      <w:tr>
        <w:trPr>
          <w:trHeight w:val="228"/>
        </w:trPr>
        <w:tc>
          <w:tcPr>
            <w:tcW w:w="2100" w:type="dxa"/>
            <w:vAlign w:val="bottom"/>
          </w:tcPr>
          <w:p>
            <w:pPr>
              <w:ind w:left="20"/>
              <w:spacing w:after="0"/>
              <w:rPr>
                <w:sz w:val="20"/>
                <w:szCs w:val="20"/>
                <w:color w:val="auto"/>
              </w:rPr>
            </w:pPr>
            <w:r>
              <w:rPr>
                <w:rFonts w:ascii="Arial" w:cs="Arial" w:eastAsia="Arial" w:hAnsi="Arial"/>
                <w:sz w:val="16"/>
                <w:szCs w:val="16"/>
                <w:color w:val="auto"/>
              </w:rPr>
              <w:t>Divisional AICP EBITDA</w:t>
            </w:r>
          </w:p>
        </w:tc>
        <w:tc>
          <w:tcPr>
            <w:tcW w:w="9140" w:type="dxa"/>
            <w:vAlign w:val="bottom"/>
            <w:vMerge w:val="restart"/>
          </w:tcPr>
          <w:p>
            <w:pPr>
              <w:ind w:left="180"/>
              <w:spacing w:after="0"/>
              <w:rPr>
                <w:sz w:val="20"/>
                <w:szCs w:val="20"/>
                <w:color w:val="auto"/>
              </w:rPr>
            </w:pPr>
            <w:r>
              <w:rPr>
                <w:rFonts w:ascii="Arial" w:cs="Arial" w:eastAsia="Arial" w:hAnsi="Arial"/>
                <w:sz w:val="16"/>
                <w:szCs w:val="16"/>
                <w:color w:val="auto"/>
              </w:rPr>
              <w:t>AICP EBITDA is widely recognized as a primary valuation and comparable financial metric used in the industry and, for this</w:t>
            </w:r>
          </w:p>
        </w:tc>
        <w:tc>
          <w:tcPr>
            <w:tcW w:w="0" w:type="dxa"/>
            <w:vAlign w:val="bottom"/>
          </w:tcPr>
          <w:p>
            <w:pPr>
              <w:spacing w:after="0"/>
              <w:rPr>
                <w:sz w:val="1"/>
                <w:szCs w:val="1"/>
                <w:color w:val="auto"/>
              </w:rPr>
            </w:pPr>
          </w:p>
        </w:tc>
      </w:tr>
      <w:tr>
        <w:trPr>
          <w:trHeight w:val="82"/>
        </w:trPr>
        <w:tc>
          <w:tcPr>
            <w:tcW w:w="2100" w:type="dxa"/>
            <w:vAlign w:val="bottom"/>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6"/>
                <w:szCs w:val="16"/>
                <w:color w:val="auto"/>
              </w:rPr>
              <w:t>reason, was selected as an appropriate financial metric for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-1026795</wp:posOffset>
            </wp:positionV>
            <wp:extent cx="7132320" cy="17227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Recordable Incident Rate TRIR is a globally recognized measure of safety performance. Safety is one of Civeo's core values and therefore it is an</w:t>
      </w:r>
    </w:p>
    <w:p>
      <w:pPr>
        <w:spacing w:after="0" w:line="21"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6"/>
          <w:szCs w:val="16"/>
          <w:color w:val="auto"/>
        </w:rPr>
        <w:t>("TRIR")</w:t>
      </w:r>
      <w:r>
        <w:rPr>
          <w:sz w:val="20"/>
          <w:szCs w:val="20"/>
          <w:color w:val="auto"/>
        </w:rPr>
        <w:tab/>
      </w:r>
      <w:r>
        <w:rPr>
          <w:rFonts w:ascii="Arial" w:cs="Arial" w:eastAsia="Arial" w:hAnsi="Arial"/>
          <w:sz w:val="16"/>
          <w:szCs w:val="16"/>
          <w:color w:val="auto"/>
        </w:rPr>
        <w:t>important measure of Company performance.</w:t>
      </w:r>
    </w:p>
    <w:p>
      <w:pPr>
        <w:spacing w:after="0" w:line="57" w:lineRule="exact"/>
        <w:rPr>
          <w:sz w:val="20"/>
          <w:szCs w:val="20"/>
          <w:color w:val="auto"/>
        </w:rPr>
      </w:pPr>
    </w:p>
    <w:p>
      <w:pPr>
        <w:ind w:left="2280" w:right="40" w:hanging="2253"/>
        <w:spacing w:after="0" w:line="266" w:lineRule="auto"/>
        <w:rPr>
          <w:sz w:val="20"/>
          <w:szCs w:val="20"/>
          <w:color w:val="auto"/>
        </w:rPr>
      </w:pPr>
      <w:r>
        <w:rPr>
          <w:rFonts w:ascii="Arial" w:cs="Arial" w:eastAsia="Arial" w:hAnsi="Arial"/>
          <w:sz w:val="16"/>
          <w:szCs w:val="16"/>
          <w:color w:val="auto"/>
        </w:rPr>
        <w:t>Consolidated Free Cash Flow Based in part on the feedback from our 2020 shareholder engagement efforts, in 2021, the Company altered its performance goals utilized under the Company’s LTIP. For 2021, the Company also used consolidated free cash flow as a performance metric under its LTIP, given the Company’s current focus on generating cash flow and reducing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151765</wp:posOffset>
            </wp:positionV>
            <wp:extent cx="394335" cy="196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240"/>
          </w:cols>
          <w:pgMar w:left="320" w:top="125"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389255</wp:posOffset>
            </wp:positionV>
            <wp:extent cx="7132320" cy="2082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Adjusted Operating Cash Flow</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Consolidated Adjusted Operating Cash Flow ("OCF") is a non-GAAP financial measure that is defined as net cash flows provided by operating activities adjusted to exclude and/or include certain other unusual or non-operating items. Please see the Appendix for a reconciliation of Adjusted Operating Cash Flow to GAAP. Adjustments to Operating Cash Flow under the AICP also reflect one-time, unanticipated financial events incurred following approval of the respective year's budget, including unbudgeted variability in stock-based compensation expense, changes in foreign exchange rates and certain other unbudgeted cash flows (approved by the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AICP EBITDA</w:t>
      </w:r>
    </w:p>
    <w:p>
      <w:pPr>
        <w:spacing w:after="0" w:line="10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b w:val="1"/>
          <w:bCs w:val="1"/>
          <w:color w:val="auto"/>
        </w:rPr>
        <w:t>Earnings Before Interest, Taxes, Depreciation and Amortization ("EBITDA") is a non-GAAP financial measure that is defined as net income plus interest, taxes, depreciation and amortization. AICP EBITDA is a non-GAAP financial measure that is defined as EBITDA adjusted to exclude certain other unusual or non-operating items. Please see the Appendix for a reconciliation of AICP EBITDA to GAAP. Adjustments to EBITDA under the AICP also reflect one-time, unanticipated financial events incurred following approval of the 2021 budget, including unbudgeted variability in stock-based compensation expense, changes in foreign exchange rates and certain other unbudgeted costs (approved by the board of directors). The AICP adjustments to EBITDA in 2021 were consistent with past practices.</w:t>
      </w:r>
    </w:p>
    <w:p>
      <w:pPr>
        <w:spacing w:after="0" w:line="200" w:lineRule="exact"/>
        <w:rPr>
          <w:sz w:val="20"/>
          <w:szCs w:val="20"/>
          <w:color w:val="auto"/>
        </w:rPr>
      </w:pPr>
    </w:p>
    <w:p>
      <w:pPr>
        <w:spacing w:after="0" w:line="258" w:lineRule="exact"/>
        <w:rPr>
          <w:sz w:val="20"/>
          <w:szCs w:val="20"/>
          <w:color w:val="auto"/>
        </w:rPr>
      </w:pPr>
    </w:p>
    <w:tbl>
      <w:tblPr>
        <w:tblLayout w:type="fixed"/>
        <w:tblInd w:w="924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bl>
    <w:p>
      <w:pPr>
        <w:sectPr>
          <w:pgSz w:w="11900" w:h="16838" w:orient="portrait"/>
          <w:cols w:equalWidth="0" w:num="1">
            <w:col w:w="11220"/>
          </w:cols>
          <w:pgMar w:left="34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Highlights of 2021 Performance and Impact on Executive Compensation</w:t>
      </w:r>
    </w:p>
    <w:p>
      <w:pPr>
        <w:spacing w:after="0" w:line="101"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Despite continuing headwinds faced by the energy sector throughout 2021, a number of significant financial and operational objectives were successfully completed through Mr. Dodson’s leadership. On the financial front, we continued to strengthen our balance sheet and reduce our leverage, a highlight not broadly seen across our sector. In particular, during 2021 we achieved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shd w:val="clear" w:color="auto" w:fill="E8EEF7"/>
          </w:tcPr>
          <w:p>
            <w:pPr>
              <w:ind w:left="20"/>
              <w:spacing w:after="0"/>
              <w:rPr>
                <w:sz w:val="20"/>
                <w:szCs w:val="20"/>
                <w:color w:val="auto"/>
              </w:rPr>
            </w:pPr>
            <w:r>
              <w:rPr>
                <w:rFonts w:ascii="Arial" w:cs="Arial" w:eastAsia="Arial" w:hAnsi="Arial"/>
                <w:sz w:val="16"/>
                <w:szCs w:val="16"/>
                <w:color w:val="auto"/>
              </w:rPr>
              <w:t>Reduced total debt by $76 million from</w:t>
            </w:r>
          </w:p>
        </w:tc>
        <w:tc>
          <w:tcPr>
            <w:tcW w:w="200" w:type="dxa"/>
            <w:vAlign w:val="bottom"/>
          </w:tcPr>
          <w:p>
            <w:pPr>
              <w:spacing w:after="0"/>
              <w:rPr>
                <w:sz w:val="22"/>
                <w:szCs w:val="22"/>
                <w:color w:val="auto"/>
              </w:rPr>
            </w:pPr>
          </w:p>
        </w:tc>
        <w:tc>
          <w:tcPr>
            <w:tcW w:w="3700" w:type="dxa"/>
            <w:vAlign w:val="bottom"/>
            <w:gridSpan w:val="3"/>
            <w:shd w:val="clear" w:color="auto" w:fill="E8EEF7"/>
          </w:tcPr>
          <w:p>
            <w:pPr>
              <w:ind w:left="20"/>
              <w:spacing w:after="0"/>
              <w:rPr>
                <w:sz w:val="20"/>
                <w:szCs w:val="20"/>
                <w:color w:val="auto"/>
              </w:rPr>
            </w:pPr>
            <w:r>
              <w:rPr>
                <w:rFonts w:ascii="Arial" w:cs="Arial" w:eastAsia="Arial" w:hAnsi="Arial"/>
                <w:sz w:val="16"/>
                <w:szCs w:val="16"/>
                <w:color w:val="auto"/>
              </w:rPr>
              <w:t>Decreased our net leverage ratio to 1.49 times at</w:t>
            </w:r>
          </w:p>
        </w:tc>
        <w:tc>
          <w:tcPr>
            <w:tcW w:w="200" w:type="dxa"/>
            <w:vAlign w:val="bottom"/>
          </w:tcPr>
          <w:p>
            <w:pPr>
              <w:spacing w:after="0"/>
              <w:rPr>
                <w:sz w:val="22"/>
                <w:szCs w:val="22"/>
                <w:color w:val="auto"/>
              </w:rPr>
            </w:pPr>
          </w:p>
        </w:tc>
        <w:tc>
          <w:tcPr>
            <w:tcW w:w="358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Generated $94 million of Adjusted Operating</w:t>
            </w:r>
          </w:p>
        </w:tc>
        <w:tc>
          <w:tcPr>
            <w:tcW w:w="0" w:type="dxa"/>
            <w:vAlign w:val="bottom"/>
          </w:tcPr>
          <w:p>
            <w:pPr>
              <w:spacing w:after="0"/>
              <w:rPr>
                <w:sz w:val="1"/>
                <w:szCs w:val="1"/>
                <w:color w:val="auto"/>
              </w:rPr>
            </w:pPr>
          </w:p>
        </w:tc>
      </w:tr>
      <w:tr>
        <w:trPr>
          <w:trHeight w:val="108"/>
        </w:trPr>
        <w:tc>
          <w:tcPr>
            <w:tcW w:w="356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December 31, 2020 to December 31, 2021</w:t>
            </w:r>
          </w:p>
        </w:tc>
        <w:tc>
          <w:tcPr>
            <w:tcW w:w="200" w:type="dxa"/>
            <w:vAlign w:val="bottom"/>
          </w:tcPr>
          <w:p>
            <w:pPr>
              <w:spacing w:after="0"/>
              <w:rPr>
                <w:sz w:val="9"/>
                <w:szCs w:val="9"/>
                <w:color w:val="auto"/>
              </w:rPr>
            </w:pPr>
          </w:p>
        </w:tc>
        <w:tc>
          <w:tcPr>
            <w:tcW w:w="3700" w:type="dxa"/>
            <w:vAlign w:val="bottom"/>
            <w:gridSpan w:val="3"/>
            <w:vMerge w:val="restart"/>
            <w:shd w:val="clear" w:color="auto" w:fill="E8EEF7"/>
          </w:tcPr>
          <w:p>
            <w:pPr>
              <w:ind w:left="20"/>
              <w:spacing w:after="0"/>
              <w:rPr>
                <w:sz w:val="20"/>
                <w:szCs w:val="20"/>
                <w:color w:val="auto"/>
              </w:rPr>
            </w:pPr>
            <w:r>
              <w:rPr>
                <w:rFonts w:ascii="Arial" w:cs="Arial" w:eastAsia="Arial" w:hAnsi="Arial"/>
                <w:sz w:val="16"/>
                <w:szCs w:val="16"/>
                <w:color w:val="auto"/>
              </w:rPr>
              <w:t>December 31, 2021, from 2.06 times at</w:t>
            </w:r>
          </w:p>
        </w:tc>
        <w:tc>
          <w:tcPr>
            <w:tcW w:w="200" w:type="dxa"/>
            <w:vAlign w:val="bottom"/>
          </w:tcPr>
          <w:p>
            <w:pPr>
              <w:spacing w:after="0"/>
              <w:rPr>
                <w:sz w:val="9"/>
                <w:szCs w:val="9"/>
                <w:color w:val="auto"/>
              </w:rPr>
            </w:pPr>
          </w:p>
        </w:tc>
        <w:tc>
          <w:tcPr>
            <w:tcW w:w="3580" w:type="dxa"/>
            <w:vAlign w:val="bottom"/>
            <w:vMerge w:val="continue"/>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60" w:type="dxa"/>
            <w:vAlign w:val="bottom"/>
            <w:vMerge w:val="continue"/>
            <w:shd w:val="clear" w:color="auto" w:fill="E8EEF7"/>
          </w:tcPr>
          <w:p>
            <w:pPr>
              <w:spacing w:after="0"/>
              <w:rPr>
                <w:sz w:val="7"/>
                <w:szCs w:val="7"/>
                <w:color w:val="auto"/>
              </w:rPr>
            </w:pPr>
          </w:p>
        </w:tc>
        <w:tc>
          <w:tcPr>
            <w:tcW w:w="200" w:type="dxa"/>
            <w:vAlign w:val="bottom"/>
          </w:tcPr>
          <w:p>
            <w:pPr>
              <w:spacing w:after="0"/>
              <w:rPr>
                <w:sz w:val="7"/>
                <w:szCs w:val="7"/>
                <w:color w:val="auto"/>
              </w:rPr>
            </w:pPr>
          </w:p>
        </w:tc>
        <w:tc>
          <w:tcPr>
            <w:tcW w:w="3700" w:type="dxa"/>
            <w:vAlign w:val="bottom"/>
            <w:gridSpan w:val="3"/>
            <w:vMerge w:val="continue"/>
            <w:shd w:val="clear" w:color="auto" w:fill="E8EEF7"/>
          </w:tcPr>
          <w:p>
            <w:pPr>
              <w:spacing w:after="0"/>
              <w:rPr>
                <w:sz w:val="7"/>
                <w:szCs w:val="7"/>
                <w:color w:val="auto"/>
              </w:rPr>
            </w:pPr>
          </w:p>
        </w:tc>
        <w:tc>
          <w:tcPr>
            <w:tcW w:w="200" w:type="dxa"/>
            <w:vAlign w:val="bottom"/>
          </w:tcPr>
          <w:p>
            <w:pPr>
              <w:spacing w:after="0"/>
              <w:rPr>
                <w:sz w:val="7"/>
                <w:szCs w:val="7"/>
                <w:color w:val="auto"/>
              </w:rPr>
            </w:pPr>
          </w:p>
        </w:tc>
        <w:tc>
          <w:tcPr>
            <w:tcW w:w="358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Cash Flow during the year</w:t>
            </w:r>
          </w:p>
        </w:tc>
        <w:tc>
          <w:tcPr>
            <w:tcW w:w="0" w:type="dxa"/>
            <w:vAlign w:val="bottom"/>
          </w:tcPr>
          <w:p>
            <w:pPr>
              <w:spacing w:after="0"/>
              <w:rPr>
                <w:sz w:val="1"/>
                <w:szCs w:val="1"/>
                <w:color w:val="auto"/>
              </w:rPr>
            </w:pPr>
          </w:p>
        </w:tc>
      </w:tr>
      <w:tr>
        <w:trPr>
          <w:trHeight w:val="134"/>
        </w:trPr>
        <w:tc>
          <w:tcPr>
            <w:tcW w:w="356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December 31, 2020</w:t>
            </w:r>
          </w:p>
        </w:tc>
        <w:tc>
          <w:tcPr>
            <w:tcW w:w="220" w:type="dxa"/>
            <w:vAlign w:val="bottom"/>
            <w:shd w:val="clear" w:color="auto" w:fill="E8EEF7"/>
          </w:tcPr>
          <w:p>
            <w:pPr>
              <w:spacing w:after="0"/>
              <w:rPr>
                <w:sz w:val="11"/>
                <w:szCs w:val="11"/>
                <w:color w:val="auto"/>
              </w:rPr>
            </w:pPr>
          </w:p>
        </w:tc>
        <w:tc>
          <w:tcPr>
            <w:tcW w:w="174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3580" w:type="dxa"/>
            <w:vAlign w:val="bottom"/>
            <w:vMerge w:val="continue"/>
            <w:shd w:val="clear" w:color="auto" w:fill="E8EEF7"/>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560" w:type="dxa"/>
            <w:vAlign w:val="bottom"/>
            <w:shd w:val="clear" w:color="auto" w:fill="E8EEF7"/>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vMerge w:val="continue"/>
            <w:shd w:val="clear" w:color="auto" w:fill="E8EEF7"/>
          </w:tcPr>
          <w:p>
            <w:pPr>
              <w:spacing w:after="0"/>
              <w:rPr>
                <w:sz w:val="7"/>
                <w:szCs w:val="7"/>
                <w:color w:val="auto"/>
              </w:rPr>
            </w:pPr>
          </w:p>
        </w:tc>
        <w:tc>
          <w:tcPr>
            <w:tcW w:w="220" w:type="dxa"/>
            <w:vAlign w:val="bottom"/>
            <w:shd w:val="clear" w:color="auto" w:fill="E8EEF7"/>
          </w:tcPr>
          <w:p>
            <w:pPr>
              <w:spacing w:after="0"/>
              <w:rPr>
                <w:sz w:val="7"/>
                <w:szCs w:val="7"/>
                <w:color w:val="auto"/>
              </w:rPr>
            </w:pPr>
          </w:p>
        </w:tc>
        <w:tc>
          <w:tcPr>
            <w:tcW w:w="1740" w:type="dxa"/>
            <w:vAlign w:val="bottom"/>
            <w:shd w:val="clear" w:color="auto" w:fill="E8EEF7"/>
          </w:tcPr>
          <w:p>
            <w:pPr>
              <w:spacing w:after="0"/>
              <w:rPr>
                <w:sz w:val="7"/>
                <w:szCs w:val="7"/>
                <w:color w:val="auto"/>
              </w:rPr>
            </w:pPr>
          </w:p>
        </w:tc>
        <w:tc>
          <w:tcPr>
            <w:tcW w:w="200" w:type="dxa"/>
            <w:vAlign w:val="bottom"/>
          </w:tcPr>
          <w:p>
            <w:pPr>
              <w:spacing w:after="0"/>
              <w:rPr>
                <w:sz w:val="7"/>
                <w:szCs w:val="7"/>
                <w:color w:val="auto"/>
              </w:rPr>
            </w:pPr>
          </w:p>
        </w:tc>
        <w:tc>
          <w:tcPr>
            <w:tcW w:w="3580" w:type="dxa"/>
            <w:vAlign w:val="bottom"/>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560" w:type="dxa"/>
            <w:vAlign w:val="bottom"/>
            <w:shd w:val="clear" w:color="auto" w:fill="E8EEF7"/>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shd w:val="clear" w:color="auto" w:fill="E8EEF7"/>
          </w:tcPr>
          <w:p>
            <w:pPr>
              <w:spacing w:after="0"/>
              <w:rPr>
                <w:sz w:val="8"/>
                <w:szCs w:val="8"/>
                <w:color w:val="auto"/>
              </w:rPr>
            </w:pPr>
          </w:p>
        </w:tc>
        <w:tc>
          <w:tcPr>
            <w:tcW w:w="220" w:type="dxa"/>
            <w:vAlign w:val="bottom"/>
            <w:shd w:val="clear" w:color="auto" w:fill="E8EEF7"/>
          </w:tcPr>
          <w:p>
            <w:pPr>
              <w:spacing w:after="0"/>
              <w:rPr>
                <w:sz w:val="8"/>
                <w:szCs w:val="8"/>
                <w:color w:val="auto"/>
              </w:rPr>
            </w:pPr>
          </w:p>
        </w:tc>
        <w:tc>
          <w:tcPr>
            <w:tcW w:w="1740" w:type="dxa"/>
            <w:vAlign w:val="bottom"/>
            <w:shd w:val="clear" w:color="auto" w:fill="E8EEF7"/>
          </w:tcPr>
          <w:p>
            <w:pPr>
              <w:spacing w:after="0"/>
              <w:rPr>
                <w:sz w:val="8"/>
                <w:szCs w:val="8"/>
                <w:color w:val="auto"/>
              </w:rPr>
            </w:pPr>
          </w:p>
        </w:tc>
        <w:tc>
          <w:tcPr>
            <w:tcW w:w="200" w:type="dxa"/>
            <w:vAlign w:val="bottom"/>
          </w:tcPr>
          <w:p>
            <w:pPr>
              <w:spacing w:after="0"/>
              <w:rPr>
                <w:sz w:val="8"/>
                <w:szCs w:val="8"/>
                <w:color w:val="auto"/>
              </w:rPr>
            </w:pPr>
          </w:p>
        </w:tc>
        <w:tc>
          <w:tcPr>
            <w:tcW w:w="3580" w:type="dxa"/>
            <w:vAlign w:val="bottom"/>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50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55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5500" w:type="dxa"/>
            <w:vAlign w:val="bottom"/>
            <w:gridSpan w:val="3"/>
            <w:shd w:val="clear" w:color="auto" w:fill="E8EEF7"/>
          </w:tcPr>
          <w:p>
            <w:pPr>
              <w:ind w:left="20"/>
              <w:spacing w:after="0"/>
              <w:rPr>
                <w:sz w:val="20"/>
                <w:szCs w:val="20"/>
                <w:color w:val="auto"/>
              </w:rPr>
            </w:pPr>
            <w:r>
              <w:rPr>
                <w:rFonts w:ascii="Arial" w:cs="Arial" w:eastAsia="Arial" w:hAnsi="Arial"/>
                <w:sz w:val="16"/>
                <w:szCs w:val="16"/>
                <w:color w:val="auto"/>
              </w:rPr>
              <w:t>Replaced and refinanced existing credit agreement, extending maturity to</w:t>
            </w:r>
          </w:p>
        </w:tc>
        <w:tc>
          <w:tcPr>
            <w:tcW w:w="220" w:type="dxa"/>
            <w:vAlign w:val="bottom"/>
          </w:tcPr>
          <w:p>
            <w:pPr>
              <w:spacing w:after="0"/>
              <w:rPr>
                <w:sz w:val="22"/>
                <w:szCs w:val="22"/>
                <w:color w:val="auto"/>
              </w:rPr>
            </w:pPr>
          </w:p>
        </w:tc>
        <w:tc>
          <w:tcPr>
            <w:tcW w:w="5520" w:type="dxa"/>
            <w:vAlign w:val="bottom"/>
            <w:gridSpan w:val="3"/>
            <w:shd w:val="clear" w:color="auto" w:fill="E8EEF7"/>
          </w:tcPr>
          <w:p>
            <w:pPr>
              <w:ind w:left="20"/>
              <w:spacing w:after="0"/>
              <w:rPr>
                <w:sz w:val="20"/>
                <w:szCs w:val="20"/>
                <w:color w:val="auto"/>
              </w:rPr>
            </w:pPr>
            <w:r>
              <w:rPr>
                <w:rFonts w:ascii="Arial" w:cs="Arial" w:eastAsia="Arial" w:hAnsi="Arial"/>
                <w:sz w:val="16"/>
                <w:szCs w:val="16"/>
                <w:color w:val="auto"/>
              </w:rPr>
              <w:t>Authorized a share repurchase program for the Company to repurchase up</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E8EEF7"/>
          </w:tcPr>
          <w:p>
            <w:pPr>
              <w:ind w:left="20"/>
              <w:spacing w:after="0"/>
              <w:rPr>
                <w:sz w:val="20"/>
                <w:szCs w:val="20"/>
                <w:color w:val="auto"/>
              </w:rPr>
            </w:pPr>
            <w:r>
              <w:rPr>
                <w:rFonts w:ascii="Arial" w:cs="Arial" w:eastAsia="Arial" w:hAnsi="Arial"/>
                <w:sz w:val="16"/>
                <w:szCs w:val="16"/>
                <w:color w:val="auto"/>
              </w:rPr>
              <w:t>September 8, 2025</w:t>
            </w:r>
          </w:p>
        </w:tc>
        <w:tc>
          <w:tcPr>
            <w:tcW w:w="1740" w:type="dxa"/>
            <w:vAlign w:val="bottom"/>
            <w:shd w:val="clear" w:color="auto" w:fill="E8EEF7"/>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gridSpan w:val="3"/>
            <w:shd w:val="clear" w:color="auto" w:fill="E8EEF7"/>
          </w:tcPr>
          <w:p>
            <w:pPr>
              <w:ind w:left="20"/>
              <w:spacing w:after="0"/>
              <w:rPr>
                <w:sz w:val="20"/>
                <w:szCs w:val="20"/>
                <w:color w:val="auto"/>
              </w:rPr>
            </w:pPr>
            <w:r>
              <w:rPr>
                <w:rFonts w:ascii="Arial" w:cs="Arial" w:eastAsia="Arial" w:hAnsi="Arial"/>
                <w:sz w:val="16"/>
                <w:szCs w:val="16"/>
                <w:color w:val="auto"/>
              </w:rPr>
              <w:t>to 5% of its total common shares outstanding, or approximately 715,000</w:t>
            </w:r>
          </w:p>
        </w:tc>
        <w:tc>
          <w:tcPr>
            <w:tcW w:w="0" w:type="dxa"/>
            <w:vAlign w:val="bottom"/>
          </w:tcPr>
          <w:p>
            <w:pPr>
              <w:spacing w:after="0"/>
              <w:rPr>
                <w:sz w:val="1"/>
                <w:szCs w:val="1"/>
                <w:color w:val="auto"/>
              </w:rPr>
            </w:pPr>
          </w:p>
        </w:tc>
      </w:tr>
      <w:tr>
        <w:trPr>
          <w:trHeight w:val="215"/>
        </w:trPr>
        <w:tc>
          <w:tcPr>
            <w:tcW w:w="3560" w:type="dxa"/>
            <w:vAlign w:val="bottom"/>
            <w:shd w:val="clear" w:color="auto" w:fill="E8EEF7"/>
          </w:tcPr>
          <w:p>
            <w:pPr>
              <w:spacing w:after="0"/>
              <w:rPr>
                <w:sz w:val="18"/>
                <w:szCs w:val="18"/>
                <w:color w:val="auto"/>
              </w:rPr>
            </w:pPr>
          </w:p>
        </w:tc>
        <w:tc>
          <w:tcPr>
            <w:tcW w:w="200" w:type="dxa"/>
            <w:vAlign w:val="bottom"/>
            <w:shd w:val="clear" w:color="auto" w:fill="E8EEF7"/>
          </w:tcPr>
          <w:p>
            <w:pPr>
              <w:spacing w:after="0"/>
              <w:rPr>
                <w:sz w:val="18"/>
                <w:szCs w:val="18"/>
                <w:color w:val="auto"/>
              </w:rPr>
            </w:pPr>
          </w:p>
        </w:tc>
        <w:tc>
          <w:tcPr>
            <w:tcW w:w="1740" w:type="dxa"/>
            <w:vAlign w:val="bottom"/>
            <w:shd w:val="clear" w:color="auto" w:fill="E8EEF7"/>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gridSpan w:val="3"/>
            <w:shd w:val="clear" w:color="auto" w:fill="E8EEF7"/>
          </w:tcPr>
          <w:p>
            <w:pPr>
              <w:ind w:left="20"/>
              <w:spacing w:after="0"/>
              <w:rPr>
                <w:sz w:val="20"/>
                <w:szCs w:val="20"/>
                <w:color w:val="auto"/>
              </w:rPr>
            </w:pPr>
            <w:r>
              <w:rPr>
                <w:rFonts w:ascii="Arial" w:cs="Arial" w:eastAsia="Arial" w:hAnsi="Arial"/>
                <w:sz w:val="16"/>
                <w:szCs w:val="16"/>
                <w:color w:val="auto"/>
              </w:rPr>
              <w:t>common shares, over a twelve-month period</w:t>
            </w:r>
          </w:p>
        </w:tc>
        <w:tc>
          <w:tcPr>
            <w:tcW w:w="0" w:type="dxa"/>
            <w:vAlign w:val="bottom"/>
          </w:tcPr>
          <w:p>
            <w:pPr>
              <w:spacing w:after="0"/>
              <w:rPr>
                <w:sz w:val="1"/>
                <w:szCs w:val="1"/>
                <w:color w:val="auto"/>
              </w:rPr>
            </w:pPr>
          </w:p>
        </w:tc>
      </w:tr>
      <w:tr>
        <w:trPr>
          <w:trHeight w:val="70"/>
        </w:trPr>
        <w:tc>
          <w:tcPr>
            <w:tcW w:w="3560" w:type="dxa"/>
            <w:vAlign w:val="bottom"/>
            <w:shd w:val="clear" w:color="auto" w:fill="E8EEF7"/>
          </w:tcPr>
          <w:p>
            <w:pPr>
              <w:spacing w:after="0"/>
              <w:rPr>
                <w:sz w:val="6"/>
                <w:szCs w:val="6"/>
                <w:color w:val="auto"/>
              </w:rPr>
            </w:pPr>
          </w:p>
        </w:tc>
        <w:tc>
          <w:tcPr>
            <w:tcW w:w="200" w:type="dxa"/>
            <w:vAlign w:val="bottom"/>
            <w:shd w:val="clear" w:color="auto" w:fill="E8EEF7"/>
          </w:tcPr>
          <w:p>
            <w:pPr>
              <w:spacing w:after="0"/>
              <w:rPr>
                <w:sz w:val="6"/>
                <w:szCs w:val="6"/>
                <w:color w:val="auto"/>
              </w:rPr>
            </w:pPr>
          </w:p>
        </w:tc>
        <w:tc>
          <w:tcPr>
            <w:tcW w:w="1740" w:type="dxa"/>
            <w:vAlign w:val="bottom"/>
            <w:shd w:val="clear" w:color="auto" w:fill="E8EEF7"/>
          </w:tcPr>
          <w:p>
            <w:pPr>
              <w:spacing w:after="0"/>
              <w:rPr>
                <w:sz w:val="6"/>
                <w:szCs w:val="6"/>
                <w:color w:val="auto"/>
              </w:rPr>
            </w:pPr>
          </w:p>
        </w:tc>
        <w:tc>
          <w:tcPr>
            <w:tcW w:w="220" w:type="dxa"/>
            <w:vAlign w:val="bottom"/>
          </w:tcPr>
          <w:p>
            <w:pPr>
              <w:spacing w:after="0"/>
              <w:rPr>
                <w:sz w:val="6"/>
                <w:szCs w:val="6"/>
                <w:color w:val="auto"/>
              </w:rPr>
            </w:pPr>
          </w:p>
        </w:tc>
        <w:tc>
          <w:tcPr>
            <w:tcW w:w="1740" w:type="dxa"/>
            <w:vAlign w:val="bottom"/>
            <w:shd w:val="clear" w:color="auto" w:fill="E8EEF7"/>
          </w:tcPr>
          <w:p>
            <w:pPr>
              <w:spacing w:after="0"/>
              <w:rPr>
                <w:sz w:val="6"/>
                <w:szCs w:val="6"/>
                <w:color w:val="auto"/>
              </w:rPr>
            </w:pPr>
          </w:p>
        </w:tc>
        <w:tc>
          <w:tcPr>
            <w:tcW w:w="200" w:type="dxa"/>
            <w:vAlign w:val="bottom"/>
            <w:shd w:val="clear" w:color="auto" w:fill="E8EEF7"/>
          </w:tcPr>
          <w:p>
            <w:pPr>
              <w:spacing w:after="0"/>
              <w:rPr>
                <w:sz w:val="6"/>
                <w:szCs w:val="6"/>
                <w:color w:val="auto"/>
              </w:rPr>
            </w:pPr>
          </w:p>
        </w:tc>
        <w:tc>
          <w:tcPr>
            <w:tcW w:w="3580" w:type="dxa"/>
            <w:vAlign w:val="bottom"/>
            <w:shd w:val="clear" w:color="auto" w:fill="E8EEF7"/>
          </w:tcPr>
          <w:p>
            <w:pPr>
              <w:spacing w:after="0"/>
              <w:rPr>
                <w:sz w:val="6"/>
                <w:szCs w:val="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Continued to safely and profitably execute on the Coastal Gaslink Pipeline</w:t>
            </w:r>
          </w:p>
        </w:tc>
        <w:tc>
          <w:tcPr>
            <w:tcW w:w="200" w:type="dxa"/>
            <w:vAlign w:val="bottom"/>
          </w:tcPr>
          <w:p>
            <w:pPr>
              <w:spacing w:after="0"/>
              <w:rPr>
                <w:sz w:val="22"/>
                <w:szCs w:val="22"/>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Completed the sale of our West Permian Lodge to a third-party on October</w:t>
            </w:r>
          </w:p>
        </w:tc>
      </w:tr>
      <w:tr>
        <w:trPr>
          <w:trHeight w:val="215"/>
        </w:trPr>
        <w:tc>
          <w:tcPr>
            <w:tcW w:w="5500" w:type="dxa"/>
            <w:vAlign w:val="bottom"/>
            <w:shd w:val="clear" w:color="auto" w:fill="E8EEF7"/>
          </w:tcPr>
          <w:p>
            <w:pPr>
              <w:ind w:left="20"/>
              <w:spacing w:after="0"/>
              <w:rPr>
                <w:sz w:val="20"/>
                <w:szCs w:val="20"/>
                <w:color w:val="auto"/>
              </w:rPr>
            </w:pPr>
            <w:r>
              <w:rPr>
                <w:rFonts w:ascii="Arial" w:cs="Arial" w:eastAsia="Arial" w:hAnsi="Arial"/>
                <w:sz w:val="16"/>
                <w:szCs w:val="16"/>
                <w:color w:val="auto"/>
              </w:rPr>
              <w:t>("CGL") contract</w:t>
            </w:r>
          </w:p>
        </w:tc>
        <w:tc>
          <w:tcPr>
            <w:tcW w:w="200" w:type="dxa"/>
            <w:vAlign w:val="bottom"/>
          </w:tcPr>
          <w:p>
            <w:pPr>
              <w:spacing w:after="0"/>
              <w:rPr>
                <w:sz w:val="18"/>
                <w:szCs w:val="18"/>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2, 2021</w:t>
            </w:r>
          </w:p>
        </w:tc>
      </w:tr>
      <w:tr>
        <w:trPr>
          <w:trHeight w:val="70"/>
        </w:trPr>
        <w:tc>
          <w:tcPr>
            <w:tcW w:w="550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r>
        <w:trPr>
          <w:trHeight w:val="94"/>
        </w:trPr>
        <w:tc>
          <w:tcPr>
            <w:tcW w:w="5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520" w:type="dxa"/>
            <w:vAlign w:val="bottom"/>
          </w:tcPr>
          <w:p>
            <w:pPr>
              <w:spacing w:after="0"/>
              <w:rPr>
                <w:sz w:val="8"/>
                <w:szCs w:val="8"/>
                <w:color w:val="auto"/>
              </w:rPr>
            </w:pPr>
          </w:p>
        </w:tc>
      </w:tr>
      <w:tr>
        <w:trPr>
          <w:trHeight w:val="256"/>
        </w:trPr>
        <w:tc>
          <w:tcPr>
            <w:tcW w:w="5500" w:type="dxa"/>
            <w:vAlign w:val="bottom"/>
            <w:shd w:val="clear" w:color="auto" w:fill="E8EEF7"/>
          </w:tcPr>
          <w:p>
            <w:pPr>
              <w:ind w:left="20"/>
              <w:spacing w:after="0"/>
              <w:rPr>
                <w:sz w:val="20"/>
                <w:szCs w:val="20"/>
                <w:color w:val="auto"/>
              </w:rPr>
            </w:pPr>
            <w:r>
              <w:rPr>
                <w:rFonts w:ascii="Arial" w:cs="Arial" w:eastAsia="Arial" w:hAnsi="Arial"/>
                <w:sz w:val="16"/>
                <w:szCs w:val="16"/>
                <w:color w:val="auto"/>
              </w:rPr>
              <w:t>Billed rooms increased by 15% in Canada in 2021</w:t>
            </w:r>
          </w:p>
        </w:tc>
        <w:tc>
          <w:tcPr>
            <w:tcW w:w="200" w:type="dxa"/>
            <w:vAlign w:val="bottom"/>
          </w:tcPr>
          <w:p>
            <w:pPr>
              <w:spacing w:after="0"/>
              <w:rPr>
                <w:sz w:val="22"/>
                <w:szCs w:val="22"/>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Continued strong safety performance across all regions, resulting in a 2021</w:t>
            </w:r>
          </w:p>
        </w:tc>
      </w:tr>
      <w:tr>
        <w:trPr>
          <w:trHeight w:val="189"/>
        </w:trPr>
        <w:tc>
          <w:tcPr>
            <w:tcW w:w="5500" w:type="dxa"/>
            <w:vAlign w:val="bottom"/>
            <w:shd w:val="clear" w:color="auto" w:fill="E8EEF7"/>
          </w:tcPr>
          <w:p>
            <w:pPr>
              <w:spacing w:after="0"/>
              <w:rPr>
                <w:sz w:val="16"/>
                <w:szCs w:val="16"/>
                <w:color w:val="auto"/>
              </w:rPr>
            </w:pPr>
          </w:p>
        </w:tc>
        <w:tc>
          <w:tcPr>
            <w:tcW w:w="200" w:type="dxa"/>
            <w:vAlign w:val="bottom"/>
          </w:tcPr>
          <w:p>
            <w:pPr>
              <w:spacing w:after="0"/>
              <w:rPr>
                <w:sz w:val="16"/>
                <w:szCs w:val="16"/>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Global TRIR of 0.42, considerably better than the hotel industry average of</w:t>
            </w:r>
          </w:p>
        </w:tc>
      </w:tr>
      <w:tr>
        <w:trPr>
          <w:trHeight w:val="215"/>
        </w:trPr>
        <w:tc>
          <w:tcPr>
            <w:tcW w:w="550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5520" w:type="dxa"/>
            <w:vAlign w:val="bottom"/>
            <w:shd w:val="clear" w:color="auto" w:fill="E8EEF7"/>
          </w:tcPr>
          <w:p>
            <w:pPr>
              <w:ind w:left="20"/>
              <w:spacing w:after="0"/>
              <w:rPr>
                <w:sz w:val="20"/>
                <w:szCs w:val="20"/>
                <w:color w:val="auto"/>
              </w:rPr>
            </w:pPr>
            <w:r>
              <w:rPr>
                <w:rFonts w:ascii="Arial" w:cs="Arial" w:eastAsia="Arial" w:hAnsi="Arial"/>
                <w:sz w:val="16"/>
                <w:szCs w:val="16"/>
                <w:color w:val="auto"/>
              </w:rPr>
              <w:t>4.5</w:t>
            </w:r>
          </w:p>
        </w:tc>
      </w:tr>
      <w:tr>
        <w:trPr>
          <w:trHeight w:val="70"/>
        </w:trPr>
        <w:tc>
          <w:tcPr>
            <w:tcW w:w="5500" w:type="dxa"/>
            <w:vAlign w:val="bottom"/>
            <w:shd w:val="clear" w:color="auto" w:fill="E8EEF7"/>
          </w:tcPr>
          <w:p>
            <w:pPr>
              <w:spacing w:after="0"/>
              <w:rPr>
                <w:sz w:val="6"/>
                <w:szCs w:val="6"/>
                <w:color w:val="auto"/>
              </w:rPr>
            </w:pPr>
          </w:p>
        </w:tc>
        <w:tc>
          <w:tcPr>
            <w:tcW w:w="200" w:type="dxa"/>
            <w:vAlign w:val="bottom"/>
          </w:tcPr>
          <w:p>
            <w:pPr>
              <w:spacing w:after="0"/>
              <w:rPr>
                <w:sz w:val="6"/>
                <w:szCs w:val="6"/>
                <w:color w:val="auto"/>
              </w:rPr>
            </w:pPr>
          </w:p>
        </w:tc>
        <w:tc>
          <w:tcPr>
            <w:tcW w:w="5520" w:type="dxa"/>
            <w:vAlign w:val="bottom"/>
            <w:shd w:val="clear" w:color="auto" w:fill="E8EEF7"/>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spacing w:after="0"/>
        <w:rPr>
          <w:sz w:val="20"/>
          <w:szCs w:val="20"/>
          <w:color w:val="auto"/>
        </w:rPr>
      </w:pPr>
      <w:r>
        <w:rPr>
          <w:rFonts w:ascii="Arial" w:cs="Arial" w:eastAsia="Arial" w:hAnsi="Arial"/>
          <w:sz w:val="16"/>
          <w:szCs w:val="16"/>
          <w:b w:val="1"/>
          <w:bCs w:val="1"/>
          <w:color w:val="auto"/>
        </w:rPr>
        <w:t>AICP EBITDA</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87630</wp:posOffset>
            </wp:positionV>
            <wp:extent cx="1619885" cy="12604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19885" cy="1260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060"/>
        <w:spacing w:after="0"/>
        <w:rPr>
          <w:sz w:val="20"/>
          <w:szCs w:val="20"/>
          <w:color w:val="auto"/>
        </w:rPr>
      </w:pPr>
      <w:r>
        <w:rPr>
          <w:rFonts w:ascii="Arial" w:cs="Arial" w:eastAsia="Arial" w:hAnsi="Arial"/>
          <w:sz w:val="16"/>
          <w:szCs w:val="16"/>
          <w:b w:val="1"/>
          <w:bCs w:val="1"/>
          <w:color w:val="auto"/>
        </w:rPr>
        <w:t>TOTAL RECORDABLE</w:t>
      </w:r>
    </w:p>
    <w:p>
      <w:pPr>
        <w:spacing w:after="0" w:line="21" w:lineRule="exact"/>
        <w:rPr>
          <w:sz w:val="20"/>
          <w:szCs w:val="20"/>
          <w:color w:val="auto"/>
        </w:rPr>
      </w:pPr>
    </w:p>
    <w:p>
      <w:pPr>
        <w:jc w:val="center"/>
        <w:ind w:right="3060"/>
        <w:spacing w:after="0"/>
        <w:rPr>
          <w:sz w:val="20"/>
          <w:szCs w:val="20"/>
          <w:color w:val="auto"/>
        </w:rPr>
      </w:pPr>
      <w:r>
        <w:rPr>
          <w:rFonts w:ascii="Arial" w:cs="Arial" w:eastAsia="Arial" w:hAnsi="Arial"/>
          <w:sz w:val="16"/>
          <w:szCs w:val="16"/>
          <w:b w:val="1"/>
          <w:bCs w:val="1"/>
          <w:color w:val="auto"/>
        </w:rPr>
        <w:t>INCIDENT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79375</wp:posOffset>
            </wp:positionV>
            <wp:extent cx="1620520" cy="128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0520" cy="128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Note: Please see the Appendix for a reconciliation of Adjusted Operating Cash Flow and AICP EBITDA to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175260</wp:posOffset>
            </wp:positionV>
            <wp:extent cx="394335" cy="1968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240"/>
          </w:cols>
          <w:pgMar w:left="320" w:top="125"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Shareholder Engagement and Changes to the Compensation Program</w:t>
      </w:r>
    </w:p>
    <w:p>
      <w:pPr>
        <w:spacing w:after="0" w:line="11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Throughout the year, we meet with our shareholders to solicit their feedback on our performance, capital structure and pay plans as well as to share our perspective. The Company’s management maintains routine dialogue with its investors regarding operations, strategy, total leverage and quarterly financial results. Throughout 2021, management engaged with shareholders holding over 74% of the company’s fully diluted shares.</w:t>
      </w:r>
    </w:p>
    <w:p>
      <w:pPr>
        <w:spacing w:after="0" w:line="63"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color w:val="auto"/>
        </w:rPr>
        <w:t>In 2020, in response to shareholder engagement and the committee’s continuing efforts to instill best practices, the Compensation Committee made the following changes to the Company’s AICP and LTIP that impacted our 2021 compensation program. We believe the following changes further align and directly link our executive compensation program with the Company’s performance and will be in the best interests of the Company’s shareholders:</w:t>
      </w:r>
    </w:p>
    <w:p>
      <w:pPr>
        <w:spacing w:after="0" w:line="50" w:lineRule="exact"/>
        <w:rPr>
          <w:sz w:val="20"/>
          <w:szCs w:val="20"/>
          <w:color w:val="auto"/>
        </w:rPr>
      </w:pPr>
    </w:p>
    <w:p>
      <w:pPr>
        <w:ind w:left="660" w:right="40" w:hanging="328"/>
        <w:spacing w:after="0" w:line="235"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the Company’s stated focus on generating cash flow and reducing leverage, at the beginning of 2021, the Compensation Committee added free cash flow as a financial metric under the AICP, which replaced the consolidated EBITDA metric. Historically, the target AICP for the Company’s CEO and CFO was weighted 80% to consolidated EBITDA and 20% to safety. In 2021, this weighting was changed to 80% free cash flow and 20% safety. The performance goals for the Company’s other NEOs were also similarly revised to replace the Consolidated EBITDA target, with a weighting of 40% free cash flow, 40% Divisional EBITDA and 20% allocated to safety. It was determined that Consolidated Adjusted Operating Cash Flow was a better metric, due to the timing and unpredictable nature of elements of free cash flow, in respect of corporate performance. Looking forward, the Compensation Committee intends to continue to use Consolidated Adjusted Operating Cash Flow as the financial metric for the CEO and CFO and one of the financial metrics for the other NEOs under the AICP for 2022.</w:t>
      </w:r>
    </w:p>
    <w:p>
      <w:pPr>
        <w:spacing w:after="0" w:line="84" w:lineRule="exact"/>
        <w:rPr>
          <w:rFonts w:ascii="Arial" w:cs="Arial" w:eastAsia="Arial" w:hAnsi="Arial"/>
          <w:sz w:val="16"/>
          <w:szCs w:val="16"/>
          <w:color w:val="auto"/>
        </w:rPr>
      </w:pPr>
    </w:p>
    <w:p>
      <w:pPr>
        <w:ind w:left="660" w:right="400" w:hanging="328"/>
        <w:spacing w:after="0" w:line="286"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2021 and subsequent grants, the Compensation Committee has committed to cap all future performance shares at 100% payout (Target) if Civeo's relative TSR over the performance period is negative, irrespective of relative performance.</w:t>
      </w:r>
    </w:p>
    <w:p>
      <w:pPr>
        <w:spacing w:after="0" w:line="34" w:lineRule="exact"/>
        <w:rPr>
          <w:rFonts w:ascii="Arial" w:cs="Arial" w:eastAsia="Arial" w:hAnsi="Arial"/>
          <w:sz w:val="16"/>
          <w:szCs w:val="16"/>
          <w:color w:val="auto"/>
        </w:rPr>
      </w:pPr>
    </w:p>
    <w:p>
      <w:pPr>
        <w:jc w:val="both"/>
        <w:ind w:left="660" w:right="500" w:hanging="328"/>
        <w:spacing w:after="0" w:line="242"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Performance share grants made in 2021 incorporated two changes. First, a performance metric, cumulative free cash flow relative to a preset target, was added to the grants, given shareholder feedback in 2020 and the Company's current focus on generating cash flow and reducing leverage. Next, with respect to the relative TSR performance metric, the grants require relative TSR at the 55th percentile to achieve a target payout. In previous performance share grants, relative TSR at the 50th percentile would result in a target payout.</w:t>
      </w:r>
    </w:p>
    <w:p>
      <w:pPr>
        <w:spacing w:after="0" w:line="81" w:lineRule="exact"/>
        <w:rPr>
          <w:rFonts w:ascii="Arial" w:cs="Arial" w:eastAsia="Arial" w:hAnsi="Arial"/>
          <w:sz w:val="16"/>
          <w:szCs w:val="16"/>
          <w:color w:val="auto"/>
        </w:rPr>
      </w:pPr>
    </w:p>
    <w:p>
      <w:pPr>
        <w:ind w:left="660" w:hanging="328"/>
        <w:spacing w:after="0" w:line="266"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Executives are required to maintain minimum share ownership levels (as disclosed on page 49 of the Proxy Statement). The Compensation Committee has also adopted a holding period requirement subsequent to vesting of Civeo shares granted as long-term compensation for the NEOs. NEOs must hold at least 50% of the net vested Civeo shares (after tax withholding) for 12 months after the date of vesting.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Say-On-Pay Vote</w:t>
      </w:r>
    </w:p>
    <w:p>
      <w:pPr>
        <w:spacing w:after="0" w:line="11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At our 2021 annual meeting, we obtained 70.18% approval by our shareholders casting votes on our Say-on-Pay proposal (excluding abstentions). Prior to, and subsequent to, the annual meeting, management reached out to the two largest shareholders that voted against the proposal, but they did not receive any feedback on specific changes to make to our compensation program. Our Compensation Committee considered both the level of support from other shareholders, as well as the lack of specific feedback from those shareholders, in making its compensation-related decisions in 2021, and it did not make any specific changes to our compensation program subsequent to the final say-on-pay vote.</w:t>
      </w:r>
    </w:p>
    <w:p>
      <w:pPr>
        <w:spacing w:after="0" w:line="200" w:lineRule="exact"/>
        <w:rPr>
          <w:sz w:val="20"/>
          <w:szCs w:val="20"/>
          <w:color w:val="auto"/>
        </w:rPr>
      </w:pPr>
    </w:p>
    <w:p>
      <w:pPr>
        <w:spacing w:after="0" w:line="376"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bl>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Best Practices</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lists key policies and practices of our executive compensation program, which we believe align the interests of management with those of our shareholders and are best practices in compensation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90805</wp:posOffset>
            </wp:positionV>
            <wp:extent cx="480060" cy="4629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00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22"/>
          <w:szCs w:val="22"/>
          <w:b w:val="1"/>
          <w:bCs w:val="1"/>
          <w:color w:val="006DB6"/>
        </w:rPr>
        <w:t>What We Do</w:t>
      </w:r>
      <w:r>
        <w:rPr>
          <w:sz w:val="20"/>
          <w:szCs w:val="20"/>
          <w:color w:val="auto"/>
        </w:rPr>
        <w:tab/>
      </w:r>
      <w:r>
        <w:rPr>
          <w:rFonts w:ascii="Arial" w:cs="Arial" w:eastAsia="Arial" w:hAnsi="Arial"/>
          <w:sz w:val="21"/>
          <w:szCs w:val="2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6657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266573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180" w:lineRule="exact"/>
        <w:rPr>
          <w:sz w:val="20"/>
          <w:szCs w:val="20"/>
          <w:color w:val="auto"/>
        </w:rPr>
      </w:pPr>
    </w:p>
    <w:p>
      <w:pPr>
        <w:ind w:left="320" w:hanging="221"/>
        <w:spacing w:after="0"/>
        <w:rPr>
          <w:sz w:val="20"/>
          <w:szCs w:val="20"/>
          <w:color w:val="auto"/>
        </w:rPr>
      </w:pPr>
      <w:r>
        <w:rPr>
          <w:sz w:val="1"/>
          <w:szCs w:val="1"/>
          <w:color w:val="auto"/>
        </w:rPr>
        <w:drawing>
          <wp:inline distT="0" distB="0" distL="0" distR="0">
            <wp:extent cx="68580" cy="5969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Use an independent consultant to ensure overall executive compensation is market competitive</w:t>
      </w:r>
    </w:p>
    <w:p>
      <w:pPr>
        <w:spacing w:after="0" w:line="55" w:lineRule="exact"/>
        <w:rPr>
          <w:sz w:val="20"/>
          <w:szCs w:val="20"/>
          <w:color w:val="auto"/>
        </w:rPr>
      </w:pPr>
    </w:p>
    <w:p>
      <w:pPr>
        <w:ind w:left="320" w:right="20" w:hanging="221"/>
        <w:spacing w:after="0"/>
        <w:rPr>
          <w:sz w:val="20"/>
          <w:szCs w:val="20"/>
          <w:color w:val="auto"/>
        </w:rPr>
      </w:pPr>
      <w:r>
        <w:rPr>
          <w:sz w:val="1"/>
          <w:szCs w:val="1"/>
          <w:color w:val="auto"/>
        </w:rPr>
        <w:drawing>
          <wp:inline distT="0" distB="0" distL="0" distR="0">
            <wp:extent cx="68580" cy="6032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Balanced executive pay mix including long-term incentives, 50% of which are generally performance-based for NEOs, that provide at-risk compensation in relation to share price performance</w:t>
      </w:r>
    </w:p>
    <w:p>
      <w:pPr>
        <w:spacing w:after="0" w:line="42" w:lineRule="exact"/>
        <w:rPr>
          <w:sz w:val="20"/>
          <w:szCs w:val="20"/>
          <w:color w:val="auto"/>
        </w:rPr>
      </w:pPr>
    </w:p>
    <w:p>
      <w:pPr>
        <w:jc w:val="both"/>
        <w:ind w:left="320" w:right="60" w:hanging="221"/>
        <w:spacing w:after="0"/>
        <w:rPr>
          <w:sz w:val="20"/>
          <w:szCs w:val="20"/>
          <w:color w:val="auto"/>
        </w:rPr>
      </w:pPr>
      <w:r>
        <w:rPr>
          <w:sz w:val="1"/>
          <w:szCs w:val="1"/>
          <w:color w:val="auto"/>
        </w:rPr>
        <w:drawing>
          <wp:inline distT="0" distB="0" distL="0" distR="0">
            <wp:extent cx="68580" cy="5969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Rigorous performance measures for executive compensation each year, whether absolute or relative, and set performance goals that we believe are reasonable in light of market conditions</w:t>
      </w:r>
    </w:p>
    <w:p>
      <w:pPr>
        <w:spacing w:after="0" w:line="42" w:lineRule="exact"/>
        <w:rPr>
          <w:sz w:val="20"/>
          <w:szCs w:val="20"/>
          <w:color w:val="auto"/>
        </w:rPr>
      </w:pPr>
    </w:p>
    <w:p>
      <w:pPr>
        <w:ind w:left="320" w:right="20" w:hanging="221"/>
        <w:spacing w:after="0"/>
        <w:rPr>
          <w:sz w:val="20"/>
          <w:szCs w:val="20"/>
          <w:color w:val="auto"/>
        </w:rPr>
      </w:pPr>
      <w:r>
        <w:rPr>
          <w:sz w:val="1"/>
          <w:szCs w:val="1"/>
          <w:color w:val="auto"/>
        </w:rPr>
        <w:drawing>
          <wp:inline distT="0" distB="0" distL="0" distR="0">
            <wp:extent cx="68580" cy="6032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Maximum award levels as a cap on performance incentives. Beginning in 2021, there is a cap for all future performance shares at 100% payout (Target), if Civeo's TSR over the performance period is negative, irrespective of relative performance</w:t>
      </w:r>
    </w:p>
    <w:p>
      <w:pPr>
        <w:spacing w:after="0" w:line="55" w:lineRule="exact"/>
        <w:rPr>
          <w:sz w:val="20"/>
          <w:szCs w:val="20"/>
          <w:color w:val="auto"/>
        </w:rPr>
      </w:pPr>
    </w:p>
    <w:p>
      <w:pPr>
        <w:ind w:left="320" w:right="160" w:hanging="221"/>
        <w:spacing w:after="0"/>
        <w:rPr>
          <w:sz w:val="20"/>
          <w:szCs w:val="20"/>
          <w:color w:val="auto"/>
        </w:rPr>
      </w:pPr>
      <w:r>
        <w:rPr>
          <w:sz w:val="1"/>
          <w:szCs w:val="1"/>
          <w:color w:val="auto"/>
        </w:rPr>
        <w:drawing>
          <wp:inline distT="0" distB="0" distL="0" distR="0">
            <wp:extent cx="68580" cy="5969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Civeo's clawback policy allows the Company to recoup incentive-based compensation in the case of a significant or material financial restatement, or a restatement resulting from fraud or other misconduct</w:t>
      </w:r>
    </w:p>
    <w:p>
      <w:pPr>
        <w:spacing w:after="0" w:line="42" w:lineRule="exact"/>
        <w:rPr>
          <w:sz w:val="20"/>
          <w:szCs w:val="20"/>
          <w:color w:val="auto"/>
        </w:rPr>
      </w:pPr>
    </w:p>
    <w:p>
      <w:pPr>
        <w:ind w:left="320" w:right="180" w:hanging="221"/>
        <w:spacing w:after="0"/>
        <w:rPr>
          <w:sz w:val="20"/>
          <w:szCs w:val="20"/>
          <w:color w:val="auto"/>
        </w:rPr>
      </w:pPr>
      <w:r>
        <w:rPr>
          <w:sz w:val="1"/>
          <w:szCs w:val="1"/>
          <w:color w:val="auto"/>
        </w:rPr>
        <w:drawing>
          <wp:inline distT="0" distB="0" distL="0" distR="0">
            <wp:extent cx="68580" cy="5969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 addition to minimum NEO share ownership requirements, the share ownership policy requires NEOs to hold at least 50% of the net vested Civeo shares (after tax withholding) for 12 months after the date of vesting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00" w:right="500" w:hanging="195"/>
        <w:spacing w:after="0"/>
        <w:rPr>
          <w:sz w:val="20"/>
          <w:szCs w:val="20"/>
          <w:color w:val="auto"/>
        </w:rPr>
      </w:pPr>
      <w:r>
        <w:rPr>
          <w:sz w:val="1"/>
          <w:szCs w:val="1"/>
          <w:color w:val="auto"/>
        </w:rPr>
        <w:drawing>
          <wp:inline distT="0" distB="0" distL="0" distR="0">
            <wp:extent cx="43180" cy="4318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Buying or selling puts, calls or options in respect of our securities, or pledging shares (including holding shares in a margin account) by directors and officers</w:t>
      </w:r>
    </w:p>
    <w:p>
      <w:pPr>
        <w:spacing w:after="0" w:line="55" w:lineRule="exact"/>
        <w:rPr>
          <w:sz w:val="20"/>
          <w:szCs w:val="20"/>
          <w:color w:val="auto"/>
        </w:rPr>
      </w:pPr>
    </w:p>
    <w:p>
      <w:pPr>
        <w:jc w:val="both"/>
        <w:ind w:left="200" w:right="340" w:hanging="195"/>
        <w:spacing w:after="0"/>
        <w:rPr>
          <w:sz w:val="20"/>
          <w:szCs w:val="20"/>
          <w:color w:val="auto"/>
        </w:rPr>
      </w:pPr>
      <w:r>
        <w:rPr>
          <w:sz w:val="1"/>
          <w:szCs w:val="1"/>
          <w:color w:val="auto"/>
        </w:rPr>
        <w:drawing>
          <wp:inline distT="0" distB="0" distL="0" distR="0">
            <wp:extent cx="43180" cy="4318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Excise tax gross-ups in any executive or change of control agreement entered into following our spin-off from Oil States International in May 2014</w:t>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Severance multipliers in excess of 3x</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Liberal share recycling in our long-term incentive plan</w:t>
      </w:r>
    </w:p>
    <w:p>
      <w:pPr>
        <w:spacing w:after="0" w:line="86" w:lineRule="exact"/>
        <w:rPr>
          <w:sz w:val="20"/>
          <w:szCs w:val="20"/>
          <w:color w:val="auto"/>
        </w:rPr>
      </w:pPr>
    </w:p>
    <w:p>
      <w:pPr>
        <w:ind w:left="200" w:right="100" w:hanging="195"/>
        <w:spacing w:after="0"/>
        <w:rPr>
          <w:sz w:val="20"/>
          <w:szCs w:val="20"/>
          <w:color w:val="auto"/>
        </w:rPr>
      </w:pPr>
      <w:r>
        <w:rPr>
          <w:sz w:val="1"/>
          <w:szCs w:val="1"/>
          <w:color w:val="auto"/>
        </w:rPr>
        <w:drawing>
          <wp:inline distT="0" distB="0" distL="0" distR="0">
            <wp:extent cx="43180" cy="4318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Repricing of stock options or stock appreciation rights without shareholder approval</w:t>
      </w:r>
    </w:p>
    <w:p>
      <w:pPr>
        <w:spacing w:after="0" w:line="42" w:lineRule="exact"/>
        <w:rPr>
          <w:sz w:val="20"/>
          <w:szCs w:val="20"/>
          <w:color w:val="auto"/>
        </w:rPr>
      </w:pPr>
    </w:p>
    <w:p>
      <w:pPr>
        <w:ind w:right="820"/>
        <w:spacing w:after="0" w:line="374" w:lineRule="auto"/>
        <w:rPr>
          <w:sz w:val="20"/>
          <w:szCs w:val="20"/>
          <w:color w:val="auto"/>
        </w:rPr>
      </w:pPr>
      <w:r>
        <w:rPr>
          <w:sz w:val="1"/>
          <w:szCs w:val="1"/>
          <w:color w:val="auto"/>
        </w:rPr>
        <w:drawing>
          <wp:inline distT="0" distB="0" distL="0" distR="0">
            <wp:extent cx="43180" cy="4318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Single-trigger vesting of equity awards upon a change of control </w:t>
      </w:r>
      <w:r>
        <w:rPr>
          <w:sz w:val="1"/>
          <w:szCs w:val="1"/>
          <w:color w:val="auto"/>
        </w:rPr>
        <w:drawing>
          <wp:inline distT="0" distB="0" distL="0" distR="0">
            <wp:extent cx="43180" cy="4318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Unreasonably long terms for options</w:t>
      </w:r>
    </w:p>
    <w:p>
      <w:pPr>
        <w:spacing w:after="0" w:line="1353" w:lineRule="exact"/>
        <w:rPr>
          <w:sz w:val="20"/>
          <w:szCs w:val="20"/>
          <w:color w:val="auto"/>
        </w:rPr>
      </w:pPr>
    </w:p>
    <w:p>
      <w:pPr>
        <w:sectPr>
          <w:pgSz w:w="11900" w:h="16838" w:orient="portrait"/>
          <w:cols w:equalWidth="0" w:num="2">
            <w:col w:w="5500" w:space="220"/>
            <w:col w:w="5500"/>
          </w:cols>
          <w:pgMar w:left="320" w:top="125" w:right="359" w:bottom="1440" w:gutter="0" w:footer="0" w:header="0"/>
          <w:type w:val="continuous"/>
        </w:sectPr>
      </w:pPr>
    </w:p>
    <w:p>
      <w:pPr>
        <w:spacing w:after="0" w:line="7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Design and Structure of Executive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Business and Our Compensation Philosophy</w:t>
      </w:r>
    </w:p>
    <w:p>
      <w:pPr>
        <w:spacing w:after="0" w:line="128"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Civeo’s philosophy regarding its executive compensation programs for named executive officers is to provide a comprehensive and competitive total compensation program with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7715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210" w:lineRule="exact"/>
        <w:rPr>
          <w:sz w:val="20"/>
          <w:szCs w:val="20"/>
          <w:color w:val="auto"/>
        </w:rPr>
      </w:pPr>
    </w:p>
    <w:p>
      <w:pPr>
        <w:ind w:left="100"/>
        <w:spacing w:after="0" w:line="256" w:lineRule="auto"/>
        <w:rPr>
          <w:sz w:val="20"/>
          <w:szCs w:val="20"/>
          <w:color w:val="auto"/>
        </w:rPr>
      </w:pPr>
      <w:r>
        <w:rPr>
          <w:rFonts w:ascii="Arial" w:cs="Arial" w:eastAsia="Arial" w:hAnsi="Arial"/>
          <w:sz w:val="16"/>
          <w:szCs w:val="16"/>
          <w:color w:val="auto"/>
        </w:rPr>
        <w:t>To attract, motivate, reward and retain executives with the experience and talent to achieve our short-term goals and objectives and successfully execute our longer-term strategic plans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To reinforce the linkage between individual performance of executives and business results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To align the interests of executives with the long-term interests of our shareholders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To ensure compensation does not promote overly conservative actions nor excessive risk taking</w:t>
      </w:r>
    </w:p>
    <w:p>
      <w:pPr>
        <w:spacing w:after="0" w:line="569" w:lineRule="exact"/>
        <w:rPr>
          <w:sz w:val="20"/>
          <w:szCs w:val="20"/>
          <w:color w:val="auto"/>
        </w:rPr>
      </w:pPr>
    </w:p>
    <w:p>
      <w:pPr>
        <w:sectPr>
          <w:pgSz w:w="11900" w:h="16838" w:orient="portrait"/>
          <w:cols w:equalWidth="0" w:num="4">
            <w:col w:w="3560" w:space="440"/>
            <w:col w:w="1900" w:space="440"/>
            <w:col w:w="1780" w:space="560"/>
            <w:col w:w="2540"/>
          </w:cols>
          <w:pgMar w:left="320" w:top="125" w:right="359" w:bottom="1440" w:gutter="0" w:footer="0" w:header="0"/>
          <w:type w:val="continuous"/>
        </w:sectPr>
      </w:pPr>
    </w:p>
    <w:p>
      <w:pPr>
        <w:spacing w:after="0" w:line="8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when warranted in the discretion of the Compensation Committee, awards above or below median levels of our peer group may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597535</wp:posOffset>
            </wp:positionV>
            <wp:extent cx="394335" cy="196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220"/>
          </w:cols>
          <w:pgMar w:left="320" w:top="125" w:right="35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Peer Group and Benchmarking</w:t>
      </w:r>
    </w:p>
    <w:p>
      <w:pPr>
        <w:spacing w:after="0" w:line="12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Compensation Committee, with the assistance of Mercer, uses a peer group of companies with similar customers and activity drivers to Civeo to benchmark executive compensation. The peer group includes companies serving oil and gas, mining and other natural resource companies. These peers typically will be exposed to the cyclical nature of the natural resources market that impacts Civeo’s business and financial results.</w:t>
      </w:r>
    </w:p>
    <w:p>
      <w:pPr>
        <w:spacing w:after="0" w:line="19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primary review and selection criteria for the peer group includes the following: revenue size, market value, enterprise value, number of employees, business/operational characteristics and geographic footprint. The graphic below summarizes the 2021 peer group based on certain of these metrics (US dollars in millions).</w:t>
      </w:r>
    </w:p>
    <w:p>
      <w:pPr>
        <w:spacing w:after="0" w:line="318" w:lineRule="exact"/>
        <w:rPr>
          <w:sz w:val="20"/>
          <w:szCs w:val="20"/>
          <w:color w:val="auto"/>
        </w:rPr>
      </w:pPr>
    </w:p>
    <w:p>
      <w:pPr>
        <w:ind w:left="3280"/>
        <w:spacing w:after="0"/>
        <w:tabs>
          <w:tab w:leader="none" w:pos="6480" w:val="left"/>
          <w:tab w:leader="none" w:pos="9240" w:val="left"/>
        </w:tabs>
        <w:rPr>
          <w:sz w:val="20"/>
          <w:szCs w:val="20"/>
          <w:color w:val="auto"/>
        </w:rPr>
      </w:pPr>
      <w:r>
        <w:rPr>
          <w:rFonts w:ascii="Arial" w:cs="Arial" w:eastAsia="Arial" w:hAnsi="Arial"/>
          <w:sz w:val="14"/>
          <w:szCs w:val="14"/>
          <w:b w:val="1"/>
          <w:bCs w:val="1"/>
          <w:color w:val="706F6F"/>
        </w:rPr>
        <w:t>25</w:t>
      </w:r>
      <w:r>
        <w:rPr>
          <w:rFonts w:ascii="Arial" w:cs="Arial" w:eastAsia="Arial" w:hAnsi="Arial"/>
          <w:sz w:val="18"/>
          <w:szCs w:val="18"/>
          <w:b w:val="1"/>
          <w:bCs w:val="1"/>
          <w:color w:val="706F6F"/>
          <w:vertAlign w:val="superscript"/>
        </w:rPr>
        <w:t>th</w:t>
      </w:r>
      <w:r>
        <w:rPr>
          <w:rFonts w:ascii="Arial" w:cs="Arial" w:eastAsia="Arial" w:hAnsi="Arial"/>
          <w:sz w:val="14"/>
          <w:szCs w:val="14"/>
          <w:b w:val="1"/>
          <w:bCs w:val="1"/>
          <w:color w:val="706F6F"/>
        </w:rPr>
        <w:t xml:space="preserve"> Percentile</w:t>
      </w:r>
      <w:r>
        <w:rPr>
          <w:sz w:val="20"/>
          <w:szCs w:val="20"/>
          <w:color w:val="auto"/>
        </w:rPr>
        <w:tab/>
      </w:r>
      <w:r>
        <w:rPr>
          <w:rFonts w:ascii="Arial" w:cs="Arial" w:eastAsia="Arial" w:hAnsi="Arial"/>
          <w:sz w:val="29"/>
          <w:szCs w:val="29"/>
          <w:b w:val="1"/>
          <w:bCs w:val="1"/>
          <w:color w:val="706F6F"/>
          <w:vertAlign w:val="subscript"/>
        </w:rPr>
        <w:t>Median</w:t>
      </w:r>
      <w:r>
        <w:rPr>
          <w:sz w:val="20"/>
          <w:szCs w:val="20"/>
          <w:color w:val="auto"/>
        </w:rPr>
        <w:tab/>
      </w:r>
      <w:r>
        <w:rPr>
          <w:rFonts w:ascii="Arial" w:cs="Arial" w:eastAsia="Arial" w:hAnsi="Arial"/>
          <w:sz w:val="13"/>
          <w:szCs w:val="13"/>
          <w:b w:val="1"/>
          <w:bCs w:val="1"/>
          <w:color w:val="706F6F"/>
        </w:rPr>
        <w:t>75</w:t>
      </w:r>
      <w:r>
        <w:rPr>
          <w:rFonts w:ascii="Arial" w:cs="Arial" w:eastAsia="Arial" w:hAnsi="Arial"/>
          <w:sz w:val="16"/>
          <w:szCs w:val="16"/>
          <w:b w:val="1"/>
          <w:bCs w:val="1"/>
          <w:color w:val="706F6F"/>
          <w:vertAlign w:val="superscript"/>
        </w:rPr>
        <w:t>th</w:t>
      </w:r>
      <w:r>
        <w:rPr>
          <w:rFonts w:ascii="Arial" w:cs="Arial" w:eastAsia="Arial" w:hAnsi="Arial"/>
          <w:sz w:val="13"/>
          <w:szCs w:val="13"/>
          <w:b w:val="1"/>
          <w:bCs w:val="1"/>
          <w:color w:val="706F6F"/>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38100</wp:posOffset>
            </wp:positionV>
            <wp:extent cx="569214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115570</wp:posOffset>
            </wp:positionV>
            <wp:extent cx="4714875" cy="5575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14875" cy="5575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706F6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259080</wp:posOffset>
            </wp:positionV>
            <wp:extent cx="4714875" cy="514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148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 VALUE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706F6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267970</wp:posOffset>
            </wp:positionV>
            <wp:extent cx="4714875" cy="5575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148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ENTERPRISE VALUE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706F6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285115</wp:posOffset>
            </wp:positionV>
            <wp:extent cx="4714875" cy="514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7148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706F6F"/>
        </w:rPr>
        <w:t>(in millions)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39</w:t>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PEER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late 2020, Mercer reviewed Civeo’s peer group of companies used for 2021 benchmarking to assess the ongoing competitiveness and suitability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Civeo’s compensation programs and practices. Following that review, Mercer recommended the following:</w:t>
      </w:r>
    </w:p>
    <w:p>
      <w:pPr>
        <w:spacing w:after="0" w:line="97"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Unit Corp. and Quintana Energy Services Inc. be removed as both companies were taken private.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Basic Energy Services, STEP Energy Services and Source Energy Services be removed given their significantly smaller market capitalization.</w:t>
      </w:r>
    </w:p>
    <w:p>
      <w:pPr>
        <w:spacing w:after="0" w:line="113" w:lineRule="exact"/>
        <w:rPr>
          <w:rFonts w:ascii="Arial" w:cs="Arial" w:eastAsia="Arial" w:hAnsi="Arial"/>
          <w:sz w:val="16"/>
          <w:szCs w:val="16"/>
          <w:color w:val="auto"/>
        </w:rPr>
      </w:pPr>
    </w:p>
    <w:p>
      <w:pPr>
        <w:ind w:left="660" w:right="40" w:hanging="328"/>
        <w:spacing w:after="0" w:line="266"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Badger Infrastructure Solutions Ltd. (formerly Badger Daylighting Ltd.), Enerflex Ltd., McGrath RentCorp, North American Construction Group and Target Hospitality Corp. be added as they are companies serving the oil and gas industry or are comparable with other companies in the peer group.</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Compensation Committee approved these changes to the peer group, and it was used by the Compensation Committee for compensation evaluation purposes for 2021.</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451"/>
        </w:trPr>
        <w:tc>
          <w:tcPr>
            <w:tcW w:w="920" w:type="dxa"/>
            <w:vAlign w:val="bottom"/>
          </w:tcPr>
          <w:p>
            <w:pPr>
              <w:spacing w:after="0"/>
              <w:rPr>
                <w:sz w:val="20"/>
                <w:szCs w:val="20"/>
                <w:color w:val="auto"/>
              </w:rPr>
            </w:pPr>
            <w:r>
              <w:rPr>
                <w:rFonts w:ascii="Arial" w:cs="Arial" w:eastAsia="Arial" w:hAnsi="Arial"/>
                <w:sz w:val="16"/>
                <w:szCs w:val="16"/>
                <w:b w:val="1"/>
                <w:bCs w:val="1"/>
                <w:color w:val="auto"/>
              </w:rPr>
              <w:t>2020</w:t>
            </w:r>
          </w:p>
        </w:tc>
        <w:tc>
          <w:tcPr>
            <w:tcW w:w="3140" w:type="dxa"/>
            <w:vAlign w:val="bottom"/>
            <w:tcBorders>
              <w:top w:val="single" w:sz="8" w:color="FFC03C"/>
              <w:left w:val="single" w:sz="8" w:color="FFC03C"/>
            </w:tcBorders>
            <w:gridSpan w:val="2"/>
            <w:vMerge w:val="restart"/>
          </w:tcPr>
          <w:p>
            <w:pPr>
              <w:ind w:left="160"/>
              <w:spacing w:after="0"/>
              <w:rPr>
                <w:sz w:val="20"/>
                <w:szCs w:val="20"/>
                <w:color w:val="auto"/>
              </w:rPr>
            </w:pPr>
            <w:r>
              <w:rPr>
                <w:rFonts w:ascii="Arial" w:cs="Arial" w:eastAsia="Arial" w:hAnsi="Arial"/>
                <w:sz w:val="16"/>
                <w:szCs w:val="16"/>
                <w:color w:val="auto"/>
              </w:rPr>
              <w:t>Basic Energy Services Inc.</w:t>
            </w:r>
          </w:p>
        </w:tc>
        <w:tc>
          <w:tcPr>
            <w:tcW w:w="2380" w:type="dxa"/>
            <w:vAlign w:val="bottom"/>
            <w:tcBorders>
              <w:top w:val="single" w:sz="8" w:color="FFC03C"/>
            </w:tcBorders>
            <w:gridSpan w:val="3"/>
            <w:vMerge w:val="restart"/>
          </w:tcPr>
          <w:p>
            <w:pPr>
              <w:ind w:left="460"/>
              <w:spacing w:after="0"/>
              <w:rPr>
                <w:sz w:val="20"/>
                <w:szCs w:val="20"/>
                <w:color w:val="auto"/>
              </w:rPr>
            </w:pPr>
            <w:r>
              <w:rPr>
                <w:rFonts w:ascii="Arial" w:cs="Arial" w:eastAsia="Arial" w:hAnsi="Arial"/>
                <w:sz w:val="16"/>
                <w:szCs w:val="16"/>
                <w:color w:val="auto"/>
              </w:rPr>
              <w:t>Newpark Resources, Inc.</w:t>
            </w:r>
          </w:p>
        </w:tc>
        <w:tc>
          <w:tcPr>
            <w:tcW w:w="320" w:type="dxa"/>
            <w:vAlign w:val="bottom"/>
            <w:tcBorders>
              <w:top w:val="single" w:sz="8" w:color="FFC03C"/>
            </w:tcBorders>
          </w:tcPr>
          <w:p>
            <w:pPr>
              <w:spacing w:after="0"/>
              <w:rPr>
                <w:sz w:val="24"/>
                <w:szCs w:val="24"/>
                <w:color w:val="auto"/>
              </w:rPr>
            </w:pPr>
          </w:p>
        </w:tc>
        <w:tc>
          <w:tcPr>
            <w:tcW w:w="680" w:type="dxa"/>
            <w:vAlign w:val="bottom"/>
            <w:tcBorders>
              <w:top w:val="single" w:sz="8" w:color="FFC03C"/>
            </w:tcBorders>
          </w:tcPr>
          <w:p>
            <w:pPr>
              <w:spacing w:after="0"/>
              <w:rPr>
                <w:sz w:val="24"/>
                <w:szCs w:val="24"/>
                <w:color w:val="auto"/>
              </w:rPr>
            </w:pPr>
          </w:p>
        </w:tc>
        <w:tc>
          <w:tcPr>
            <w:tcW w:w="3560" w:type="dxa"/>
            <w:vAlign w:val="bottom"/>
            <w:tcBorders>
              <w:top w:val="single" w:sz="8" w:color="FFC03C"/>
            </w:tcBorders>
            <w:gridSpan w:val="2"/>
            <w:vMerge w:val="restart"/>
          </w:tcPr>
          <w:p>
            <w:pPr>
              <w:ind w:left="360"/>
              <w:spacing w:after="0"/>
              <w:rPr>
                <w:sz w:val="20"/>
                <w:szCs w:val="20"/>
                <w:color w:val="auto"/>
              </w:rPr>
            </w:pPr>
            <w:r>
              <w:rPr>
                <w:rFonts w:ascii="Arial" w:cs="Arial" w:eastAsia="Arial" w:hAnsi="Arial"/>
                <w:sz w:val="16"/>
                <w:szCs w:val="16"/>
                <w:color w:val="auto"/>
              </w:rPr>
              <w:t>Source Energy Services Ltd.</w:t>
            </w:r>
          </w:p>
        </w:tc>
        <w:tc>
          <w:tcPr>
            <w:tcW w:w="20" w:type="dxa"/>
            <w:vAlign w:val="bottom"/>
            <w:tcBorders>
              <w:top w:val="single" w:sz="8" w:color="FFC03C"/>
            </w:tcBorders>
            <w:shd w:val="clear" w:color="auto" w:fill="FFC03C"/>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920" w:type="dxa"/>
            <w:vAlign w:val="bottom"/>
          </w:tcPr>
          <w:p>
            <w:pPr>
              <w:spacing w:after="0"/>
              <w:rPr>
                <w:sz w:val="5"/>
                <w:szCs w:val="5"/>
                <w:color w:val="auto"/>
              </w:rPr>
            </w:pPr>
          </w:p>
        </w:tc>
        <w:tc>
          <w:tcPr>
            <w:tcW w:w="3140" w:type="dxa"/>
            <w:vAlign w:val="bottom"/>
            <w:tcBorders>
              <w:left w:val="single" w:sz="8" w:color="FFC03C"/>
            </w:tcBorders>
            <w:gridSpan w:val="2"/>
            <w:vMerge w:val="continue"/>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560" w:type="dxa"/>
            <w:vAlign w:val="bottom"/>
            <w:gridSpan w:val="2"/>
            <w:vMerge w:val="continue"/>
          </w:tcPr>
          <w:p>
            <w:pPr>
              <w:spacing w:after="0"/>
              <w:rPr>
                <w:sz w:val="5"/>
                <w:szCs w:val="5"/>
                <w:color w:val="auto"/>
              </w:rPr>
            </w:pPr>
          </w:p>
        </w:tc>
        <w:tc>
          <w:tcPr>
            <w:tcW w:w="20" w:type="dxa"/>
            <w:vAlign w:val="bottom"/>
            <w:shd w:val="clear" w:color="auto" w:fill="FFC03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140" w:type="dxa"/>
            <w:vAlign w:val="bottom"/>
            <w:tcBorders>
              <w:left w:val="single" w:sz="8" w:color="FFC03C"/>
            </w:tcBorders>
            <w:gridSpan w:val="2"/>
          </w:tcPr>
          <w:p>
            <w:pPr>
              <w:ind w:left="160"/>
              <w:spacing w:after="0"/>
              <w:rPr>
                <w:sz w:val="20"/>
                <w:szCs w:val="20"/>
                <w:color w:val="auto"/>
              </w:rPr>
            </w:pPr>
            <w:r>
              <w:rPr>
                <w:rFonts w:ascii="Arial" w:cs="Arial" w:eastAsia="Arial" w:hAnsi="Arial"/>
                <w:sz w:val="16"/>
                <w:szCs w:val="16"/>
                <w:color w:val="auto"/>
              </w:rPr>
              <w:t>Black Diamond Group Limited</w:t>
            </w:r>
          </w:p>
        </w:tc>
        <w:tc>
          <w:tcPr>
            <w:tcW w:w="2380" w:type="dxa"/>
            <w:vAlign w:val="bottom"/>
            <w:gridSpan w:val="3"/>
          </w:tcPr>
          <w:p>
            <w:pPr>
              <w:ind w:left="460"/>
              <w:spacing w:after="0"/>
              <w:rPr>
                <w:sz w:val="20"/>
                <w:szCs w:val="20"/>
                <w:color w:val="auto"/>
              </w:rPr>
            </w:pPr>
            <w:r>
              <w:rPr>
                <w:rFonts w:ascii="Arial" w:cs="Arial" w:eastAsia="Arial" w:hAnsi="Arial"/>
                <w:sz w:val="16"/>
                <w:szCs w:val="16"/>
                <w:color w:val="auto"/>
              </w:rPr>
              <w:t>Nine Energy Service, Inc.</w:t>
            </w: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STEP Energy Services Ltd.</w:t>
            </w:r>
          </w:p>
        </w:tc>
        <w:tc>
          <w:tcPr>
            <w:tcW w:w="20" w:type="dxa"/>
            <w:vAlign w:val="bottom"/>
            <w:shd w:val="clear" w:color="auto" w:fill="FFC03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3140" w:type="dxa"/>
            <w:vAlign w:val="bottom"/>
            <w:tcBorders>
              <w:left w:val="single" w:sz="8" w:color="FFC03C"/>
            </w:tcBorders>
            <w:gridSpan w:val="2"/>
          </w:tcPr>
          <w:p>
            <w:pPr>
              <w:ind w:left="160"/>
              <w:spacing w:after="0"/>
              <w:rPr>
                <w:sz w:val="20"/>
                <w:szCs w:val="20"/>
                <w:color w:val="auto"/>
              </w:rPr>
            </w:pPr>
            <w:r>
              <w:rPr>
                <w:rFonts w:ascii="Arial" w:cs="Arial" w:eastAsia="Arial" w:hAnsi="Arial"/>
                <w:sz w:val="16"/>
                <w:szCs w:val="16"/>
                <w:color w:val="auto"/>
              </w:rPr>
              <w:t>Dexterra Group</w:t>
            </w:r>
          </w:p>
        </w:tc>
        <w:tc>
          <w:tcPr>
            <w:tcW w:w="2700" w:type="dxa"/>
            <w:vAlign w:val="bottom"/>
            <w:gridSpan w:val="4"/>
          </w:tcPr>
          <w:p>
            <w:pPr>
              <w:ind w:left="460"/>
              <w:spacing w:after="0"/>
              <w:rPr>
                <w:sz w:val="20"/>
                <w:szCs w:val="20"/>
                <w:color w:val="auto"/>
              </w:rPr>
            </w:pPr>
            <w:r>
              <w:rPr>
                <w:rFonts w:ascii="Arial" w:cs="Arial" w:eastAsia="Arial" w:hAnsi="Arial"/>
                <w:sz w:val="16"/>
                <w:szCs w:val="16"/>
                <w:color w:val="auto"/>
              </w:rPr>
              <w:t>Oil States International, Inc.</w:t>
            </w:r>
          </w:p>
        </w:tc>
        <w:tc>
          <w:tcPr>
            <w:tcW w:w="680" w:type="dxa"/>
            <w:vAlign w:val="bottom"/>
          </w:tcPr>
          <w:p>
            <w:pPr>
              <w:spacing w:after="0"/>
              <w:rPr>
                <w:sz w:val="22"/>
                <w:szCs w:val="22"/>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TETRA Technologies, Inc.</w:t>
            </w:r>
          </w:p>
        </w:tc>
        <w:tc>
          <w:tcPr>
            <w:tcW w:w="20" w:type="dxa"/>
            <w:vAlign w:val="bottom"/>
            <w:shd w:val="clear" w:color="auto" w:fill="FFC03C"/>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3140" w:type="dxa"/>
            <w:vAlign w:val="bottom"/>
            <w:tcBorders>
              <w:left w:val="single" w:sz="8" w:color="FFC03C"/>
            </w:tcBorders>
            <w:gridSpan w:val="2"/>
          </w:tcPr>
          <w:p>
            <w:pPr>
              <w:ind w:left="160"/>
              <w:spacing w:after="0"/>
              <w:rPr>
                <w:sz w:val="20"/>
                <w:szCs w:val="20"/>
                <w:color w:val="auto"/>
              </w:rPr>
            </w:pPr>
            <w:r>
              <w:rPr>
                <w:rFonts w:ascii="Arial" w:cs="Arial" w:eastAsia="Arial" w:hAnsi="Arial"/>
                <w:sz w:val="16"/>
                <w:szCs w:val="16"/>
                <w:color w:val="auto"/>
              </w:rPr>
              <w:t>Exterran Corporation</w:t>
            </w:r>
          </w:p>
        </w:tc>
        <w:tc>
          <w:tcPr>
            <w:tcW w:w="2700" w:type="dxa"/>
            <w:vAlign w:val="bottom"/>
            <w:gridSpan w:val="4"/>
          </w:tcPr>
          <w:p>
            <w:pPr>
              <w:ind w:left="460"/>
              <w:spacing w:after="0"/>
              <w:rPr>
                <w:sz w:val="20"/>
                <w:szCs w:val="20"/>
                <w:color w:val="auto"/>
              </w:rPr>
            </w:pPr>
            <w:r>
              <w:rPr>
                <w:rFonts w:ascii="Arial" w:cs="Arial" w:eastAsia="Arial" w:hAnsi="Arial"/>
                <w:sz w:val="16"/>
                <w:szCs w:val="16"/>
                <w:color w:val="auto"/>
              </w:rPr>
              <w:t>Precision Drilling Corporation</w:t>
            </w:r>
          </w:p>
        </w:tc>
        <w:tc>
          <w:tcPr>
            <w:tcW w:w="680" w:type="dxa"/>
            <w:vAlign w:val="bottom"/>
          </w:tcPr>
          <w:p>
            <w:pPr>
              <w:spacing w:after="0"/>
              <w:rPr>
                <w:sz w:val="24"/>
                <w:szCs w:val="24"/>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Total Energy Services Inc.</w:t>
            </w:r>
          </w:p>
        </w:tc>
        <w:tc>
          <w:tcPr>
            <w:tcW w:w="20" w:type="dxa"/>
            <w:vAlign w:val="bottom"/>
            <w:shd w:val="clear" w:color="auto" w:fill="FFC03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3140" w:type="dxa"/>
            <w:vAlign w:val="bottom"/>
            <w:tcBorders>
              <w:left w:val="single" w:sz="8" w:color="FFC03C"/>
            </w:tcBorders>
            <w:gridSpan w:val="2"/>
          </w:tcPr>
          <w:p>
            <w:pPr>
              <w:ind w:left="160"/>
              <w:spacing w:after="0"/>
              <w:rPr>
                <w:sz w:val="20"/>
                <w:szCs w:val="20"/>
                <w:color w:val="auto"/>
              </w:rPr>
            </w:pPr>
            <w:r>
              <w:rPr>
                <w:rFonts w:ascii="Arial" w:cs="Arial" w:eastAsia="Arial" w:hAnsi="Arial"/>
                <w:sz w:val="16"/>
                <w:szCs w:val="16"/>
                <w:color w:val="auto"/>
              </w:rPr>
              <w:t>Forum Energy Technologies, Inc.</w:t>
            </w:r>
          </w:p>
        </w:tc>
        <w:tc>
          <w:tcPr>
            <w:tcW w:w="2700" w:type="dxa"/>
            <w:vAlign w:val="bottom"/>
            <w:gridSpan w:val="4"/>
          </w:tcPr>
          <w:p>
            <w:pPr>
              <w:ind w:left="460"/>
              <w:spacing w:after="0"/>
              <w:rPr>
                <w:sz w:val="20"/>
                <w:szCs w:val="20"/>
                <w:color w:val="auto"/>
              </w:rPr>
            </w:pPr>
            <w:r>
              <w:rPr>
                <w:rFonts w:ascii="Arial" w:cs="Arial" w:eastAsia="Arial" w:hAnsi="Arial"/>
                <w:sz w:val="16"/>
                <w:szCs w:val="16"/>
                <w:color w:val="auto"/>
              </w:rPr>
              <w:t>Quintana Energy Services Inc.</w:t>
            </w:r>
          </w:p>
        </w:tc>
        <w:tc>
          <w:tcPr>
            <w:tcW w:w="680" w:type="dxa"/>
            <w:vAlign w:val="bottom"/>
          </w:tcPr>
          <w:p>
            <w:pPr>
              <w:spacing w:after="0"/>
              <w:rPr>
                <w:sz w:val="22"/>
                <w:szCs w:val="22"/>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Unit Corp.</w:t>
            </w:r>
          </w:p>
        </w:tc>
        <w:tc>
          <w:tcPr>
            <w:tcW w:w="20" w:type="dxa"/>
            <w:vAlign w:val="bottom"/>
            <w:shd w:val="clear" w:color="auto" w:fill="FFC03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140" w:type="dxa"/>
            <w:vAlign w:val="bottom"/>
            <w:tcBorders>
              <w:left w:val="single" w:sz="8" w:color="FFC03C"/>
            </w:tcBorders>
            <w:gridSpan w:val="2"/>
          </w:tcPr>
          <w:p>
            <w:pPr>
              <w:ind w:left="160"/>
              <w:spacing w:after="0"/>
              <w:rPr>
                <w:sz w:val="20"/>
                <w:szCs w:val="20"/>
                <w:color w:val="auto"/>
              </w:rPr>
            </w:pPr>
            <w:r>
              <w:rPr>
                <w:rFonts w:ascii="Arial" w:cs="Arial" w:eastAsia="Arial" w:hAnsi="Arial"/>
                <w:sz w:val="16"/>
                <w:szCs w:val="16"/>
                <w:color w:val="auto"/>
              </w:rPr>
              <w:t>Matrix Service Company</w:t>
            </w:r>
          </w:p>
        </w:tc>
        <w:tc>
          <w:tcPr>
            <w:tcW w:w="2700" w:type="dxa"/>
            <w:vAlign w:val="bottom"/>
            <w:gridSpan w:val="4"/>
          </w:tcPr>
          <w:p>
            <w:pPr>
              <w:ind w:left="460"/>
              <w:spacing w:after="0"/>
              <w:rPr>
                <w:sz w:val="20"/>
                <w:szCs w:val="20"/>
                <w:color w:val="auto"/>
              </w:rPr>
            </w:pPr>
            <w:r>
              <w:rPr>
                <w:rFonts w:ascii="Arial" w:cs="Arial" w:eastAsia="Arial" w:hAnsi="Arial"/>
                <w:sz w:val="16"/>
                <w:szCs w:val="16"/>
                <w:color w:val="auto"/>
              </w:rPr>
              <w:t>Select Energy Services, Inc.</w:t>
            </w:r>
          </w:p>
        </w:tc>
        <w:tc>
          <w:tcPr>
            <w:tcW w:w="6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shd w:val="clear" w:color="auto" w:fill="FFC03C"/>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1360" w:type="dxa"/>
            <w:vAlign w:val="bottom"/>
            <w:tcBorders>
              <w:left w:val="single" w:sz="8" w:color="FFC03C"/>
            </w:tcBorders>
          </w:tcPr>
          <w:p>
            <w:pPr>
              <w:spacing w:after="0"/>
              <w:rPr>
                <w:sz w:val="21"/>
                <w:szCs w:val="21"/>
                <w:color w:val="auto"/>
              </w:rPr>
            </w:pPr>
          </w:p>
        </w:tc>
        <w:tc>
          <w:tcPr>
            <w:tcW w:w="4160" w:type="dxa"/>
            <w:vAlign w:val="bottom"/>
            <w:gridSpan w:val="4"/>
          </w:tcPr>
          <w:p>
            <w:pPr>
              <w:spacing w:after="0"/>
              <w:rPr>
                <w:sz w:val="21"/>
                <w:szCs w:val="21"/>
                <w:color w:val="auto"/>
              </w:rPr>
            </w:pPr>
          </w:p>
        </w:tc>
        <w:tc>
          <w:tcPr>
            <w:tcW w:w="320" w:type="dxa"/>
            <w:vAlign w:val="bottom"/>
          </w:tcPr>
          <w:p>
            <w:pPr>
              <w:spacing w:after="0"/>
              <w:rPr>
                <w:sz w:val="21"/>
                <w:szCs w:val="21"/>
                <w:color w:val="auto"/>
              </w:rPr>
            </w:pPr>
          </w:p>
        </w:tc>
        <w:tc>
          <w:tcPr>
            <w:tcW w:w="4240" w:type="dxa"/>
            <w:vAlign w:val="bottom"/>
            <w:gridSpan w:val="3"/>
          </w:tcPr>
          <w:p>
            <w:pPr>
              <w:spacing w:after="0"/>
              <w:rPr>
                <w:sz w:val="21"/>
                <w:szCs w:val="21"/>
                <w:color w:val="auto"/>
              </w:rPr>
            </w:pPr>
          </w:p>
        </w:tc>
        <w:tc>
          <w:tcPr>
            <w:tcW w:w="20" w:type="dxa"/>
            <w:vAlign w:val="bottom"/>
            <w:shd w:val="clear" w:color="auto" w:fill="FFC03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1360" w:type="dxa"/>
            <w:vAlign w:val="bottom"/>
            <w:tcBorders>
              <w:top w:val="single" w:sz="8" w:color="FFC03C"/>
              <w:right w:val="single" w:sz="8" w:color="FFC03C"/>
            </w:tcBorders>
          </w:tcPr>
          <w:p>
            <w:pPr>
              <w:spacing w:after="0"/>
              <w:rPr>
                <w:sz w:val="23"/>
                <w:szCs w:val="23"/>
                <w:color w:val="auto"/>
              </w:rPr>
            </w:pPr>
          </w:p>
        </w:tc>
        <w:tc>
          <w:tcPr>
            <w:tcW w:w="3080" w:type="dxa"/>
            <w:vAlign w:val="bottom"/>
            <w:tcBorders>
              <w:top w:val="single" w:sz="8" w:color="FFC03C"/>
              <w:right w:val="single" w:sz="8" w:color="FFC03C"/>
            </w:tcBorders>
            <w:gridSpan w:val="2"/>
          </w:tcPr>
          <w:p>
            <w:pPr>
              <w:ind w:left="500"/>
              <w:spacing w:after="0"/>
              <w:rPr>
                <w:sz w:val="20"/>
                <w:szCs w:val="20"/>
                <w:color w:val="auto"/>
              </w:rPr>
            </w:pPr>
            <w:r>
              <w:rPr>
                <w:rFonts w:ascii="Arial" w:cs="Arial" w:eastAsia="Arial" w:hAnsi="Arial"/>
                <w:sz w:val="16"/>
                <w:szCs w:val="16"/>
                <w:color w:val="FFC03C"/>
              </w:rPr>
              <w:t>Basic Energy Services Inc.</w:t>
            </w:r>
          </w:p>
        </w:tc>
        <w:tc>
          <w:tcPr>
            <w:tcW w:w="900" w:type="dxa"/>
            <w:vAlign w:val="bottom"/>
            <w:tcBorders>
              <w:top w:val="single" w:sz="8" w:color="FFC03C"/>
              <w:right w:val="single" w:sz="8" w:color="006DB6"/>
            </w:tcBorders>
          </w:tcPr>
          <w:p>
            <w:pPr>
              <w:spacing w:after="0"/>
              <w:rPr>
                <w:sz w:val="23"/>
                <w:szCs w:val="23"/>
                <w:color w:val="auto"/>
              </w:rPr>
            </w:pPr>
          </w:p>
        </w:tc>
        <w:tc>
          <w:tcPr>
            <w:tcW w:w="180" w:type="dxa"/>
            <w:vAlign w:val="bottom"/>
            <w:tcBorders>
              <w:top w:val="single" w:sz="8" w:color="006DB6"/>
            </w:tcBorders>
          </w:tcPr>
          <w:p>
            <w:pPr>
              <w:spacing w:after="0"/>
              <w:rPr>
                <w:sz w:val="23"/>
                <w:szCs w:val="23"/>
                <w:color w:val="auto"/>
              </w:rPr>
            </w:pPr>
          </w:p>
        </w:tc>
        <w:tc>
          <w:tcPr>
            <w:tcW w:w="320" w:type="dxa"/>
            <w:vAlign w:val="bottom"/>
            <w:tcBorders>
              <w:top w:val="single" w:sz="8" w:color="006DB6"/>
            </w:tcBorders>
          </w:tcPr>
          <w:p>
            <w:pPr>
              <w:spacing w:after="0"/>
              <w:rPr>
                <w:sz w:val="23"/>
                <w:szCs w:val="23"/>
                <w:color w:val="auto"/>
              </w:rPr>
            </w:pPr>
          </w:p>
        </w:tc>
        <w:tc>
          <w:tcPr>
            <w:tcW w:w="2760" w:type="dxa"/>
            <w:vAlign w:val="bottom"/>
            <w:tcBorders>
              <w:top w:val="single" w:sz="8" w:color="006DB6"/>
              <w:right w:val="single" w:sz="8" w:color="006DB6"/>
            </w:tcBorders>
            <w:gridSpan w:val="2"/>
          </w:tcPr>
          <w:p>
            <w:pPr>
              <w:ind w:left="60"/>
              <w:spacing w:after="0"/>
              <w:rPr>
                <w:sz w:val="20"/>
                <w:szCs w:val="20"/>
                <w:color w:val="auto"/>
              </w:rPr>
            </w:pPr>
            <w:r>
              <w:rPr>
                <w:rFonts w:ascii="Arial" w:cs="Arial" w:eastAsia="Arial" w:hAnsi="Arial"/>
                <w:sz w:val="16"/>
                <w:szCs w:val="16"/>
                <w:color w:val="006DB6"/>
              </w:rPr>
              <w:t>Badger Infrastructure Solutions Ltd.</w:t>
            </w:r>
          </w:p>
        </w:tc>
        <w:tc>
          <w:tcPr>
            <w:tcW w:w="1480" w:type="dxa"/>
            <w:vAlign w:val="bottom"/>
            <w:tcBorders>
              <w:top w:val="single" w:sz="8" w:color="FFC03C"/>
            </w:tcBorders>
          </w:tcPr>
          <w:p>
            <w:pPr>
              <w:spacing w:after="0"/>
              <w:rPr>
                <w:sz w:val="23"/>
                <w:szCs w:val="23"/>
                <w:color w:val="auto"/>
              </w:rPr>
            </w:pPr>
          </w:p>
        </w:tc>
        <w:tc>
          <w:tcPr>
            <w:tcW w:w="20" w:type="dxa"/>
            <w:vAlign w:val="bottom"/>
            <w:tcBorders>
              <w:top w:val="single" w:sz="8" w:color="FFC03C"/>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360" w:type="dxa"/>
            <w:vAlign w:val="bottom"/>
            <w:tcBorders>
              <w:right w:val="single" w:sz="8" w:color="FFC03C"/>
            </w:tcBorders>
          </w:tcPr>
          <w:p>
            <w:pPr>
              <w:spacing w:after="0"/>
              <w:rPr>
                <w:sz w:val="23"/>
                <w:szCs w:val="23"/>
                <w:color w:val="auto"/>
              </w:rPr>
            </w:pPr>
          </w:p>
        </w:tc>
        <w:tc>
          <w:tcPr>
            <w:tcW w:w="3080" w:type="dxa"/>
            <w:vAlign w:val="bottom"/>
            <w:tcBorders>
              <w:right w:val="single" w:sz="8" w:color="FFC03C"/>
            </w:tcBorders>
            <w:gridSpan w:val="2"/>
          </w:tcPr>
          <w:p>
            <w:pPr>
              <w:ind w:left="500"/>
              <w:spacing w:after="0"/>
              <w:rPr>
                <w:sz w:val="20"/>
                <w:szCs w:val="20"/>
                <w:color w:val="auto"/>
              </w:rPr>
            </w:pPr>
            <w:r>
              <w:rPr>
                <w:rFonts w:ascii="Arial" w:cs="Arial" w:eastAsia="Arial" w:hAnsi="Arial"/>
                <w:sz w:val="16"/>
                <w:szCs w:val="16"/>
                <w:color w:val="FFC03C"/>
              </w:rPr>
              <w:t>Quintana Energy Services Inc.</w:t>
            </w:r>
          </w:p>
        </w:tc>
        <w:tc>
          <w:tcPr>
            <w:tcW w:w="900" w:type="dxa"/>
            <w:vAlign w:val="bottom"/>
            <w:tcBorders>
              <w:right w:val="single" w:sz="8" w:color="006DB6"/>
            </w:tcBorders>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60" w:type="dxa"/>
            <w:vAlign w:val="bottom"/>
            <w:tcBorders>
              <w:right w:val="single" w:sz="8" w:color="006DB6"/>
            </w:tcBorders>
            <w:gridSpan w:val="2"/>
          </w:tcPr>
          <w:p>
            <w:pPr>
              <w:ind w:left="60"/>
              <w:spacing w:after="0"/>
              <w:rPr>
                <w:sz w:val="20"/>
                <w:szCs w:val="20"/>
                <w:color w:val="auto"/>
              </w:rPr>
            </w:pPr>
            <w:r>
              <w:rPr>
                <w:rFonts w:ascii="Arial" w:cs="Arial" w:eastAsia="Arial" w:hAnsi="Arial"/>
                <w:sz w:val="16"/>
                <w:szCs w:val="16"/>
                <w:color w:val="006DB6"/>
              </w:rPr>
              <w:t>Enerflex Ltd.</w:t>
            </w: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1360" w:type="dxa"/>
            <w:vAlign w:val="bottom"/>
            <w:tcBorders>
              <w:right w:val="single" w:sz="8" w:color="FFC03C"/>
            </w:tcBorders>
          </w:tcPr>
          <w:p>
            <w:pPr>
              <w:spacing w:after="0"/>
              <w:rPr>
                <w:sz w:val="24"/>
                <w:szCs w:val="24"/>
                <w:color w:val="auto"/>
              </w:rPr>
            </w:pPr>
          </w:p>
        </w:tc>
        <w:tc>
          <w:tcPr>
            <w:tcW w:w="3080" w:type="dxa"/>
            <w:vAlign w:val="bottom"/>
            <w:tcBorders>
              <w:right w:val="single" w:sz="8" w:color="FFC03C"/>
            </w:tcBorders>
            <w:gridSpan w:val="2"/>
          </w:tcPr>
          <w:p>
            <w:pPr>
              <w:ind w:left="180"/>
              <w:spacing w:after="0"/>
              <w:rPr>
                <w:sz w:val="20"/>
                <w:szCs w:val="20"/>
                <w:color w:val="auto"/>
              </w:rPr>
            </w:pPr>
            <w:r>
              <w:rPr>
                <w:rFonts w:ascii="Arial" w:cs="Arial" w:eastAsia="Arial" w:hAnsi="Arial"/>
                <w:sz w:val="22"/>
                <w:szCs w:val="22"/>
                <w:b w:val="1"/>
                <w:bCs w:val="1"/>
                <w:color w:val="FFC03C"/>
              </w:rPr>
              <w:t xml:space="preserve">−  </w:t>
            </w:r>
            <w:r>
              <w:rPr>
                <w:rFonts w:ascii="Arial" w:cs="Arial" w:eastAsia="Arial" w:hAnsi="Arial"/>
                <w:sz w:val="16"/>
                <w:szCs w:val="16"/>
                <w:color w:val="FFC03C"/>
              </w:rPr>
              <w:t>Source Energy Services Ltd.</w:t>
            </w:r>
          </w:p>
        </w:tc>
        <w:tc>
          <w:tcPr>
            <w:tcW w:w="900" w:type="dxa"/>
            <w:vAlign w:val="bottom"/>
            <w:tcBorders>
              <w:right w:val="single" w:sz="8" w:color="006DB6"/>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b w:val="1"/>
                <w:bCs w:val="1"/>
                <w:color w:val="006DB6"/>
              </w:rPr>
              <w:t>+</w:t>
            </w:r>
          </w:p>
        </w:tc>
        <w:tc>
          <w:tcPr>
            <w:tcW w:w="2760" w:type="dxa"/>
            <w:vAlign w:val="bottom"/>
            <w:tcBorders>
              <w:right w:val="single" w:sz="8" w:color="006DB6"/>
            </w:tcBorders>
            <w:gridSpan w:val="2"/>
          </w:tcPr>
          <w:p>
            <w:pPr>
              <w:ind w:left="60"/>
              <w:spacing w:after="0"/>
              <w:rPr>
                <w:sz w:val="20"/>
                <w:szCs w:val="20"/>
                <w:color w:val="auto"/>
              </w:rPr>
            </w:pPr>
            <w:r>
              <w:rPr>
                <w:rFonts w:ascii="Arial" w:cs="Arial" w:eastAsia="Arial" w:hAnsi="Arial"/>
                <w:sz w:val="16"/>
                <w:szCs w:val="16"/>
                <w:color w:val="006DB6"/>
              </w:rPr>
              <w:t>McGrath RentCorp</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360" w:type="dxa"/>
            <w:vAlign w:val="bottom"/>
            <w:tcBorders>
              <w:right w:val="single" w:sz="8" w:color="FFC03C"/>
            </w:tcBorders>
          </w:tcPr>
          <w:p>
            <w:pPr>
              <w:spacing w:after="0"/>
              <w:rPr>
                <w:sz w:val="18"/>
                <w:szCs w:val="18"/>
                <w:color w:val="auto"/>
              </w:rPr>
            </w:pPr>
          </w:p>
        </w:tc>
        <w:tc>
          <w:tcPr>
            <w:tcW w:w="3080" w:type="dxa"/>
            <w:vAlign w:val="bottom"/>
            <w:tcBorders>
              <w:right w:val="single" w:sz="8" w:color="FFC03C"/>
            </w:tcBorders>
            <w:gridSpan w:val="2"/>
          </w:tcPr>
          <w:p>
            <w:pPr>
              <w:ind w:left="500"/>
              <w:spacing w:after="0"/>
              <w:rPr>
                <w:sz w:val="20"/>
                <w:szCs w:val="20"/>
                <w:color w:val="auto"/>
              </w:rPr>
            </w:pPr>
            <w:r>
              <w:rPr>
                <w:rFonts w:ascii="Arial" w:cs="Arial" w:eastAsia="Arial" w:hAnsi="Arial"/>
                <w:sz w:val="16"/>
                <w:szCs w:val="16"/>
                <w:color w:val="FFC03C"/>
              </w:rPr>
              <w:t>STEP Energy Services Ltd.</w:t>
            </w:r>
          </w:p>
        </w:tc>
        <w:tc>
          <w:tcPr>
            <w:tcW w:w="900" w:type="dxa"/>
            <w:vAlign w:val="bottom"/>
            <w:tcBorders>
              <w:right w:val="single" w:sz="8" w:color="006DB6"/>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Borders>
              <w:right w:val="single" w:sz="8" w:color="006DB6"/>
            </w:tcBorders>
            <w:gridSpan w:val="2"/>
          </w:tcPr>
          <w:p>
            <w:pPr>
              <w:ind w:left="60"/>
              <w:spacing w:after="0"/>
              <w:rPr>
                <w:sz w:val="20"/>
                <w:szCs w:val="20"/>
                <w:color w:val="auto"/>
              </w:rPr>
            </w:pPr>
            <w:r>
              <w:rPr>
                <w:rFonts w:ascii="Arial" w:cs="Arial" w:eastAsia="Arial" w:hAnsi="Arial"/>
                <w:sz w:val="16"/>
                <w:szCs w:val="16"/>
                <w:color w:val="006DB6"/>
              </w:rPr>
              <w:t>North American Construction Group</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360" w:type="dxa"/>
            <w:vAlign w:val="bottom"/>
            <w:tcBorders>
              <w:right w:val="single" w:sz="8" w:color="FFC03C"/>
            </w:tcBorders>
          </w:tcPr>
          <w:p>
            <w:pPr>
              <w:spacing w:after="0"/>
              <w:rPr>
                <w:sz w:val="23"/>
                <w:szCs w:val="23"/>
                <w:color w:val="auto"/>
              </w:rPr>
            </w:pPr>
          </w:p>
        </w:tc>
        <w:tc>
          <w:tcPr>
            <w:tcW w:w="1780" w:type="dxa"/>
            <w:vAlign w:val="bottom"/>
          </w:tcPr>
          <w:p>
            <w:pPr>
              <w:ind w:left="500"/>
              <w:spacing w:after="0"/>
              <w:rPr>
                <w:sz w:val="20"/>
                <w:szCs w:val="20"/>
                <w:color w:val="auto"/>
              </w:rPr>
            </w:pPr>
            <w:r>
              <w:rPr>
                <w:rFonts w:ascii="Arial" w:cs="Arial" w:eastAsia="Arial" w:hAnsi="Arial"/>
                <w:sz w:val="16"/>
                <w:szCs w:val="16"/>
                <w:color w:val="FFC03C"/>
              </w:rPr>
              <w:t>Unit Corp.</w:t>
            </w:r>
          </w:p>
        </w:tc>
        <w:tc>
          <w:tcPr>
            <w:tcW w:w="1300" w:type="dxa"/>
            <w:vAlign w:val="bottom"/>
            <w:tcBorders>
              <w:right w:val="single" w:sz="8" w:color="FFC03C"/>
            </w:tcBorders>
          </w:tcPr>
          <w:p>
            <w:pPr>
              <w:spacing w:after="0"/>
              <w:rPr>
                <w:sz w:val="23"/>
                <w:szCs w:val="23"/>
                <w:color w:val="auto"/>
              </w:rPr>
            </w:pPr>
          </w:p>
        </w:tc>
        <w:tc>
          <w:tcPr>
            <w:tcW w:w="900" w:type="dxa"/>
            <w:vAlign w:val="bottom"/>
            <w:tcBorders>
              <w:right w:val="single" w:sz="8" w:color="006DB6"/>
            </w:tcBorders>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60" w:type="dxa"/>
            <w:vAlign w:val="bottom"/>
            <w:tcBorders>
              <w:right w:val="single" w:sz="8" w:color="006DB6"/>
            </w:tcBorders>
            <w:gridSpan w:val="2"/>
          </w:tcPr>
          <w:p>
            <w:pPr>
              <w:ind w:left="60"/>
              <w:spacing w:after="0"/>
              <w:rPr>
                <w:sz w:val="20"/>
                <w:szCs w:val="20"/>
                <w:color w:val="auto"/>
              </w:rPr>
            </w:pPr>
            <w:r>
              <w:rPr>
                <w:rFonts w:ascii="Arial" w:cs="Arial" w:eastAsia="Arial" w:hAnsi="Arial"/>
                <w:sz w:val="16"/>
                <w:szCs w:val="16"/>
                <w:color w:val="006DB6"/>
              </w:rPr>
              <w:t>Target Hospitality Corp.</w:t>
            </w: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right w:val="single" w:sz="8" w:color="FFC03C"/>
            </w:tcBorders>
          </w:tcPr>
          <w:p>
            <w:pPr>
              <w:spacing w:after="0"/>
              <w:rPr>
                <w:sz w:val="7"/>
                <w:szCs w:val="7"/>
                <w:color w:val="auto"/>
              </w:rPr>
            </w:pPr>
          </w:p>
        </w:tc>
        <w:tc>
          <w:tcPr>
            <w:tcW w:w="1780" w:type="dxa"/>
            <w:vAlign w:val="bottom"/>
          </w:tcPr>
          <w:p>
            <w:pPr>
              <w:spacing w:after="0"/>
              <w:rPr>
                <w:sz w:val="7"/>
                <w:szCs w:val="7"/>
                <w:color w:val="auto"/>
              </w:rPr>
            </w:pPr>
          </w:p>
        </w:tc>
        <w:tc>
          <w:tcPr>
            <w:tcW w:w="1300" w:type="dxa"/>
            <w:vAlign w:val="bottom"/>
            <w:tcBorders>
              <w:right w:val="single" w:sz="8" w:color="FFC03C"/>
            </w:tcBorders>
          </w:tcPr>
          <w:p>
            <w:pPr>
              <w:spacing w:after="0"/>
              <w:rPr>
                <w:sz w:val="7"/>
                <w:szCs w:val="7"/>
                <w:color w:val="auto"/>
              </w:rPr>
            </w:pPr>
          </w:p>
        </w:tc>
        <w:tc>
          <w:tcPr>
            <w:tcW w:w="900" w:type="dxa"/>
            <w:vAlign w:val="bottom"/>
            <w:tcBorders>
              <w:right w:val="single" w:sz="8" w:color="006DB6"/>
            </w:tcBorders>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80" w:type="dxa"/>
            <w:vAlign w:val="bottom"/>
            <w:tcBorders>
              <w:right w:val="single" w:sz="8" w:color="006DB6"/>
            </w:tcBorders>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1360" w:type="dxa"/>
            <w:vAlign w:val="bottom"/>
            <w:tcBorders>
              <w:left w:val="single" w:sz="8" w:color="E8EEF7"/>
              <w:bottom w:val="single" w:sz="8" w:color="E8EEF7"/>
              <w:right w:val="single" w:sz="8" w:color="FFC03C"/>
            </w:tcBorders>
            <w:shd w:val="clear" w:color="auto" w:fill="E8EEF7"/>
          </w:tcPr>
          <w:p>
            <w:pPr>
              <w:spacing w:after="0"/>
              <w:rPr>
                <w:sz w:val="9"/>
                <w:szCs w:val="9"/>
                <w:color w:val="auto"/>
              </w:rPr>
            </w:pPr>
          </w:p>
        </w:tc>
        <w:tc>
          <w:tcPr>
            <w:tcW w:w="1780" w:type="dxa"/>
            <w:vAlign w:val="bottom"/>
            <w:tcBorders>
              <w:bottom w:val="single" w:sz="8" w:color="FFC03C"/>
            </w:tcBorders>
          </w:tcPr>
          <w:p>
            <w:pPr>
              <w:spacing w:after="0"/>
              <w:rPr>
                <w:sz w:val="9"/>
                <w:szCs w:val="9"/>
                <w:color w:val="auto"/>
              </w:rPr>
            </w:pPr>
          </w:p>
        </w:tc>
        <w:tc>
          <w:tcPr>
            <w:tcW w:w="1300" w:type="dxa"/>
            <w:vAlign w:val="bottom"/>
            <w:tcBorders>
              <w:bottom w:val="single" w:sz="8" w:color="FFC03C"/>
              <w:right w:val="single" w:sz="8" w:color="FFC03C"/>
            </w:tcBorders>
          </w:tcPr>
          <w:p>
            <w:pPr>
              <w:spacing w:after="0"/>
              <w:rPr>
                <w:sz w:val="9"/>
                <w:szCs w:val="9"/>
                <w:color w:val="auto"/>
              </w:rPr>
            </w:pPr>
          </w:p>
        </w:tc>
        <w:tc>
          <w:tcPr>
            <w:tcW w:w="900" w:type="dxa"/>
            <w:vAlign w:val="bottom"/>
            <w:tcBorders>
              <w:bottom w:val="single" w:sz="8" w:color="E8EEF7"/>
              <w:right w:val="single" w:sz="8" w:color="006DB6"/>
            </w:tcBorders>
            <w:shd w:val="clear" w:color="auto" w:fill="E8EEF7"/>
          </w:tcPr>
          <w:p>
            <w:pPr>
              <w:spacing w:after="0"/>
              <w:rPr>
                <w:sz w:val="9"/>
                <w:szCs w:val="9"/>
                <w:color w:val="auto"/>
              </w:rPr>
            </w:pPr>
          </w:p>
        </w:tc>
        <w:tc>
          <w:tcPr>
            <w:tcW w:w="180" w:type="dxa"/>
            <w:vAlign w:val="bottom"/>
            <w:tcBorders>
              <w:bottom w:val="single" w:sz="8" w:color="006DB6"/>
            </w:tcBorders>
          </w:tcPr>
          <w:p>
            <w:pPr>
              <w:spacing w:after="0"/>
              <w:rPr>
                <w:sz w:val="9"/>
                <w:szCs w:val="9"/>
                <w:color w:val="auto"/>
              </w:rPr>
            </w:pPr>
          </w:p>
        </w:tc>
        <w:tc>
          <w:tcPr>
            <w:tcW w:w="320" w:type="dxa"/>
            <w:vAlign w:val="bottom"/>
            <w:tcBorders>
              <w:bottom w:val="single" w:sz="8" w:color="006DB6"/>
            </w:tcBorders>
          </w:tcPr>
          <w:p>
            <w:pPr>
              <w:spacing w:after="0"/>
              <w:rPr>
                <w:sz w:val="9"/>
                <w:szCs w:val="9"/>
                <w:color w:val="auto"/>
              </w:rPr>
            </w:pPr>
          </w:p>
        </w:tc>
        <w:tc>
          <w:tcPr>
            <w:tcW w:w="680" w:type="dxa"/>
            <w:vAlign w:val="bottom"/>
            <w:tcBorders>
              <w:bottom w:val="single" w:sz="8" w:color="006DB6"/>
            </w:tcBorders>
          </w:tcPr>
          <w:p>
            <w:pPr>
              <w:spacing w:after="0"/>
              <w:rPr>
                <w:sz w:val="9"/>
                <w:szCs w:val="9"/>
                <w:color w:val="auto"/>
              </w:rPr>
            </w:pPr>
          </w:p>
        </w:tc>
        <w:tc>
          <w:tcPr>
            <w:tcW w:w="2080" w:type="dxa"/>
            <w:vAlign w:val="bottom"/>
            <w:tcBorders>
              <w:bottom w:val="single" w:sz="8" w:color="006DB6"/>
              <w:right w:val="single" w:sz="8" w:color="006DB6"/>
            </w:tcBorders>
          </w:tcPr>
          <w:p>
            <w:pPr>
              <w:spacing w:after="0"/>
              <w:rPr>
                <w:sz w:val="9"/>
                <w:szCs w:val="9"/>
                <w:color w:val="auto"/>
              </w:rPr>
            </w:pPr>
          </w:p>
        </w:tc>
        <w:tc>
          <w:tcPr>
            <w:tcW w:w="1480" w:type="dxa"/>
            <w:vAlign w:val="bottom"/>
            <w:tcBorders>
              <w:bottom w:val="single" w:sz="8" w:color="E8EEF7"/>
            </w:tcBorders>
            <w:shd w:val="clear" w:color="auto" w:fill="E8EEF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920" w:type="dxa"/>
            <w:vAlign w:val="bottom"/>
            <w:vMerge w:val="continue"/>
          </w:tcPr>
          <w:p>
            <w:pPr>
              <w:spacing w:after="0"/>
              <w:rPr>
                <w:sz w:val="24"/>
                <w:szCs w:val="24"/>
                <w:color w:val="auto"/>
              </w:rPr>
            </w:pPr>
          </w:p>
        </w:tc>
        <w:tc>
          <w:tcPr>
            <w:tcW w:w="3140" w:type="dxa"/>
            <w:vAlign w:val="bottom"/>
            <w:tcBorders>
              <w:left w:val="single" w:sz="8" w:color="E8EEF7"/>
            </w:tcBorders>
            <w:gridSpan w:val="2"/>
            <w:vMerge w:val="restart"/>
            <w:shd w:val="clear" w:color="auto" w:fill="E8EEF7"/>
          </w:tcPr>
          <w:p>
            <w:pPr>
              <w:ind w:left="140"/>
              <w:spacing w:after="0"/>
              <w:rPr>
                <w:sz w:val="20"/>
                <w:szCs w:val="20"/>
                <w:color w:val="auto"/>
              </w:rPr>
            </w:pPr>
            <w:r>
              <w:rPr>
                <w:rFonts w:ascii="Arial" w:cs="Arial" w:eastAsia="Arial" w:hAnsi="Arial"/>
                <w:sz w:val="16"/>
                <w:szCs w:val="16"/>
                <w:color w:val="auto"/>
              </w:rPr>
              <w:t>Badger Infrastructure Solutions Ltd.</w:t>
            </w:r>
          </w:p>
        </w:tc>
        <w:tc>
          <w:tcPr>
            <w:tcW w:w="2380" w:type="dxa"/>
            <w:vAlign w:val="bottom"/>
            <w:gridSpan w:val="3"/>
            <w:vMerge w:val="restart"/>
            <w:shd w:val="clear" w:color="auto" w:fill="E8EEF7"/>
          </w:tcPr>
          <w:p>
            <w:pPr>
              <w:ind w:left="520"/>
              <w:spacing w:after="0"/>
              <w:rPr>
                <w:sz w:val="20"/>
                <w:szCs w:val="20"/>
                <w:color w:val="auto"/>
              </w:rPr>
            </w:pPr>
            <w:r>
              <w:rPr>
                <w:rFonts w:ascii="Arial" w:cs="Arial" w:eastAsia="Arial" w:hAnsi="Arial"/>
                <w:sz w:val="16"/>
                <w:szCs w:val="16"/>
                <w:color w:val="auto"/>
              </w:rPr>
              <w:t>Matrix Service Company</w:t>
            </w:r>
          </w:p>
        </w:tc>
        <w:tc>
          <w:tcPr>
            <w:tcW w:w="320" w:type="dxa"/>
            <w:vAlign w:val="bottom"/>
            <w:shd w:val="clear" w:color="auto" w:fill="E8EEF7"/>
          </w:tcPr>
          <w:p>
            <w:pPr>
              <w:spacing w:after="0"/>
              <w:rPr>
                <w:sz w:val="24"/>
                <w:szCs w:val="24"/>
                <w:color w:val="auto"/>
              </w:rPr>
            </w:pPr>
          </w:p>
        </w:tc>
        <w:tc>
          <w:tcPr>
            <w:tcW w:w="680" w:type="dxa"/>
            <w:vAlign w:val="bottom"/>
            <w:shd w:val="clear" w:color="auto" w:fill="E8EEF7"/>
          </w:tcPr>
          <w:p>
            <w:pPr>
              <w:spacing w:after="0"/>
              <w:rPr>
                <w:sz w:val="24"/>
                <w:szCs w:val="24"/>
                <w:color w:val="auto"/>
              </w:rPr>
            </w:pPr>
          </w:p>
        </w:tc>
        <w:tc>
          <w:tcPr>
            <w:tcW w:w="3560" w:type="dxa"/>
            <w:vAlign w:val="bottom"/>
            <w:gridSpan w:val="2"/>
            <w:vMerge w:val="restart"/>
            <w:shd w:val="clear" w:color="auto" w:fill="E8EEF7"/>
          </w:tcPr>
          <w:p>
            <w:pPr>
              <w:ind w:left="280"/>
              <w:spacing w:after="0"/>
              <w:rPr>
                <w:sz w:val="20"/>
                <w:szCs w:val="20"/>
                <w:color w:val="auto"/>
              </w:rPr>
            </w:pPr>
            <w:r>
              <w:rPr>
                <w:rFonts w:ascii="Arial" w:cs="Arial" w:eastAsia="Arial" w:hAnsi="Arial"/>
                <w:sz w:val="16"/>
                <w:szCs w:val="16"/>
                <w:color w:val="auto"/>
              </w:rPr>
              <w:t>Precision Drilling Corporation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2022</w:t>
            </w:r>
          </w:p>
        </w:tc>
        <w:tc>
          <w:tcPr>
            <w:tcW w:w="3140" w:type="dxa"/>
            <w:vAlign w:val="bottom"/>
            <w:tcBorders>
              <w:left w:val="single" w:sz="8" w:color="E8EEF7"/>
            </w:tcBorders>
            <w:gridSpan w:val="2"/>
            <w:vMerge w:val="continue"/>
            <w:shd w:val="clear" w:color="auto" w:fill="E8EEF7"/>
          </w:tcPr>
          <w:p>
            <w:pPr>
              <w:spacing w:after="0"/>
              <w:rPr>
                <w:sz w:val="8"/>
                <w:szCs w:val="8"/>
                <w:color w:val="auto"/>
              </w:rPr>
            </w:pPr>
          </w:p>
        </w:tc>
        <w:tc>
          <w:tcPr>
            <w:tcW w:w="2380" w:type="dxa"/>
            <w:vAlign w:val="bottom"/>
            <w:gridSpan w:val="3"/>
            <w:vMerge w:val="continue"/>
            <w:shd w:val="clear" w:color="auto" w:fill="E8EEF7"/>
          </w:tcPr>
          <w:p>
            <w:pPr>
              <w:spacing w:after="0"/>
              <w:rPr>
                <w:sz w:val="8"/>
                <w:szCs w:val="8"/>
                <w:color w:val="auto"/>
              </w:rPr>
            </w:pPr>
          </w:p>
        </w:tc>
        <w:tc>
          <w:tcPr>
            <w:tcW w:w="320" w:type="dxa"/>
            <w:vAlign w:val="bottom"/>
            <w:shd w:val="clear" w:color="auto" w:fill="E8EEF7"/>
          </w:tcPr>
          <w:p>
            <w:pPr>
              <w:spacing w:after="0"/>
              <w:rPr>
                <w:sz w:val="8"/>
                <w:szCs w:val="8"/>
                <w:color w:val="auto"/>
              </w:rPr>
            </w:pPr>
          </w:p>
        </w:tc>
        <w:tc>
          <w:tcPr>
            <w:tcW w:w="680" w:type="dxa"/>
            <w:vAlign w:val="bottom"/>
            <w:shd w:val="clear" w:color="auto" w:fill="E8EEF7"/>
          </w:tcPr>
          <w:p>
            <w:pPr>
              <w:spacing w:after="0"/>
              <w:rPr>
                <w:sz w:val="8"/>
                <w:szCs w:val="8"/>
                <w:color w:val="auto"/>
              </w:rPr>
            </w:pPr>
          </w:p>
        </w:tc>
        <w:tc>
          <w:tcPr>
            <w:tcW w:w="3560" w:type="dxa"/>
            <w:vAlign w:val="bottom"/>
            <w:gridSpan w:val="2"/>
            <w:vMerge w:val="continue"/>
            <w:shd w:val="clear" w:color="auto" w:fill="E8EEF7"/>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3140" w:type="dxa"/>
            <w:vAlign w:val="bottom"/>
            <w:tcBorders>
              <w:left w:val="single" w:sz="8" w:color="E8EEF7"/>
            </w:tcBorders>
            <w:gridSpan w:val="2"/>
            <w:vMerge w:val="restart"/>
            <w:shd w:val="clear" w:color="auto" w:fill="E8EEF7"/>
          </w:tcPr>
          <w:p>
            <w:pPr>
              <w:ind w:left="140"/>
              <w:spacing w:after="0"/>
              <w:rPr>
                <w:sz w:val="20"/>
                <w:szCs w:val="20"/>
                <w:color w:val="auto"/>
              </w:rPr>
            </w:pPr>
            <w:r>
              <w:rPr>
                <w:rFonts w:ascii="Arial" w:cs="Arial" w:eastAsia="Arial" w:hAnsi="Arial"/>
                <w:sz w:val="16"/>
                <w:szCs w:val="16"/>
                <w:color w:val="auto"/>
              </w:rPr>
              <w:t>Black Diamond Group Limited</w:t>
            </w:r>
          </w:p>
        </w:tc>
        <w:tc>
          <w:tcPr>
            <w:tcW w:w="2380" w:type="dxa"/>
            <w:vAlign w:val="bottom"/>
            <w:gridSpan w:val="3"/>
            <w:vMerge w:val="restart"/>
            <w:shd w:val="clear" w:color="auto" w:fill="E8EEF7"/>
          </w:tcPr>
          <w:p>
            <w:pPr>
              <w:ind w:left="520"/>
              <w:spacing w:after="0"/>
              <w:rPr>
                <w:sz w:val="20"/>
                <w:szCs w:val="20"/>
                <w:color w:val="auto"/>
              </w:rPr>
            </w:pPr>
            <w:r>
              <w:rPr>
                <w:rFonts w:ascii="Arial" w:cs="Arial" w:eastAsia="Arial" w:hAnsi="Arial"/>
                <w:sz w:val="16"/>
                <w:szCs w:val="16"/>
                <w:color w:val="auto"/>
              </w:rPr>
              <w:t>McGrath RentCorp</w:t>
            </w:r>
          </w:p>
        </w:tc>
        <w:tc>
          <w:tcPr>
            <w:tcW w:w="320" w:type="dxa"/>
            <w:vAlign w:val="bottom"/>
            <w:shd w:val="clear" w:color="auto" w:fill="E8EEF7"/>
          </w:tcPr>
          <w:p>
            <w:pPr>
              <w:spacing w:after="0"/>
              <w:rPr>
                <w:sz w:val="11"/>
                <w:szCs w:val="11"/>
                <w:color w:val="auto"/>
              </w:rPr>
            </w:pPr>
          </w:p>
        </w:tc>
        <w:tc>
          <w:tcPr>
            <w:tcW w:w="680" w:type="dxa"/>
            <w:vAlign w:val="bottom"/>
            <w:shd w:val="clear" w:color="auto" w:fill="E8EEF7"/>
          </w:tcPr>
          <w:p>
            <w:pPr>
              <w:spacing w:after="0"/>
              <w:rPr>
                <w:sz w:val="11"/>
                <w:szCs w:val="11"/>
                <w:color w:val="auto"/>
              </w:rPr>
            </w:pPr>
          </w:p>
        </w:tc>
        <w:tc>
          <w:tcPr>
            <w:tcW w:w="3560" w:type="dxa"/>
            <w:vAlign w:val="bottom"/>
            <w:gridSpan w:val="2"/>
            <w:vMerge w:val="restart"/>
            <w:shd w:val="clear" w:color="auto" w:fill="E8EEF7"/>
          </w:tcPr>
          <w:p>
            <w:pPr>
              <w:ind w:left="280"/>
              <w:spacing w:after="0"/>
              <w:rPr>
                <w:sz w:val="20"/>
                <w:szCs w:val="20"/>
                <w:color w:val="auto"/>
              </w:rPr>
            </w:pPr>
            <w:r>
              <w:rPr>
                <w:rFonts w:ascii="Arial" w:cs="Arial" w:eastAsia="Arial" w:hAnsi="Arial"/>
                <w:sz w:val="16"/>
                <w:szCs w:val="16"/>
                <w:color w:val="auto"/>
              </w:rPr>
              <w:t>Select Energy Services,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3140" w:type="dxa"/>
            <w:vAlign w:val="bottom"/>
            <w:tcBorders>
              <w:left w:val="single" w:sz="8" w:color="E8EEF7"/>
            </w:tcBorders>
            <w:gridSpan w:val="2"/>
            <w:vMerge w:val="continue"/>
            <w:shd w:val="clear" w:color="auto" w:fill="E8EEF7"/>
          </w:tcPr>
          <w:p>
            <w:pPr>
              <w:spacing w:after="0"/>
              <w:rPr>
                <w:sz w:val="12"/>
                <w:szCs w:val="12"/>
                <w:color w:val="auto"/>
              </w:rPr>
            </w:pPr>
          </w:p>
        </w:tc>
        <w:tc>
          <w:tcPr>
            <w:tcW w:w="2380" w:type="dxa"/>
            <w:vAlign w:val="bottom"/>
            <w:gridSpan w:val="3"/>
            <w:vMerge w:val="continue"/>
            <w:shd w:val="clear" w:color="auto" w:fill="E8EEF7"/>
          </w:tcPr>
          <w:p>
            <w:pPr>
              <w:spacing w:after="0"/>
              <w:rPr>
                <w:sz w:val="12"/>
                <w:szCs w:val="12"/>
                <w:color w:val="auto"/>
              </w:rPr>
            </w:pPr>
          </w:p>
        </w:tc>
        <w:tc>
          <w:tcPr>
            <w:tcW w:w="320" w:type="dxa"/>
            <w:vAlign w:val="bottom"/>
            <w:shd w:val="clear" w:color="auto" w:fill="E8EEF7"/>
          </w:tcPr>
          <w:p>
            <w:pPr>
              <w:spacing w:after="0"/>
              <w:rPr>
                <w:sz w:val="12"/>
                <w:szCs w:val="12"/>
                <w:color w:val="auto"/>
              </w:rPr>
            </w:pPr>
          </w:p>
        </w:tc>
        <w:tc>
          <w:tcPr>
            <w:tcW w:w="680" w:type="dxa"/>
            <w:vAlign w:val="bottom"/>
            <w:shd w:val="clear" w:color="auto" w:fill="E8EEF7"/>
          </w:tcPr>
          <w:p>
            <w:pPr>
              <w:spacing w:after="0"/>
              <w:rPr>
                <w:sz w:val="12"/>
                <w:szCs w:val="12"/>
                <w:color w:val="auto"/>
              </w:rPr>
            </w:pPr>
          </w:p>
        </w:tc>
        <w:tc>
          <w:tcPr>
            <w:tcW w:w="3560" w:type="dxa"/>
            <w:vAlign w:val="bottom"/>
            <w:gridSpan w:val="2"/>
            <w:vMerge w:val="continue"/>
            <w:shd w:val="clear" w:color="auto" w:fill="E8EEF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31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6"/>
                <w:szCs w:val="16"/>
                <w:color w:val="auto"/>
              </w:rPr>
              <w:t>Dexterra Group</w:t>
            </w:r>
          </w:p>
        </w:tc>
        <w:tc>
          <w:tcPr>
            <w:tcW w:w="2380" w:type="dxa"/>
            <w:vAlign w:val="bottom"/>
            <w:gridSpan w:val="3"/>
            <w:shd w:val="clear" w:color="auto" w:fill="E8EEF7"/>
          </w:tcPr>
          <w:p>
            <w:pPr>
              <w:ind w:left="520"/>
              <w:spacing w:after="0"/>
              <w:rPr>
                <w:sz w:val="20"/>
                <w:szCs w:val="20"/>
                <w:color w:val="auto"/>
              </w:rPr>
            </w:pPr>
            <w:r>
              <w:rPr>
                <w:rFonts w:ascii="Arial" w:cs="Arial" w:eastAsia="Arial" w:hAnsi="Arial"/>
                <w:sz w:val="16"/>
                <w:szCs w:val="16"/>
                <w:color w:val="auto"/>
              </w:rPr>
              <w:t>Newpark Resources, Inc.</w:t>
            </w:r>
          </w:p>
        </w:tc>
        <w:tc>
          <w:tcPr>
            <w:tcW w:w="320" w:type="dxa"/>
            <w:vAlign w:val="bottom"/>
            <w:shd w:val="clear" w:color="auto" w:fill="E8EEF7"/>
          </w:tcPr>
          <w:p>
            <w:pPr>
              <w:spacing w:after="0"/>
              <w:rPr>
                <w:sz w:val="24"/>
                <w:szCs w:val="24"/>
                <w:color w:val="auto"/>
              </w:rPr>
            </w:pPr>
          </w:p>
        </w:tc>
        <w:tc>
          <w:tcPr>
            <w:tcW w:w="680" w:type="dxa"/>
            <w:vAlign w:val="bottom"/>
            <w:shd w:val="clear" w:color="auto" w:fill="E8EEF7"/>
          </w:tcPr>
          <w:p>
            <w:pPr>
              <w:spacing w:after="0"/>
              <w:rPr>
                <w:sz w:val="24"/>
                <w:szCs w:val="24"/>
                <w:color w:val="auto"/>
              </w:rPr>
            </w:pPr>
          </w:p>
        </w:tc>
        <w:tc>
          <w:tcPr>
            <w:tcW w:w="3560" w:type="dxa"/>
            <w:vAlign w:val="bottom"/>
            <w:gridSpan w:val="2"/>
            <w:shd w:val="clear" w:color="auto" w:fill="E8EEF7"/>
          </w:tcPr>
          <w:p>
            <w:pPr>
              <w:ind w:left="280"/>
              <w:spacing w:after="0"/>
              <w:rPr>
                <w:sz w:val="20"/>
                <w:szCs w:val="20"/>
                <w:color w:val="auto"/>
              </w:rPr>
            </w:pPr>
            <w:r>
              <w:rPr>
                <w:rFonts w:ascii="Arial" w:cs="Arial" w:eastAsia="Arial" w:hAnsi="Arial"/>
                <w:sz w:val="16"/>
                <w:szCs w:val="16"/>
                <w:color w:val="auto"/>
              </w:rPr>
              <w:t>Target Hospitality Corp.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31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6"/>
                <w:szCs w:val="16"/>
                <w:color w:val="auto"/>
              </w:rPr>
              <w:t>Enerflex Ltd.</w:t>
            </w:r>
          </w:p>
        </w:tc>
        <w:tc>
          <w:tcPr>
            <w:tcW w:w="2380" w:type="dxa"/>
            <w:vAlign w:val="bottom"/>
            <w:gridSpan w:val="3"/>
            <w:shd w:val="clear" w:color="auto" w:fill="E8EEF7"/>
          </w:tcPr>
          <w:p>
            <w:pPr>
              <w:ind w:left="520"/>
              <w:spacing w:after="0"/>
              <w:rPr>
                <w:sz w:val="20"/>
                <w:szCs w:val="20"/>
                <w:color w:val="auto"/>
              </w:rPr>
            </w:pPr>
            <w:r>
              <w:rPr>
                <w:rFonts w:ascii="Arial" w:cs="Arial" w:eastAsia="Arial" w:hAnsi="Arial"/>
                <w:sz w:val="16"/>
                <w:szCs w:val="16"/>
                <w:color w:val="auto"/>
              </w:rPr>
              <w:t>Nine Energy Service, Inc.</w:t>
            </w:r>
          </w:p>
        </w:tc>
        <w:tc>
          <w:tcPr>
            <w:tcW w:w="320" w:type="dxa"/>
            <w:vAlign w:val="bottom"/>
            <w:shd w:val="clear" w:color="auto" w:fill="E8EEF7"/>
          </w:tcPr>
          <w:p>
            <w:pPr>
              <w:spacing w:after="0"/>
              <w:rPr>
                <w:sz w:val="24"/>
                <w:szCs w:val="24"/>
                <w:color w:val="auto"/>
              </w:rPr>
            </w:pPr>
          </w:p>
        </w:tc>
        <w:tc>
          <w:tcPr>
            <w:tcW w:w="680" w:type="dxa"/>
            <w:vAlign w:val="bottom"/>
            <w:shd w:val="clear" w:color="auto" w:fill="E8EEF7"/>
          </w:tcPr>
          <w:p>
            <w:pPr>
              <w:spacing w:after="0"/>
              <w:rPr>
                <w:sz w:val="24"/>
                <w:szCs w:val="24"/>
                <w:color w:val="auto"/>
              </w:rPr>
            </w:pPr>
          </w:p>
        </w:tc>
        <w:tc>
          <w:tcPr>
            <w:tcW w:w="3560" w:type="dxa"/>
            <w:vAlign w:val="bottom"/>
            <w:gridSpan w:val="2"/>
            <w:shd w:val="clear" w:color="auto" w:fill="E8EEF7"/>
          </w:tcPr>
          <w:p>
            <w:pPr>
              <w:ind w:left="280"/>
              <w:spacing w:after="0"/>
              <w:rPr>
                <w:sz w:val="20"/>
                <w:szCs w:val="20"/>
                <w:color w:val="auto"/>
              </w:rPr>
            </w:pPr>
            <w:r>
              <w:rPr>
                <w:rFonts w:ascii="Arial" w:cs="Arial" w:eastAsia="Arial" w:hAnsi="Arial"/>
                <w:sz w:val="16"/>
                <w:szCs w:val="16"/>
                <w:color w:val="auto"/>
              </w:rPr>
              <w:t>TETRA Technologies,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31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6"/>
                <w:szCs w:val="16"/>
                <w:color w:val="auto"/>
              </w:rPr>
              <w:t>Exterran Corporation</w:t>
            </w:r>
          </w:p>
        </w:tc>
        <w:tc>
          <w:tcPr>
            <w:tcW w:w="3380" w:type="dxa"/>
            <w:vAlign w:val="bottom"/>
            <w:gridSpan w:val="5"/>
            <w:shd w:val="clear" w:color="auto" w:fill="E8EEF7"/>
          </w:tcPr>
          <w:p>
            <w:pPr>
              <w:ind w:left="520"/>
              <w:spacing w:after="0"/>
              <w:rPr>
                <w:sz w:val="20"/>
                <w:szCs w:val="20"/>
                <w:color w:val="auto"/>
              </w:rPr>
            </w:pPr>
            <w:r>
              <w:rPr>
                <w:rFonts w:ascii="Arial" w:cs="Arial" w:eastAsia="Arial" w:hAnsi="Arial"/>
                <w:sz w:val="16"/>
                <w:szCs w:val="16"/>
                <w:color w:val="auto"/>
              </w:rPr>
              <w:t>North American Construction Group</w:t>
            </w:r>
          </w:p>
        </w:tc>
        <w:tc>
          <w:tcPr>
            <w:tcW w:w="3560" w:type="dxa"/>
            <w:vAlign w:val="bottom"/>
            <w:gridSpan w:val="2"/>
            <w:shd w:val="clear" w:color="auto" w:fill="E8EEF7"/>
          </w:tcPr>
          <w:p>
            <w:pPr>
              <w:ind w:left="280"/>
              <w:spacing w:after="0"/>
              <w:rPr>
                <w:sz w:val="20"/>
                <w:szCs w:val="20"/>
                <w:color w:val="auto"/>
              </w:rPr>
            </w:pPr>
            <w:r>
              <w:rPr>
                <w:rFonts w:ascii="Arial" w:cs="Arial" w:eastAsia="Arial" w:hAnsi="Arial"/>
                <w:sz w:val="16"/>
                <w:szCs w:val="16"/>
                <w:color w:val="auto"/>
              </w:rPr>
              <w:t>Total Energy Services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3140" w:type="dxa"/>
            <w:vAlign w:val="bottom"/>
            <w:tcBorders>
              <w:left w:val="single" w:sz="8" w:color="E8EEF7"/>
            </w:tcBorders>
            <w:gridSpan w:val="2"/>
            <w:shd w:val="clear" w:color="auto" w:fill="E8EEF7"/>
          </w:tcPr>
          <w:p>
            <w:pPr>
              <w:ind w:left="140"/>
              <w:spacing w:after="0"/>
              <w:rPr>
                <w:sz w:val="20"/>
                <w:szCs w:val="20"/>
                <w:color w:val="auto"/>
              </w:rPr>
            </w:pPr>
            <w:r>
              <w:rPr>
                <w:rFonts w:ascii="Arial" w:cs="Arial" w:eastAsia="Arial" w:hAnsi="Arial"/>
                <w:sz w:val="16"/>
                <w:szCs w:val="16"/>
                <w:color w:val="auto"/>
              </w:rPr>
              <w:t>Forum Energy Technologies, Inc.</w:t>
            </w:r>
          </w:p>
        </w:tc>
        <w:tc>
          <w:tcPr>
            <w:tcW w:w="2700" w:type="dxa"/>
            <w:vAlign w:val="bottom"/>
            <w:gridSpan w:val="4"/>
            <w:shd w:val="clear" w:color="auto" w:fill="E8EEF7"/>
          </w:tcPr>
          <w:p>
            <w:pPr>
              <w:ind w:left="520"/>
              <w:spacing w:after="0"/>
              <w:rPr>
                <w:sz w:val="20"/>
                <w:szCs w:val="20"/>
                <w:color w:val="auto"/>
              </w:rPr>
            </w:pPr>
            <w:r>
              <w:rPr>
                <w:rFonts w:ascii="Arial" w:cs="Arial" w:eastAsia="Arial" w:hAnsi="Arial"/>
                <w:sz w:val="16"/>
                <w:szCs w:val="16"/>
                <w:color w:val="auto"/>
              </w:rPr>
              <w:t>Oil States International, Inc.</w:t>
            </w:r>
          </w:p>
        </w:tc>
        <w:tc>
          <w:tcPr>
            <w:tcW w:w="680" w:type="dxa"/>
            <w:vAlign w:val="bottom"/>
            <w:shd w:val="clear" w:color="auto" w:fill="E8EEF7"/>
          </w:tcPr>
          <w:p>
            <w:pPr>
              <w:spacing w:after="0"/>
              <w:rPr>
                <w:sz w:val="24"/>
                <w:szCs w:val="24"/>
                <w:color w:val="auto"/>
              </w:rPr>
            </w:pPr>
          </w:p>
        </w:tc>
        <w:tc>
          <w:tcPr>
            <w:tcW w:w="2080" w:type="dxa"/>
            <w:vAlign w:val="bottom"/>
            <w:tcBorders>
              <w:right w:val="single" w:sz="8" w:color="E8EEF7"/>
            </w:tcBorders>
            <w:shd w:val="clear" w:color="auto" w:fill="E8EEF7"/>
          </w:tcPr>
          <w:p>
            <w:pPr>
              <w:spacing w:after="0"/>
              <w:rPr>
                <w:sz w:val="24"/>
                <w:szCs w:val="24"/>
                <w:color w:val="auto"/>
              </w:rPr>
            </w:pPr>
          </w:p>
        </w:tc>
        <w:tc>
          <w:tcPr>
            <w:tcW w:w="1480" w:type="dxa"/>
            <w:vAlign w:val="bottom"/>
            <w:shd w:val="clear" w:color="auto" w:fill="E8EEF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1360" w:type="dxa"/>
            <w:vAlign w:val="bottom"/>
            <w:tcBorders>
              <w:left w:val="single" w:sz="8" w:color="E8EEF7"/>
              <w:right w:val="single" w:sz="8" w:color="E8EEF7"/>
            </w:tcBorders>
            <w:shd w:val="clear" w:color="auto" w:fill="E8EEF7"/>
          </w:tcPr>
          <w:p>
            <w:pPr>
              <w:spacing w:after="0"/>
              <w:rPr>
                <w:sz w:val="16"/>
                <w:szCs w:val="16"/>
                <w:color w:val="auto"/>
              </w:rPr>
            </w:pPr>
          </w:p>
        </w:tc>
        <w:tc>
          <w:tcPr>
            <w:tcW w:w="1780" w:type="dxa"/>
            <w:vAlign w:val="bottom"/>
            <w:shd w:val="clear" w:color="auto" w:fill="E8EEF7"/>
          </w:tcPr>
          <w:p>
            <w:pPr>
              <w:spacing w:after="0"/>
              <w:rPr>
                <w:sz w:val="16"/>
                <w:szCs w:val="16"/>
                <w:color w:val="auto"/>
              </w:rPr>
            </w:pPr>
          </w:p>
        </w:tc>
        <w:tc>
          <w:tcPr>
            <w:tcW w:w="1300" w:type="dxa"/>
            <w:vAlign w:val="bottom"/>
            <w:tcBorders>
              <w:right w:val="single" w:sz="8" w:color="E8EEF7"/>
            </w:tcBorders>
            <w:shd w:val="clear" w:color="auto" w:fill="E8EEF7"/>
          </w:tcPr>
          <w:p>
            <w:pPr>
              <w:spacing w:after="0"/>
              <w:rPr>
                <w:sz w:val="16"/>
                <w:szCs w:val="16"/>
                <w:color w:val="auto"/>
              </w:rPr>
            </w:pPr>
          </w:p>
        </w:tc>
        <w:tc>
          <w:tcPr>
            <w:tcW w:w="900" w:type="dxa"/>
            <w:vAlign w:val="bottom"/>
            <w:tcBorders>
              <w:right w:val="single" w:sz="8" w:color="E8EEF7"/>
            </w:tcBorders>
            <w:shd w:val="clear" w:color="auto" w:fill="E8EEF7"/>
          </w:tcPr>
          <w:p>
            <w:pPr>
              <w:spacing w:after="0"/>
              <w:rPr>
                <w:sz w:val="16"/>
                <w:szCs w:val="16"/>
                <w:color w:val="auto"/>
              </w:rPr>
            </w:pPr>
          </w:p>
        </w:tc>
        <w:tc>
          <w:tcPr>
            <w:tcW w:w="180" w:type="dxa"/>
            <w:vAlign w:val="bottom"/>
            <w:shd w:val="clear" w:color="auto" w:fill="E8EEF7"/>
          </w:tcPr>
          <w:p>
            <w:pPr>
              <w:spacing w:after="0"/>
              <w:rPr>
                <w:sz w:val="16"/>
                <w:szCs w:val="16"/>
                <w:color w:val="auto"/>
              </w:rPr>
            </w:pPr>
          </w:p>
        </w:tc>
        <w:tc>
          <w:tcPr>
            <w:tcW w:w="320" w:type="dxa"/>
            <w:vAlign w:val="bottom"/>
            <w:shd w:val="clear" w:color="auto" w:fill="E8EEF7"/>
          </w:tcPr>
          <w:p>
            <w:pPr>
              <w:spacing w:after="0"/>
              <w:rPr>
                <w:sz w:val="16"/>
                <w:szCs w:val="16"/>
                <w:color w:val="auto"/>
              </w:rPr>
            </w:pPr>
          </w:p>
        </w:tc>
        <w:tc>
          <w:tcPr>
            <w:tcW w:w="680" w:type="dxa"/>
            <w:vAlign w:val="bottom"/>
            <w:shd w:val="clear" w:color="auto" w:fill="E8EEF7"/>
          </w:tcPr>
          <w:p>
            <w:pPr>
              <w:spacing w:after="0"/>
              <w:rPr>
                <w:sz w:val="16"/>
                <w:szCs w:val="16"/>
                <w:color w:val="auto"/>
              </w:rPr>
            </w:pPr>
          </w:p>
        </w:tc>
        <w:tc>
          <w:tcPr>
            <w:tcW w:w="2080" w:type="dxa"/>
            <w:vAlign w:val="bottom"/>
            <w:tcBorders>
              <w:right w:val="single" w:sz="8" w:color="E8EEF7"/>
            </w:tcBorders>
            <w:shd w:val="clear" w:color="auto" w:fill="E8EEF7"/>
          </w:tcPr>
          <w:p>
            <w:pPr>
              <w:spacing w:after="0"/>
              <w:rPr>
                <w:sz w:val="16"/>
                <w:szCs w:val="16"/>
                <w:color w:val="auto"/>
              </w:rPr>
            </w:pPr>
          </w:p>
        </w:tc>
        <w:tc>
          <w:tcPr>
            <w:tcW w:w="1480" w:type="dxa"/>
            <w:vAlign w:val="bottom"/>
            <w:shd w:val="clear" w:color="auto" w:fill="E8EEF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2022 Peer Group</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late 2021, Mercer reviewed Civeo’s peer group of companies used for benchmarking purposes and to assess the ongoing competitiveness and suitability of Civeo’s compensation programs and practices. Following that review, Mercer recommended that the current peer group remain unchanged for 2022 as the screening process did not identify any existing peers that should be removed or additions that should be considered. The Compensation Committee approved the recommendation to keep the current peer group to be used by the Compensation Committee for compensation evaluation purposes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1261745</wp:posOffset>
            </wp:positionV>
            <wp:extent cx="394335" cy="1968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120"/>
          </w:cols>
          <w:pgMar w:left="320" w:top="125" w:right="45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and Risk Management</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Civeo’s compensation programs have been designed to (i) promote financial, operational and organizational growth, while giving due consideration to broader enterprise risk management issues and (ii) maintain a balance between short and long-term incentive compensation, company growth, shareholder returns and risk. The Compensation Committee, in its sole discretion, retains full authority to adjust any aspect of Civeo’s compensation programs.</w:t>
      </w:r>
    </w:p>
    <w:p>
      <w:pPr>
        <w:spacing w:after="0" w:line="63"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63"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by the Compensation Committee. The following specific factors, in particular, reduce the likelihood of excessive risk-taking:</w:t>
      </w:r>
    </w:p>
    <w:p>
      <w:pPr>
        <w:spacing w:after="0" w:line="63" w:lineRule="exact"/>
        <w:rPr>
          <w:sz w:val="20"/>
          <w:szCs w:val="20"/>
          <w:color w:val="auto"/>
        </w:rPr>
      </w:pPr>
    </w:p>
    <w:p>
      <w:pPr>
        <w:ind w:left="200" w:right="20" w:hanging="192"/>
        <w:spacing w:after="0" w:line="286"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Our overall executive compensation levels are competitive with the market, based on information provided by the Compensation Committee’s independent consultant, Mercer and reviewed by the Compensation Committee;</w:t>
      </w:r>
    </w:p>
    <w:p>
      <w:pPr>
        <w:spacing w:after="0" w:line="7" w:lineRule="exact"/>
        <w:rPr>
          <w:rFonts w:ascii="Arial" w:cs="Arial" w:eastAsia="Arial" w:hAnsi="Arial"/>
          <w:sz w:val="16"/>
          <w:szCs w:val="16"/>
          <w:color w:val="006DB6"/>
        </w:rPr>
      </w:pPr>
    </w:p>
    <w:p>
      <w:pPr>
        <w:ind w:left="200" w:right="80" w:hanging="192"/>
        <w:spacing w:after="0" w:line="259"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Our executive compensation mix is balanced among (i) fixed components including salary and benefits, (ii) capped annual incentives that reward our overall financial and operating performance and (iii) long-term incentives, 50% of which are generally performance-based for named executive officers, to more closely tie executive compensation to shareholder interests and to provide for a substantial portion of at-risk compensation in relation to share price performance;</w:t>
      </w:r>
    </w:p>
    <w:p>
      <w:pPr>
        <w:spacing w:after="0" w:line="42" w:lineRule="exact"/>
        <w:rPr>
          <w:rFonts w:ascii="Arial" w:cs="Arial" w:eastAsia="Arial" w:hAnsi="Arial"/>
          <w:sz w:val="16"/>
          <w:szCs w:val="16"/>
          <w:color w:val="006DB6"/>
        </w:rPr>
      </w:pPr>
    </w:p>
    <w:p>
      <w:pPr>
        <w:ind w:left="200" w:right="640" w:hanging="192"/>
        <w:spacing w:after="0" w:line="286"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spacing w:after="0" w:line="7" w:lineRule="exact"/>
        <w:rPr>
          <w:rFonts w:ascii="Arial" w:cs="Arial" w:eastAsia="Arial" w:hAnsi="Arial"/>
          <w:sz w:val="16"/>
          <w:szCs w:val="16"/>
          <w:color w:val="006DB6"/>
        </w:rPr>
      </w:pPr>
    </w:p>
    <w:p>
      <w:pPr>
        <w:ind w:left="200" w:right="400" w:hanging="192"/>
        <w:spacing w:after="0" w:line="286"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We have established maximum award levels as a cap on performance incentives. Beginning in 2021, the Compensation Committee capped all future performance shares at 100% payout (Target), if Civeo’s TSR over the performance period is negative, irrespective of relative performance.</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summary, although a portion of the compensation provided to our named executive officers is based on our overall performance or division performance, we believe our compensation programs do not encourage excessive or unnecessary risk-taking by our named executive officers (or other employees) because these programs are designed to encourage employees to remain focused on both our short and long-term operational, financial and safety goals. In addition, we believe that our share ownership, hedging and clawback policies also mitigate risk.</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Compensation Program Components</w:t>
      </w:r>
    </w:p>
    <w:p>
      <w:pPr>
        <w:spacing w:after="0" w:line="12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This section outlines each of the components of our compensation program. Compensation decisions specific to our named executive officers for 2021 for each of these components are discussed in greater detail under 2021 Executive Compensation. Overall compensation consists of base salary, annual performance incentive awards and long-term incentive awards.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Base Salary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Base salaries form the foundation of Civeo’s compensation program. Base salary recognizes the job being performed and the value of that job in the competitive market. Base salary must be sufficient to attract and retain the executive talent necessary for our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seniority, tenure,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7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Base salaries, as in effect on December 31, 2021, and target AICP levels for 2021, are set forth below for each named executive officer. After a voluntary base salary reduction for the majority of 2020 in light of market conditions, Mr. Dodson's salary was returned to $750,000 in January 2021. Adjustments to NEO compensation are considered by the Compensation Committee in consultation with our independent compensation consultant. The Compensation Committee considers market data, executive tenure in the role, performance and other internal equity factors when recommending changes to NEO compensation.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63"/>
              <w:spacing w:after="0"/>
              <w:rPr>
                <w:sz w:val="20"/>
                <w:szCs w:val="20"/>
                <w:color w:val="auto"/>
              </w:rPr>
            </w:pPr>
            <w:r>
              <w:rPr>
                <w:rFonts w:ascii="Arial" w:cs="Arial" w:eastAsia="Arial" w:hAnsi="Arial"/>
                <w:sz w:val="14"/>
                <w:szCs w:val="14"/>
                <w:b w:val="1"/>
                <w:bCs w:val="1"/>
                <w:color w:val="70706F"/>
              </w:rPr>
              <w:t>Base Salary</w:t>
            </w:r>
          </w:p>
        </w:tc>
        <w:tc>
          <w:tcPr>
            <w:tcW w:w="1440" w:type="dxa"/>
            <w:vAlign w:val="bottom"/>
          </w:tcPr>
          <w:p>
            <w:pPr>
              <w:jc w:val="center"/>
              <w:ind w:left="22"/>
              <w:spacing w:after="0"/>
              <w:rPr>
                <w:sz w:val="20"/>
                <w:szCs w:val="20"/>
                <w:color w:val="auto"/>
              </w:rPr>
            </w:pPr>
            <w:r>
              <w:rPr>
                <w:rFonts w:ascii="Arial" w:cs="Arial" w:eastAsia="Arial" w:hAnsi="Arial"/>
                <w:sz w:val="14"/>
                <w:szCs w:val="14"/>
                <w:b w:val="1"/>
                <w:bCs w:val="1"/>
                <w:color w:val="70706F"/>
              </w:rPr>
              <w:t>Target AICP</w:t>
            </w:r>
          </w:p>
        </w:tc>
        <w:tc>
          <w:tcPr>
            <w:tcW w:w="220" w:type="dxa"/>
            <w:vAlign w:val="bottom"/>
          </w:tcPr>
          <w:p>
            <w:pPr>
              <w:spacing w:after="0"/>
              <w:rPr>
                <w:sz w:val="14"/>
                <w:szCs w:val="14"/>
                <w:color w:val="auto"/>
              </w:rPr>
            </w:pPr>
          </w:p>
        </w:tc>
      </w:tr>
      <w:tr>
        <w:trPr>
          <w:trHeight w:val="205"/>
        </w:trPr>
        <w:tc>
          <w:tcPr>
            <w:tcW w:w="18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640" w:type="dxa"/>
            <w:vAlign w:val="bottom"/>
            <w:tcBorders>
              <w:bottom w:val="single" w:sz="8" w:color="006DB6"/>
            </w:tcBorders>
          </w:tcPr>
          <w:p>
            <w:pPr>
              <w:ind w:left="340"/>
              <w:spacing w:after="0"/>
              <w:rPr>
                <w:sz w:val="20"/>
                <w:szCs w:val="20"/>
                <w:color w:val="auto"/>
              </w:rPr>
            </w:pPr>
            <w:r>
              <w:rPr>
                <w:rFonts w:ascii="Arial" w:cs="Arial" w:eastAsia="Arial" w:hAnsi="Arial"/>
                <w:sz w:val="14"/>
                <w:szCs w:val="14"/>
                <w:b w:val="1"/>
                <w:bCs w:val="1"/>
                <w:color w:val="70706F"/>
              </w:rPr>
              <w:t>Position (December 31, 2021)</w:t>
            </w:r>
          </w:p>
        </w:tc>
        <w:tc>
          <w:tcPr>
            <w:tcW w:w="1120" w:type="dxa"/>
            <w:vAlign w:val="bottom"/>
            <w:tcBorders>
              <w:bottom w:val="single" w:sz="8" w:color="006DB6"/>
            </w:tcBorders>
          </w:tcPr>
          <w:p>
            <w:pPr>
              <w:spacing w:after="0"/>
              <w:rPr>
                <w:sz w:val="17"/>
                <w:szCs w:val="17"/>
                <w:color w:val="auto"/>
              </w:rPr>
            </w:pPr>
          </w:p>
        </w:tc>
        <w:tc>
          <w:tcPr>
            <w:tcW w:w="960" w:type="dxa"/>
            <w:vAlign w:val="bottom"/>
            <w:tcBorders>
              <w:bottom w:val="single" w:sz="8" w:color="006DB6"/>
            </w:tcBorders>
          </w:tcPr>
          <w:p>
            <w:pPr>
              <w:jc w:val="right"/>
              <w:ind w:right="63"/>
              <w:spacing w:after="0"/>
              <w:rPr>
                <w:sz w:val="20"/>
                <w:szCs w:val="20"/>
                <w:color w:val="auto"/>
              </w:rPr>
            </w:pPr>
            <w:r>
              <w:rPr>
                <w:rFonts w:ascii="Arial" w:cs="Arial" w:eastAsia="Arial" w:hAnsi="Arial"/>
                <w:sz w:val="14"/>
                <w:szCs w:val="14"/>
                <w:b w:val="1"/>
                <w:bCs w:val="1"/>
                <w:color w:val="70706F"/>
              </w:rPr>
              <w:t>(USD)</w:t>
            </w:r>
          </w:p>
        </w:tc>
        <w:tc>
          <w:tcPr>
            <w:tcW w:w="1440" w:type="dxa"/>
            <w:vAlign w:val="bottom"/>
            <w:tcBorders>
              <w:bottom w:val="single" w:sz="8" w:color="006DB6"/>
            </w:tcBorders>
          </w:tcPr>
          <w:p>
            <w:pPr>
              <w:jc w:val="center"/>
              <w:ind w:left="22"/>
              <w:spacing w:after="0"/>
              <w:rPr>
                <w:sz w:val="20"/>
                <w:szCs w:val="20"/>
                <w:color w:val="auto"/>
              </w:rPr>
            </w:pPr>
            <w:r>
              <w:rPr>
                <w:rFonts w:ascii="Arial" w:cs="Arial" w:eastAsia="Arial" w:hAnsi="Arial"/>
                <w:sz w:val="14"/>
                <w:szCs w:val="14"/>
                <w:b w:val="1"/>
                <w:bCs w:val="1"/>
                <w:color w:val="70706F"/>
              </w:rPr>
              <w:t>(% of base salary)</w:t>
            </w:r>
          </w:p>
        </w:tc>
        <w:tc>
          <w:tcPr>
            <w:tcW w:w="220" w:type="dxa"/>
            <w:vAlign w:val="bottom"/>
            <w:tcBorders>
              <w:bottom w:val="single" w:sz="8" w:color="006DB6"/>
            </w:tcBorders>
          </w:tcPr>
          <w:p>
            <w:pPr>
              <w:spacing w:after="0"/>
              <w:rPr>
                <w:sz w:val="17"/>
                <w:szCs w:val="17"/>
                <w:color w:val="auto"/>
              </w:rPr>
            </w:pPr>
          </w:p>
        </w:tc>
      </w:tr>
      <w:tr>
        <w:trPr>
          <w:trHeight w:val="23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6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President and Chief Executive Officer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750,000</w:t>
            </w:r>
          </w:p>
        </w:tc>
        <w:tc>
          <w:tcPr>
            <w:tcW w:w="14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spacing w:after="0"/>
              <w:rPr>
                <w:sz w:val="20"/>
                <w:szCs w:val="20"/>
                <w:color w:val="auto"/>
              </w:rPr>
            </w:pPr>
          </w:p>
        </w:tc>
      </w:tr>
      <w:tr>
        <w:trPr>
          <w:trHeight w:val="237"/>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56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Senior Vice President, Chief Financial Officer and Treasurer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380,000</w:t>
            </w:r>
          </w:p>
        </w:tc>
        <w:tc>
          <w:tcPr>
            <w:tcW w:w="14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auto"/>
            </w:tcBorders>
          </w:tcPr>
          <w:p>
            <w:pPr>
              <w:spacing w:after="0"/>
              <w:rPr>
                <w:sz w:val="20"/>
                <w:szCs w:val="20"/>
                <w:color w:val="auto"/>
              </w:rPr>
            </w:pPr>
          </w:p>
        </w:tc>
      </w:tr>
      <w:tr>
        <w:trPr>
          <w:trHeight w:val="236"/>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6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Senior Vice President, Australia</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338,265</w:t>
            </w:r>
          </w:p>
        </w:tc>
        <w:tc>
          <w:tcPr>
            <w:tcW w:w="14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auto"/>
            </w:tcBorders>
          </w:tcPr>
          <w:p>
            <w:pPr>
              <w:spacing w:after="0"/>
              <w:rPr>
                <w:sz w:val="20"/>
                <w:szCs w:val="20"/>
                <w:color w:val="auto"/>
              </w:rPr>
            </w:pPr>
          </w:p>
        </w:tc>
      </w:tr>
      <w:tr>
        <w:trPr>
          <w:trHeight w:val="233"/>
        </w:trPr>
        <w:tc>
          <w:tcPr>
            <w:tcW w:w="186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5640" w:type="dxa"/>
            <w:vAlign w:val="bottom"/>
          </w:tcPr>
          <w:p>
            <w:pPr>
              <w:ind w:left="340"/>
              <w:spacing w:after="0"/>
              <w:rPr>
                <w:sz w:val="20"/>
                <w:szCs w:val="20"/>
                <w:color w:val="auto"/>
              </w:rPr>
            </w:pPr>
            <w:r>
              <w:rPr>
                <w:rFonts w:ascii="Arial" w:cs="Arial" w:eastAsia="Arial" w:hAnsi="Arial"/>
                <w:sz w:val="16"/>
                <w:szCs w:val="16"/>
                <w:color w:val="auto"/>
              </w:rPr>
              <w:t>Senior Vice President, Canada</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3"/>
              <w:spacing w:after="0"/>
              <w:rPr>
                <w:sz w:val="20"/>
                <w:szCs w:val="20"/>
                <w:color w:val="auto"/>
              </w:rPr>
            </w:pPr>
            <w:r>
              <w:rPr>
                <w:rFonts w:ascii="Arial" w:cs="Arial" w:eastAsia="Arial" w:hAnsi="Arial"/>
                <w:sz w:val="16"/>
                <w:szCs w:val="16"/>
                <w:color w:val="auto"/>
              </w:rPr>
              <w:t>406,929</w:t>
            </w:r>
          </w:p>
        </w:tc>
        <w:tc>
          <w:tcPr>
            <w:tcW w:w="1440" w:type="dxa"/>
            <w:vAlign w:val="bottom"/>
          </w:tcPr>
          <w:p>
            <w:pPr>
              <w:jc w:val="center"/>
              <w:ind w:left="22"/>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20"/>
                <w:szCs w:val="20"/>
                <w:color w:val="auto"/>
              </w:rPr>
            </w:pPr>
          </w:p>
        </w:tc>
      </w:tr>
      <w:tr>
        <w:trPr>
          <w:trHeight w:val="546"/>
        </w:trPr>
        <w:tc>
          <w:tcPr>
            <w:tcW w:w="18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ind w:left="640"/>
              <w:spacing w:after="0"/>
              <w:rPr>
                <w:sz w:val="20"/>
                <w:szCs w:val="20"/>
                <w:color w:val="auto"/>
              </w:rPr>
            </w:pPr>
            <w:r>
              <w:rPr>
                <w:rFonts w:ascii="Arial" w:cs="Arial" w:eastAsia="Arial" w:hAnsi="Arial"/>
                <w:sz w:val="14"/>
                <w:szCs w:val="14"/>
                <w:color w:val="auto"/>
              </w:rPr>
              <w:t>2022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Annual Incentive Compensation Plan</w:t>
      </w:r>
    </w:p>
    <w:p>
      <w:pPr>
        <w:spacing w:after="0" w:line="11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key objective of Civeo’s AICP is to reward the achievement of 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named executive officers.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2021, achieving results which exceeded a minimum, or threshold, level of performance triggered an AICP payout. Performance results at or below threshold (</w:t>
      </w:r>
      <w:r>
        <w:rPr>
          <w:rFonts w:ascii="Arial" w:cs="Arial" w:eastAsia="Arial" w:hAnsi="Arial"/>
          <w:sz w:val="16"/>
          <w:szCs w:val="16"/>
          <w:i w:val="1"/>
          <w:iCs w:val="1"/>
          <w:color w:val="auto"/>
        </w:rPr>
        <w:t>i.e.</w:t>
      </w:r>
      <w:r>
        <w:rPr>
          <w:rFonts w:ascii="Arial" w:cs="Arial" w:eastAsia="Arial" w:hAnsi="Arial"/>
          <w:sz w:val="16"/>
          <w:szCs w:val="16"/>
          <w:color w:val="auto"/>
        </w:rPr>
        <w:t>, typically achieving a percentage less than 85% of the related AICP performance objective) results in no AICP award. A target award is earned when an executive achieves 100% of his or her budgeted safety and financial performance objectives. Overachievement is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overachievement level, 100-200% of the target amount is paid out proportionately.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BASE SALARY, TARGET AICP AND MAXIMUM AICP AWARD</w:t>
      </w:r>
    </w:p>
    <w:p>
      <w:pPr>
        <w:spacing w:after="0" w:line="172"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70706F"/>
        </w:rPr>
        <w:t>Target AICP</w:t>
      </w:r>
    </w:p>
    <w:p>
      <w:pPr>
        <w:spacing w:after="0" w:line="15" w:lineRule="exact"/>
        <w:rPr>
          <w:sz w:val="20"/>
          <w:szCs w:val="20"/>
          <w:color w:val="auto"/>
        </w:rPr>
      </w:pPr>
    </w:p>
    <w:p>
      <w:pPr>
        <w:ind w:left="20"/>
        <w:spacing w:after="0"/>
        <w:tabs>
          <w:tab w:leader="none" w:pos="2320" w:val="left"/>
          <w:tab w:leader="none" w:pos="3740" w:val="left"/>
          <w:tab w:leader="none" w:pos="5320" w:val="left"/>
          <w:tab w:leader="none" w:pos="8200" w:val="left"/>
        </w:tabs>
        <w:rPr>
          <w:sz w:val="20"/>
          <w:szCs w:val="20"/>
          <w:color w:val="auto"/>
        </w:rPr>
      </w:pPr>
      <w:r>
        <w:rPr>
          <w:rFonts w:ascii="Arial" w:cs="Arial" w:eastAsia="Arial" w:hAnsi="Arial"/>
          <w:sz w:val="14"/>
          <w:szCs w:val="14"/>
          <w:b w:val="1"/>
          <w:bCs w:val="1"/>
          <w:color w:val="70706F"/>
        </w:rPr>
        <w:t>Named Executive Officer</w:t>
      </w:r>
      <w:r>
        <w:rPr>
          <w:sz w:val="20"/>
          <w:szCs w:val="20"/>
          <w:color w:val="auto"/>
        </w:rPr>
        <w:tab/>
      </w:r>
      <w:r>
        <w:rPr>
          <w:rFonts w:ascii="Arial" w:cs="Arial" w:eastAsia="Arial" w:hAnsi="Arial"/>
          <w:sz w:val="14"/>
          <w:szCs w:val="14"/>
          <w:b w:val="1"/>
          <w:bCs w:val="1"/>
          <w:color w:val="70706F"/>
        </w:rPr>
        <w:t>(% of base salary)</w:t>
        <w:tab/>
        <w:t>Threshold</w:t>
      </w:r>
      <w:r>
        <w:rPr>
          <w:sz w:val="20"/>
          <w:szCs w:val="20"/>
          <w:color w:val="auto"/>
        </w:rPr>
        <w:tab/>
      </w:r>
      <w:r>
        <w:rPr>
          <w:rFonts w:ascii="Arial" w:cs="Arial" w:eastAsia="Arial" w:hAnsi="Arial"/>
          <w:sz w:val="14"/>
          <w:szCs w:val="14"/>
          <w:b w:val="1"/>
          <w:bCs w:val="1"/>
          <w:color w:val="70706F"/>
        </w:rPr>
        <w:t>Target</w:t>
      </w:r>
      <w:r>
        <w:rPr>
          <w:sz w:val="20"/>
          <w:szCs w:val="20"/>
          <w:color w:val="auto"/>
        </w:rPr>
        <w:tab/>
      </w:r>
      <w:r>
        <w:rPr>
          <w:rFonts w:ascii="Arial" w:cs="Arial" w:eastAsia="Arial" w:hAnsi="Arial"/>
          <w:sz w:val="14"/>
          <w:szCs w:val="14"/>
          <w:b w:val="1"/>
          <w:bCs w:val="1"/>
          <w:color w:val="70706F"/>
        </w:rPr>
        <w:t>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100%</w:t>
            </w:r>
          </w:p>
        </w:tc>
        <w:tc>
          <w:tcPr>
            <w:tcW w:w="1360" w:type="dxa"/>
            <w:vAlign w:val="bottom"/>
          </w:tcPr>
          <w:p>
            <w:pPr>
              <w:ind w:left="20"/>
              <w:spacing w:after="0"/>
              <w:rPr>
                <w:sz w:val="20"/>
                <w:szCs w:val="20"/>
                <w:color w:val="auto"/>
              </w:rPr>
            </w:pPr>
            <w:r>
              <w:rPr>
                <w:rFonts w:ascii="Arial" w:cs="Arial" w:eastAsia="Arial" w:hAnsi="Arial"/>
                <w:sz w:val="16"/>
                <w:szCs w:val="16"/>
                <w:color w:val="auto"/>
              </w:rPr>
              <w:t>No AICP award</w:t>
            </w:r>
          </w:p>
        </w:tc>
        <w:tc>
          <w:tcPr>
            <w:tcW w:w="3060" w:type="dxa"/>
            <w:vAlign w:val="bottom"/>
          </w:tcPr>
          <w:p>
            <w:pPr>
              <w:ind w:left="240"/>
              <w:spacing w:after="0"/>
              <w:rPr>
                <w:sz w:val="20"/>
                <w:szCs w:val="20"/>
                <w:color w:val="auto"/>
              </w:rPr>
            </w:pPr>
            <w:r>
              <w:rPr>
                <w:rFonts w:ascii="Arial" w:cs="Arial" w:eastAsia="Arial" w:hAnsi="Arial"/>
                <w:sz w:val="16"/>
                <w:szCs w:val="16"/>
                <w:color w:val="auto"/>
              </w:rPr>
              <w:t>Earned when an executive achieves</w:t>
            </w:r>
          </w:p>
        </w:tc>
        <w:tc>
          <w:tcPr>
            <w:tcW w:w="0" w:type="dxa"/>
            <w:vAlign w:val="bottom"/>
          </w:tcPr>
          <w:p>
            <w:pPr>
              <w:spacing w:after="0"/>
              <w:rPr>
                <w:sz w:val="1"/>
                <w:szCs w:val="1"/>
                <w:color w:val="auto"/>
              </w:rPr>
            </w:pPr>
          </w:p>
        </w:tc>
      </w:tr>
      <w:tr>
        <w:trPr>
          <w:trHeight w:val="96"/>
        </w:trPr>
        <w:tc>
          <w:tcPr>
            <w:tcW w:w="2120" w:type="dxa"/>
            <w:vAlign w:val="bottom"/>
            <w:tcBorders>
              <w:bottom w:val="single" w:sz="8" w:color="auto"/>
            </w:tcBorders>
            <w:vMerge w:val="continue"/>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1360" w:type="dxa"/>
            <w:vAlign w:val="bottom"/>
          </w:tcPr>
          <w:p>
            <w:pPr>
              <w:spacing w:after="0"/>
              <w:rPr>
                <w:sz w:val="7"/>
                <w:szCs w:val="7"/>
                <w:color w:val="auto"/>
              </w:rPr>
            </w:pPr>
          </w:p>
        </w:tc>
        <w:tc>
          <w:tcPr>
            <w:tcW w:w="3060" w:type="dxa"/>
            <w:vAlign w:val="bottom"/>
            <w:vMerge w:val="restart"/>
          </w:tcPr>
          <w:p>
            <w:pPr>
              <w:ind w:left="240"/>
              <w:spacing w:after="0"/>
              <w:rPr>
                <w:sz w:val="20"/>
                <w:szCs w:val="20"/>
                <w:color w:val="auto"/>
              </w:rPr>
            </w:pPr>
            <w:r>
              <w:rPr>
                <w:rFonts w:ascii="Arial" w:cs="Arial" w:eastAsia="Arial" w:hAnsi="Arial"/>
                <w:sz w:val="16"/>
                <w:szCs w:val="16"/>
                <w:color w:val="auto"/>
              </w:rPr>
              <w:t>100% of his or her budgeted safety and</w:t>
            </w:r>
          </w:p>
        </w:tc>
        <w:tc>
          <w:tcPr>
            <w:tcW w:w="0" w:type="dxa"/>
            <w:vAlign w:val="bottom"/>
          </w:tcPr>
          <w:p>
            <w:pPr>
              <w:spacing w:after="0"/>
              <w:rPr>
                <w:sz w:val="1"/>
                <w:szCs w:val="1"/>
                <w:color w:val="auto"/>
              </w:rPr>
            </w:pPr>
          </w:p>
        </w:tc>
      </w:tr>
      <w:tr>
        <w:trPr>
          <w:trHeight w:val="78"/>
        </w:trPr>
        <w:tc>
          <w:tcPr>
            <w:tcW w:w="212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Carolyn J. Stone</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9"/>
              </w:rPr>
              <w:t>65%</w:t>
            </w:r>
          </w:p>
        </w:tc>
        <w:tc>
          <w:tcPr>
            <w:tcW w:w="1360" w:type="dxa"/>
            <w:vAlign w:val="bottom"/>
          </w:tcPr>
          <w:p>
            <w:pPr>
              <w:spacing w:after="0"/>
              <w:rPr>
                <w:sz w:val="6"/>
                <w:szCs w:val="6"/>
                <w:color w:val="auto"/>
              </w:rPr>
            </w:pPr>
          </w:p>
        </w:tc>
        <w:tc>
          <w:tcPr>
            <w:tcW w:w="3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360" w:type="dxa"/>
            <w:vAlign w:val="bottom"/>
          </w:tcPr>
          <w:p>
            <w:pPr>
              <w:spacing w:after="0"/>
              <w:rPr>
                <w:sz w:val="18"/>
                <w:szCs w:val="18"/>
                <w:color w:val="auto"/>
              </w:rPr>
            </w:pPr>
          </w:p>
        </w:tc>
        <w:tc>
          <w:tcPr>
            <w:tcW w:w="3060" w:type="dxa"/>
            <w:vAlign w:val="bottom"/>
          </w:tcPr>
          <w:p>
            <w:pPr>
              <w:ind w:left="240"/>
              <w:spacing w:after="0"/>
              <w:rPr>
                <w:sz w:val="20"/>
                <w:szCs w:val="20"/>
                <w:color w:val="auto"/>
              </w:rPr>
            </w:pPr>
            <w:r>
              <w:rPr>
                <w:rFonts w:ascii="Arial" w:cs="Arial" w:eastAsia="Arial" w:hAnsi="Arial"/>
                <w:sz w:val="16"/>
                <w:szCs w:val="16"/>
                <w:color w:val="auto"/>
              </w:rPr>
              <w:t>financial performance objectives</w:t>
            </w:r>
          </w:p>
        </w:tc>
        <w:tc>
          <w:tcPr>
            <w:tcW w:w="0" w:type="dxa"/>
            <w:vAlign w:val="bottom"/>
          </w:tcPr>
          <w:p>
            <w:pPr>
              <w:spacing w:after="0"/>
              <w:rPr>
                <w:sz w:val="1"/>
                <w:szCs w:val="1"/>
                <w:color w:val="auto"/>
              </w:rPr>
            </w:pPr>
          </w:p>
        </w:tc>
      </w:tr>
      <w:tr>
        <w:trPr>
          <w:trHeight w:val="247"/>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65%</w:t>
            </w:r>
          </w:p>
        </w:tc>
        <w:tc>
          <w:tcPr>
            <w:tcW w:w="13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12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Earned when performance results are above 100% of budgeted safety and financial performance, with the maximum being 120%, which would result in a payout capped at 200% of target</w:t>
      </w:r>
    </w:p>
    <w:p>
      <w:pPr>
        <w:spacing w:after="0" w:line="382" w:lineRule="exact"/>
        <w:rPr>
          <w:sz w:val="20"/>
          <w:szCs w:val="20"/>
          <w:color w:val="auto"/>
        </w:rPr>
      </w:pPr>
    </w:p>
    <w:p>
      <w:pPr>
        <w:sectPr>
          <w:pgSz w:w="11900" w:h="16838" w:orient="portrait"/>
          <w:cols w:equalWidth="0" w:num="2">
            <w:col w:w="8160" w:space="60"/>
            <w:col w:w="3000"/>
          </w:cols>
          <w:pgMar w:left="320" w:top="125" w:right="359" w:bottom="1440" w:gutter="0" w:footer="0" w:header="0"/>
          <w:type w:val="continuous"/>
        </w:sectPr>
      </w:pPr>
    </w:p>
    <w:p>
      <w:pPr>
        <w:ind w:right="740"/>
        <w:spacing w:after="0" w:line="286" w:lineRule="auto"/>
        <w:rPr>
          <w:sz w:val="20"/>
          <w:szCs w:val="20"/>
          <w:color w:val="auto"/>
        </w:rPr>
      </w:pPr>
      <w:r>
        <w:rPr>
          <w:rFonts w:ascii="Arial" w:cs="Arial" w:eastAsia="Arial" w:hAnsi="Arial"/>
          <w:sz w:val="16"/>
          <w:szCs w:val="16"/>
          <w:color w:val="auto"/>
        </w:rPr>
        <w:t>The performance metrics for our AICP consist of financial metrics, typically budgeted EBITDA or Operating Cash Flow, as adjusted where deemed appropriate by the Compensation Committee, and safety performance.</w:t>
      </w:r>
    </w:p>
    <w:p>
      <w:pPr>
        <w:spacing w:after="0" w:line="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maximum AICP overachievement percentage permitted under the AICP is capped at two times the target level to mitigate the potential for excessive risk taking.</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incentive awards to be paid to each NEO and, in aggregate, to other AICP participants. In its sole discretion, the Compensation Committee interprets all provisions of the AICP and has authority to make positive or negative adjustments in individual, business unit or Civeo’s consolidated results.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performance metrics formed the basis for annual incentive award determinations for our named executive officers for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560" w:type="dxa"/>
            <w:vAlign w:val="bottom"/>
            <w:tcBorders>
              <w:bottom w:val="single" w:sz="8" w:color="006DB6"/>
            </w:tcBorders>
            <w:gridSpan w:val="2"/>
          </w:tcPr>
          <w:p>
            <w:pPr>
              <w:jc w:val="right"/>
              <w:ind w:right="442"/>
              <w:spacing w:after="0"/>
              <w:rPr>
                <w:sz w:val="20"/>
                <w:szCs w:val="20"/>
                <w:color w:val="auto"/>
              </w:rPr>
            </w:pPr>
            <w:r>
              <w:rPr>
                <w:rFonts w:ascii="Arial" w:cs="Arial" w:eastAsia="Arial" w:hAnsi="Arial"/>
                <w:sz w:val="14"/>
                <w:szCs w:val="14"/>
                <w:b w:val="1"/>
                <w:bCs w:val="1"/>
                <w:color w:val="70706F"/>
              </w:rPr>
              <w:t>Financial Performance</w:t>
            </w:r>
          </w:p>
        </w:tc>
        <w:tc>
          <w:tcPr>
            <w:tcW w:w="1220" w:type="dxa"/>
            <w:vAlign w:val="bottom"/>
          </w:tcPr>
          <w:p>
            <w:pPr>
              <w:spacing w:after="0"/>
              <w:rPr>
                <w:sz w:val="17"/>
                <w:szCs w:val="17"/>
                <w:color w:val="auto"/>
              </w:rPr>
            </w:pPr>
          </w:p>
        </w:tc>
      </w:tr>
      <w:tr>
        <w:trPr>
          <w:trHeight w:val="247"/>
        </w:trPr>
        <w:tc>
          <w:tcPr>
            <w:tcW w:w="186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680" w:type="dxa"/>
            <w:vAlign w:val="bottom"/>
          </w:tcPr>
          <w:p>
            <w:pPr>
              <w:jc w:val="right"/>
              <w:ind w:right="223"/>
              <w:spacing w:after="0"/>
              <w:rPr>
                <w:sz w:val="20"/>
                <w:szCs w:val="20"/>
                <w:color w:val="auto"/>
              </w:rPr>
            </w:pPr>
            <w:r>
              <w:rPr>
                <w:rFonts w:ascii="Arial" w:cs="Arial" w:eastAsia="Arial" w:hAnsi="Arial"/>
                <w:sz w:val="14"/>
                <w:szCs w:val="14"/>
                <w:b w:val="1"/>
                <w:bCs w:val="1"/>
                <w:color w:val="70706F"/>
              </w:rPr>
              <w:t>Consolidated</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70706F"/>
              </w:rPr>
              <w:t>Division</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70706F"/>
              </w:rPr>
              <w:t>Safety</w:t>
            </w:r>
          </w:p>
        </w:tc>
      </w:tr>
      <w:tr>
        <w:trPr>
          <w:trHeight w:val="205"/>
        </w:trPr>
        <w:tc>
          <w:tcPr>
            <w:tcW w:w="18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560" w:type="dxa"/>
            <w:vAlign w:val="bottom"/>
            <w:tcBorders>
              <w:bottom w:val="single" w:sz="8" w:color="006DB6"/>
            </w:tcBorders>
          </w:tcPr>
          <w:p>
            <w:pPr>
              <w:ind w:left="340"/>
              <w:spacing w:after="0"/>
              <w:rPr>
                <w:sz w:val="20"/>
                <w:szCs w:val="20"/>
                <w:color w:val="auto"/>
              </w:rPr>
            </w:pPr>
            <w:r>
              <w:rPr>
                <w:rFonts w:ascii="Arial" w:cs="Arial" w:eastAsia="Arial" w:hAnsi="Arial"/>
                <w:sz w:val="14"/>
                <w:szCs w:val="14"/>
                <w:b w:val="1"/>
                <w:bCs w:val="1"/>
                <w:color w:val="70706F"/>
              </w:rPr>
              <w:t>Position (December 31, 2021)</w:t>
            </w:r>
          </w:p>
        </w:tc>
        <w:tc>
          <w:tcPr>
            <w:tcW w:w="1680" w:type="dxa"/>
            <w:vAlign w:val="bottom"/>
            <w:tcBorders>
              <w:bottom w:val="single" w:sz="8" w:color="006DB6"/>
            </w:tcBorders>
          </w:tcPr>
          <w:p>
            <w:pPr>
              <w:jc w:val="right"/>
              <w:ind w:right="223"/>
              <w:spacing w:after="0"/>
              <w:rPr>
                <w:sz w:val="20"/>
                <w:szCs w:val="20"/>
                <w:color w:val="auto"/>
              </w:rPr>
            </w:pPr>
            <w:r>
              <w:rPr>
                <w:rFonts w:ascii="Arial" w:cs="Arial" w:eastAsia="Arial" w:hAnsi="Arial"/>
                <w:sz w:val="14"/>
                <w:szCs w:val="14"/>
                <w:b w:val="1"/>
                <w:bCs w:val="1"/>
                <w:color w:val="70706F"/>
              </w:rPr>
              <w:t>Adjusted OCF</w:t>
            </w:r>
          </w:p>
        </w:tc>
        <w:tc>
          <w:tcPr>
            <w:tcW w:w="8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EBITDA</w:t>
            </w:r>
          </w:p>
        </w:tc>
        <w:tc>
          <w:tcPr>
            <w:tcW w:w="12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Performance</w:t>
            </w:r>
          </w:p>
        </w:tc>
      </w:tr>
      <w:tr>
        <w:trPr>
          <w:trHeight w:val="23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President and Chief Executive Officer</w:t>
            </w:r>
          </w:p>
        </w:tc>
        <w:tc>
          <w:tcPr>
            <w:tcW w:w="16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80%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Senior Vice President, Chief Financial Officer and Treasurer</w:t>
            </w:r>
          </w:p>
        </w:tc>
        <w:tc>
          <w:tcPr>
            <w:tcW w:w="16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80%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Senior Vice President, Australia</w:t>
            </w:r>
          </w:p>
        </w:tc>
        <w:tc>
          <w:tcPr>
            <w:tcW w:w="16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86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5560" w:type="dxa"/>
            <w:vAlign w:val="bottom"/>
          </w:tcPr>
          <w:p>
            <w:pPr>
              <w:ind w:left="340"/>
              <w:spacing w:after="0"/>
              <w:rPr>
                <w:sz w:val="20"/>
                <w:szCs w:val="20"/>
                <w:color w:val="auto"/>
              </w:rPr>
            </w:pPr>
            <w:r>
              <w:rPr>
                <w:rFonts w:ascii="Arial" w:cs="Arial" w:eastAsia="Arial" w:hAnsi="Arial"/>
                <w:sz w:val="16"/>
                <w:szCs w:val="16"/>
                <w:color w:val="auto"/>
              </w:rPr>
              <w:t>Senior Vice President, Canada</w:t>
            </w:r>
          </w:p>
        </w:tc>
        <w:tc>
          <w:tcPr>
            <w:tcW w:w="1680" w:type="dxa"/>
            <w:vAlign w:val="bottom"/>
          </w:tcPr>
          <w:p>
            <w:pPr>
              <w:jc w:val="right"/>
              <w:ind w:right="223"/>
              <w:spacing w:after="0"/>
              <w:rPr>
                <w:sz w:val="20"/>
                <w:szCs w:val="20"/>
                <w:color w:val="auto"/>
              </w:rPr>
            </w:pPr>
            <w:r>
              <w:rPr>
                <w:rFonts w:ascii="Arial" w:cs="Arial" w:eastAsia="Arial" w:hAnsi="Arial"/>
                <w:sz w:val="16"/>
                <w:szCs w:val="16"/>
                <w:color w:val="auto"/>
              </w:rPr>
              <w:t>40%</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1718945</wp:posOffset>
            </wp:positionV>
            <wp:extent cx="394335" cy="196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220"/>
          </w:cols>
          <w:pgMar w:left="320" w:top="125" w:right="35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For AICP purposes in 2021, performance metrics consisted of two financial metrics, budgeted regional EBITDA and budgeted Consolidated Adjusted Operating Cash Flow, and one metric based on safety performance as measured by the TRIR. Consistent with industry and regulatory standards, the calculation of TRIR is based on the number of recordable safety incidents per 200,000 hours worked.The following entry, target, and over-achievement performance goals were used for determining payouts for our named executive officers under the 2021 AICP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left="522"/>
              <w:spacing w:after="0"/>
              <w:rPr>
                <w:sz w:val="20"/>
                <w:szCs w:val="20"/>
                <w:color w:val="auto"/>
              </w:rPr>
            </w:pPr>
            <w:r>
              <w:rPr>
                <w:rFonts w:ascii="Arial" w:cs="Arial" w:eastAsia="Arial" w:hAnsi="Arial"/>
                <w:sz w:val="14"/>
                <w:szCs w:val="14"/>
                <w:b w:val="1"/>
                <w:bCs w:val="1"/>
                <w:color w:val="706F6F"/>
              </w:rPr>
              <w:t>Actual</w:t>
            </w:r>
          </w:p>
        </w:tc>
      </w:tr>
      <w:tr>
        <w:trPr>
          <w:trHeight w:val="205"/>
        </w:trPr>
        <w:tc>
          <w:tcPr>
            <w:tcW w:w="4640" w:type="dxa"/>
            <w:vAlign w:val="bottom"/>
            <w:tcBorders>
              <w:bottom w:val="single" w:sz="8" w:color="006DB6"/>
            </w:tcBorders>
          </w:tcPr>
          <w:p>
            <w:pPr>
              <w:spacing w:after="0"/>
              <w:rPr>
                <w:sz w:val="17"/>
                <w:szCs w:val="17"/>
                <w:color w:val="auto"/>
              </w:rPr>
            </w:pPr>
          </w:p>
        </w:tc>
        <w:tc>
          <w:tcPr>
            <w:tcW w:w="1280" w:type="dxa"/>
            <w:vAlign w:val="bottom"/>
            <w:tcBorders>
              <w:bottom w:val="single" w:sz="8" w:color="006DB6"/>
            </w:tcBorders>
          </w:tcPr>
          <w:p>
            <w:pPr>
              <w:spacing w:after="0"/>
              <w:rPr>
                <w:sz w:val="17"/>
                <w:szCs w:val="17"/>
                <w:color w:val="auto"/>
              </w:rPr>
            </w:pPr>
          </w:p>
        </w:tc>
        <w:tc>
          <w:tcPr>
            <w:tcW w:w="880" w:type="dxa"/>
            <w:vAlign w:val="bottom"/>
            <w:tcBorders>
              <w:bottom w:val="single" w:sz="8" w:color="006DB6"/>
            </w:tcBorders>
          </w:tcPr>
          <w:p>
            <w:pPr>
              <w:ind w:left="380"/>
              <w:spacing w:after="0"/>
              <w:rPr>
                <w:sz w:val="20"/>
                <w:szCs w:val="20"/>
                <w:color w:val="auto"/>
              </w:rPr>
            </w:pPr>
            <w:r>
              <w:rPr>
                <w:rFonts w:ascii="Arial" w:cs="Arial" w:eastAsia="Arial" w:hAnsi="Arial"/>
                <w:sz w:val="14"/>
                <w:szCs w:val="14"/>
                <w:b w:val="1"/>
                <w:bCs w:val="1"/>
                <w:color w:val="706F6F"/>
              </w:rPr>
              <w:t>Entry</w:t>
            </w:r>
          </w:p>
        </w:tc>
        <w:tc>
          <w:tcPr>
            <w:tcW w:w="460" w:type="dxa"/>
            <w:vAlign w:val="bottom"/>
            <w:tcBorders>
              <w:bottom w:val="single" w:sz="8" w:color="006DB6"/>
            </w:tcBorders>
          </w:tcPr>
          <w:p>
            <w:pPr>
              <w:spacing w:after="0"/>
              <w:rPr>
                <w:sz w:val="17"/>
                <w:szCs w:val="17"/>
                <w:color w:val="auto"/>
              </w:rPr>
            </w:pPr>
          </w:p>
        </w:tc>
        <w:tc>
          <w:tcPr>
            <w:tcW w:w="880" w:type="dxa"/>
            <w:vAlign w:val="bottom"/>
            <w:tcBorders>
              <w:bottom w:val="single" w:sz="8" w:color="006DB6"/>
            </w:tcBorders>
          </w:tcPr>
          <w:p>
            <w:pPr>
              <w:jc w:val="right"/>
              <w:ind w:right="121"/>
              <w:spacing w:after="0"/>
              <w:rPr>
                <w:sz w:val="20"/>
                <w:szCs w:val="20"/>
                <w:color w:val="auto"/>
              </w:rPr>
            </w:pPr>
            <w:r>
              <w:rPr>
                <w:rFonts w:ascii="Arial" w:cs="Arial" w:eastAsia="Arial" w:hAnsi="Arial"/>
                <w:sz w:val="14"/>
                <w:szCs w:val="14"/>
                <w:b w:val="1"/>
                <w:bCs w:val="1"/>
                <w:color w:val="706F6F"/>
              </w:rPr>
              <w:t>Target</w:t>
            </w:r>
          </w:p>
        </w:tc>
        <w:tc>
          <w:tcPr>
            <w:tcW w:w="1640" w:type="dxa"/>
            <w:vAlign w:val="bottom"/>
            <w:tcBorders>
              <w:bottom w:val="single" w:sz="8" w:color="006DB6"/>
            </w:tcBorders>
            <w:gridSpan w:val="2"/>
          </w:tcPr>
          <w:p>
            <w:pPr>
              <w:jc w:val="right"/>
              <w:ind w:right="79"/>
              <w:spacing w:after="0"/>
              <w:rPr>
                <w:sz w:val="20"/>
                <w:szCs w:val="20"/>
                <w:color w:val="auto"/>
              </w:rPr>
            </w:pPr>
            <w:r>
              <w:rPr>
                <w:rFonts w:ascii="Arial" w:cs="Arial" w:eastAsia="Arial" w:hAnsi="Arial"/>
                <w:sz w:val="14"/>
                <w:szCs w:val="14"/>
                <w:b w:val="1"/>
                <w:bCs w:val="1"/>
                <w:color w:val="706F6F"/>
              </w:rPr>
              <w:t>Over Achievement</w:t>
            </w:r>
          </w:p>
        </w:tc>
        <w:tc>
          <w:tcPr>
            <w:tcW w:w="380" w:type="dxa"/>
            <w:vAlign w:val="bottom"/>
            <w:tcBorders>
              <w:bottom w:val="single" w:sz="8" w:color="006DB6"/>
            </w:tcBorders>
          </w:tcPr>
          <w:p>
            <w:pPr>
              <w:spacing w:after="0"/>
              <w:rPr>
                <w:sz w:val="17"/>
                <w:szCs w:val="17"/>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Achievement</w:t>
            </w:r>
          </w:p>
        </w:tc>
      </w:tr>
      <w:tr>
        <w:trPr>
          <w:trHeight w:val="23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Adjusted Operating Cash Flow ("OCF")</w:t>
            </w: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69.6</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81.9</w:t>
            </w: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98.3</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w w:val="96"/>
              </w:rPr>
              <w:t>94.1</w:t>
            </w:r>
          </w:p>
        </w:tc>
      </w:tr>
      <w:tr>
        <w:trPr>
          <w:trHeight w:val="227"/>
        </w:trPr>
        <w:tc>
          <w:tcPr>
            <w:tcW w:w="4640" w:type="dxa"/>
            <w:vAlign w:val="bottom"/>
          </w:tcPr>
          <w:p>
            <w:pPr>
              <w:ind w:left="20"/>
              <w:spacing w:after="0"/>
              <w:rPr>
                <w:sz w:val="20"/>
                <w:szCs w:val="20"/>
                <w:color w:val="auto"/>
              </w:rPr>
            </w:pPr>
            <w:r>
              <w:rPr>
                <w:rFonts w:ascii="Arial" w:cs="Arial" w:eastAsia="Arial" w:hAnsi="Arial"/>
                <w:sz w:val="16"/>
                <w:szCs w:val="16"/>
                <w:color w:val="auto"/>
              </w:rPr>
              <w:t>Division EBITDA Targets</w:t>
            </w: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640" w:type="dxa"/>
            <w:vAlign w:val="bottom"/>
          </w:tcPr>
          <w:p>
            <w:pPr>
              <w:ind w:left="160"/>
              <w:spacing w:after="0"/>
              <w:rPr>
                <w:sz w:val="20"/>
                <w:szCs w:val="20"/>
                <w:color w:val="auto"/>
              </w:rPr>
            </w:pPr>
            <w:r>
              <w:rPr>
                <w:rFonts w:ascii="Arial" w:cs="Arial" w:eastAsia="Arial" w:hAnsi="Arial"/>
                <w:sz w:val="16"/>
                <w:szCs w:val="16"/>
                <w:color w:val="auto"/>
              </w:rPr>
              <w:t>Canada (in CAD)</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ind w:left="360"/>
              <w:spacing w:after="0"/>
              <w:rPr>
                <w:sz w:val="20"/>
                <w:szCs w:val="20"/>
                <w:color w:val="auto"/>
              </w:rPr>
            </w:pPr>
            <w:r>
              <w:rPr>
                <w:rFonts w:ascii="Arial" w:cs="Arial" w:eastAsia="Arial" w:hAnsi="Arial"/>
                <w:sz w:val="16"/>
                <w:szCs w:val="16"/>
                <w:color w:val="auto"/>
              </w:rPr>
              <w:t>51.5</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1"/>
              <w:spacing w:after="0"/>
              <w:rPr>
                <w:sz w:val="20"/>
                <w:szCs w:val="20"/>
                <w:color w:val="auto"/>
              </w:rPr>
            </w:pPr>
            <w:r>
              <w:rPr>
                <w:rFonts w:ascii="Arial" w:cs="Arial" w:eastAsia="Arial" w:hAnsi="Arial"/>
                <w:sz w:val="16"/>
                <w:szCs w:val="16"/>
                <w:color w:val="auto"/>
              </w:rPr>
              <w:t>60.6</w:t>
            </w:r>
          </w:p>
        </w:tc>
        <w:tc>
          <w:tcPr>
            <w:tcW w:w="6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72.8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542"/>
              <w:spacing w:after="0"/>
              <w:rPr>
                <w:sz w:val="20"/>
                <w:szCs w:val="20"/>
                <w:color w:val="auto"/>
              </w:rPr>
            </w:pPr>
            <w:r>
              <w:rPr>
                <w:rFonts w:ascii="Arial" w:cs="Arial" w:eastAsia="Arial" w:hAnsi="Arial"/>
                <w:sz w:val="16"/>
                <w:szCs w:val="16"/>
                <w:color w:val="auto"/>
                <w:w w:val="96"/>
              </w:rPr>
              <w:t>91.3</w:t>
            </w:r>
          </w:p>
        </w:tc>
      </w:tr>
      <w:tr>
        <w:trPr>
          <w:trHeight w:val="252"/>
        </w:trPr>
        <w:tc>
          <w:tcPr>
            <w:tcW w:w="46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Australia (in AUD)</w:t>
            </w: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89.2</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104.9</w:t>
            </w: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125.9</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w w:val="96"/>
              </w:rPr>
              <w:t>75.5</w:t>
            </w:r>
          </w:p>
        </w:tc>
      </w:tr>
      <w:tr>
        <w:trPr>
          <w:trHeight w:val="227"/>
        </w:trPr>
        <w:tc>
          <w:tcPr>
            <w:tcW w:w="4640" w:type="dxa"/>
            <w:vAlign w:val="bottom"/>
          </w:tcPr>
          <w:p>
            <w:pPr>
              <w:ind w:left="20"/>
              <w:spacing w:after="0"/>
              <w:rPr>
                <w:sz w:val="20"/>
                <w:szCs w:val="20"/>
                <w:color w:val="auto"/>
              </w:rPr>
            </w:pPr>
            <w:r>
              <w:rPr>
                <w:rFonts w:ascii="Arial" w:cs="Arial" w:eastAsia="Arial" w:hAnsi="Arial"/>
                <w:sz w:val="16"/>
                <w:szCs w:val="16"/>
                <w:color w:val="auto"/>
              </w:rPr>
              <w:t>Global TRIR Targets</w:t>
            </w:r>
          </w:p>
        </w:tc>
        <w:tc>
          <w:tcPr>
            <w:tcW w:w="1280" w:type="dxa"/>
            <w:vAlign w:val="bottom"/>
          </w:tcPr>
          <w:p>
            <w:pPr>
              <w:spacing w:after="0"/>
              <w:rPr>
                <w:sz w:val="19"/>
                <w:szCs w:val="19"/>
                <w:color w:val="auto"/>
              </w:rPr>
            </w:pPr>
          </w:p>
        </w:tc>
        <w:tc>
          <w:tcPr>
            <w:tcW w:w="880" w:type="dxa"/>
            <w:vAlign w:val="bottom"/>
          </w:tcPr>
          <w:p>
            <w:pPr>
              <w:ind w:left="420"/>
              <w:spacing w:after="0"/>
              <w:rPr>
                <w:sz w:val="20"/>
                <w:szCs w:val="20"/>
                <w:color w:val="auto"/>
              </w:rPr>
            </w:pPr>
            <w:r>
              <w:rPr>
                <w:rFonts w:ascii="Arial" w:cs="Arial" w:eastAsia="Arial" w:hAnsi="Arial"/>
                <w:sz w:val="16"/>
                <w:szCs w:val="16"/>
                <w:color w:val="auto"/>
              </w:rPr>
              <w:t>0.97</w:t>
            </w:r>
          </w:p>
        </w:tc>
        <w:tc>
          <w:tcPr>
            <w:tcW w:w="460" w:type="dxa"/>
            <w:vAlign w:val="bottom"/>
          </w:tcPr>
          <w:p>
            <w:pPr>
              <w:spacing w:after="0"/>
              <w:rPr>
                <w:sz w:val="19"/>
                <w:szCs w:val="19"/>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0.79</w:t>
            </w:r>
          </w:p>
        </w:tc>
        <w:tc>
          <w:tcPr>
            <w:tcW w:w="6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0.61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0.42</w:t>
            </w:r>
          </w:p>
        </w:tc>
      </w:tr>
    </w:tbl>
    <w:p>
      <w:pPr>
        <w:spacing w:after="0" w:line="325" w:lineRule="exact"/>
        <w:rPr>
          <w:sz w:val="20"/>
          <w:szCs w:val="20"/>
          <w:color w:val="auto"/>
        </w:rPr>
      </w:pPr>
    </w:p>
    <w:p>
      <w:pPr>
        <w:ind w:right="100"/>
        <w:spacing w:after="0" w:line="230" w:lineRule="auto"/>
        <w:rPr>
          <w:sz w:val="20"/>
          <w:szCs w:val="20"/>
          <w:color w:val="auto"/>
        </w:rPr>
      </w:pPr>
      <w:r>
        <w:rPr>
          <w:rFonts w:ascii="Arial" w:cs="Arial" w:eastAsia="Arial" w:hAnsi="Arial"/>
          <w:sz w:val="16"/>
          <w:szCs w:val="16"/>
          <w:color w:val="auto"/>
        </w:rPr>
        <w:t>The 2021 Division EBITDA target for Canada of CAD$60.6 million was lower than both the 2020 EBITDA target of CAD$85.3 million and the 2020 actual EBITDA achievement of CAD$88.5 million primarily due to the impact of the COVID-19 pandemic. The 2020 EBITDA target was set prior to the onset of the COVID-19 pandemic, which negatively impacted our Canadian operations in 2020 and continuing into 2021. The 2021 EBITDA target anticipated those negative impacts. These negative impacts were partially offset in 2020 actual EBITDA achievement by the receipt of the Canadian Energy Wage Subsidy, which totaled CAD$17 million in 2020 and was not anticipated in the 2021 EBITDA target</w:t>
      </w:r>
      <w:r>
        <w:rPr>
          <w:rFonts w:ascii="Calibri" w:cs="Calibri" w:eastAsia="Calibri" w:hAnsi="Calibri"/>
          <w:sz w:val="19"/>
          <w:szCs w:val="19"/>
          <w:color w:val="auto"/>
        </w:rPr>
        <w:t>.</w:t>
      </w:r>
    </w:p>
    <w:p>
      <w:pPr>
        <w:spacing w:after="0" w:line="98"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Adjustments to OCF and EBITDA under the AICP for 2021 reflected one-time, unanticipated financial events incurred following approval of the 2021 budget. For 2021, specific adjustments to OCF included expenses related to unbudgeted variability in stock-based compensation expense, changes in foreign exchange rates, unbudgeted working capital changes and unbudgeted proceeds from the sale of the West Permian Lodge. None of these adjustments were related to the COVID-19 pandemic. For 2021, specific adjustments to EBITDA included impairment expenses, expenses related to unbudgeted variability in stock-based compensation expense, changes in foreign exchange rates, and proceeds from the Canadian Emergency Wage Subsidy. The adjustments to EBITDA in 2021 were consistent with past practices.</w:t>
      </w:r>
    </w:p>
    <w:p>
      <w:pPr>
        <w:spacing w:after="0" w:line="8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2021 global safety TRIR target was improved by lowering the target to 0.79 as compared to the target set in 2020 of 0.88. The global safety target is a consolidation of the various region specific TRIR goals from Australia, Canada and the United States.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2021, the following performance results under the AICP were considered for award determination purposes:</w:t>
      </w:r>
    </w:p>
    <w:p>
      <w:pPr>
        <w:spacing w:after="0" w:line="113"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Consolidated Adjusted Operating Cash Flow of USD $94.1 million (114.9% of budget);</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AICP EBITDA for our Canadian division of CAD $91.3 million (150.7% of budget);</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AICP EBITDA for our Australian division of AUD $75.5 million (72.0% of budget); and</w:t>
      </w:r>
    </w:p>
    <w:p>
      <w:pPr>
        <w:spacing w:after="0" w:line="86" w:lineRule="exact"/>
        <w:rPr>
          <w:rFonts w:ascii="Arial" w:cs="Arial" w:eastAsia="Arial" w:hAnsi="Arial"/>
          <w:sz w:val="16"/>
          <w:szCs w:val="16"/>
          <w:color w:val="006DB6"/>
        </w:rPr>
      </w:pPr>
    </w:p>
    <w:p>
      <w:pPr>
        <w:ind w:left="200" w:right="160" w:hanging="192"/>
        <w:spacing w:after="0" w:line="286" w:lineRule="auto"/>
        <w:tabs>
          <w:tab w:leader="none" w:pos="17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TRIR safety performance achievement of 200% payout for Consolidated; 200% payout for Canada, 162% payout for the United States and 200% payout for Australia.</w:t>
      </w:r>
    </w:p>
    <w:p>
      <w:pPr>
        <w:spacing w:after="0" w:line="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Based on these results, the following AICP payouts were approved by the Compensation Committee. These payouts are stated in U.S. dollars. Mr. McCann’s bonus, which is paid out in Australian dollars, has been converted to U.S. dollars below at an exchange rate of $0.7517 U.S. dollar per Australian dollar, the average exchange rate for 2021. Mr. Schoening’s bonus, which is paid out in Canadian dollars, has been converted to U.S. dollars below at an exchange rate of $0.7979 U.S. dollar per Canadian dollar, the average exchange rate for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Borders>
              <w:bottom w:val="single" w:sz="8" w:color="006DB6"/>
            </w:tcBorders>
          </w:tcPr>
          <w:p>
            <w:pPr>
              <w:spacing w:after="0"/>
              <w:rPr>
                <w:sz w:val="17"/>
                <w:szCs w:val="17"/>
                <w:color w:val="auto"/>
              </w:rPr>
            </w:pPr>
          </w:p>
        </w:tc>
        <w:tc>
          <w:tcPr>
            <w:tcW w:w="2160" w:type="dxa"/>
            <w:vAlign w:val="bottom"/>
            <w:tcBorders>
              <w:bottom w:val="single" w:sz="8" w:color="006DB6"/>
            </w:tcBorders>
            <w:gridSpan w:val="3"/>
          </w:tcPr>
          <w:p>
            <w:pPr>
              <w:jc w:val="right"/>
              <w:ind w:right="341"/>
              <w:spacing w:after="0"/>
              <w:rPr>
                <w:sz w:val="20"/>
                <w:szCs w:val="20"/>
                <w:color w:val="auto"/>
              </w:rPr>
            </w:pPr>
            <w:r>
              <w:rPr>
                <w:rFonts w:ascii="Arial" w:cs="Arial" w:eastAsia="Arial" w:hAnsi="Arial"/>
                <w:sz w:val="14"/>
                <w:szCs w:val="14"/>
                <w:b w:val="1"/>
                <w:bCs w:val="1"/>
                <w:color w:val="706F6F"/>
              </w:rPr>
              <w:t>Business Performance</w:t>
            </w:r>
          </w:p>
        </w:tc>
        <w:tc>
          <w:tcPr>
            <w:tcW w:w="140" w:type="dxa"/>
            <w:vAlign w:val="bottom"/>
          </w:tcPr>
          <w:p>
            <w:pPr>
              <w:spacing w:after="0"/>
              <w:rPr>
                <w:sz w:val="17"/>
                <w:szCs w:val="17"/>
                <w:color w:val="auto"/>
              </w:rPr>
            </w:pPr>
          </w:p>
        </w:tc>
        <w:tc>
          <w:tcPr>
            <w:tcW w:w="340" w:type="dxa"/>
            <w:vAlign w:val="bottom"/>
            <w:tcBorders>
              <w:bottom w:val="single" w:sz="8" w:color="006DB6"/>
            </w:tcBorders>
          </w:tcPr>
          <w:p>
            <w:pPr>
              <w:spacing w:after="0"/>
              <w:rPr>
                <w:sz w:val="17"/>
                <w:szCs w:val="17"/>
                <w:color w:val="auto"/>
              </w:rPr>
            </w:pPr>
          </w:p>
        </w:tc>
        <w:tc>
          <w:tcPr>
            <w:tcW w:w="2240" w:type="dxa"/>
            <w:vAlign w:val="bottom"/>
            <w:tcBorders>
              <w:bottom w:val="single" w:sz="8" w:color="006DB6"/>
            </w:tcBorders>
            <w:gridSpan w:val="2"/>
          </w:tcPr>
          <w:p>
            <w:pPr>
              <w:jc w:val="right"/>
              <w:ind w:right="601"/>
              <w:spacing w:after="0"/>
              <w:rPr>
                <w:sz w:val="20"/>
                <w:szCs w:val="20"/>
                <w:color w:val="auto"/>
              </w:rPr>
            </w:pPr>
            <w:r>
              <w:rPr>
                <w:rFonts w:ascii="Arial" w:cs="Arial" w:eastAsia="Arial" w:hAnsi="Arial"/>
                <w:sz w:val="14"/>
                <w:szCs w:val="14"/>
                <w:b w:val="1"/>
                <w:bCs w:val="1"/>
                <w:color w:val="706F6F"/>
              </w:rPr>
              <w:t>Total AICP Payout</w:t>
            </w:r>
          </w:p>
        </w:tc>
      </w:tr>
      <w:tr>
        <w:trPr>
          <w:trHeight w:val="223"/>
        </w:trPr>
        <w:tc>
          <w:tcPr>
            <w:tcW w:w="16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320" w:type="dxa"/>
            <w:vAlign w:val="bottom"/>
            <w:tcBorders>
              <w:bottom w:val="single" w:sz="8" w:color="006DB6"/>
            </w:tcBorders>
          </w:tcPr>
          <w:p>
            <w:pPr>
              <w:ind w:left="160"/>
              <w:spacing w:after="0"/>
              <w:rPr>
                <w:sz w:val="20"/>
                <w:szCs w:val="20"/>
                <w:color w:val="auto"/>
              </w:rPr>
            </w:pPr>
            <w:r>
              <w:rPr>
                <w:rFonts w:ascii="Arial" w:cs="Arial" w:eastAsia="Arial" w:hAnsi="Arial"/>
                <w:sz w:val="14"/>
                <w:szCs w:val="14"/>
                <w:b w:val="1"/>
                <w:bCs w:val="1"/>
                <w:color w:val="706F6F"/>
              </w:rPr>
              <w:t>Position</w:t>
            </w:r>
          </w:p>
        </w:tc>
        <w:tc>
          <w:tcPr>
            <w:tcW w:w="240" w:type="dxa"/>
            <w:vAlign w:val="bottom"/>
            <w:tcBorders>
              <w:bottom w:val="single" w:sz="8" w:color="006DB6"/>
            </w:tcBorders>
          </w:tcPr>
          <w:p>
            <w:pPr>
              <w:spacing w:after="0"/>
              <w:rPr>
                <w:sz w:val="19"/>
                <w:szCs w:val="19"/>
                <w:color w:val="auto"/>
              </w:rPr>
            </w:pPr>
          </w:p>
        </w:tc>
        <w:tc>
          <w:tcPr>
            <w:tcW w:w="1060" w:type="dxa"/>
            <w:vAlign w:val="bottom"/>
            <w:tcBorders>
              <w:bottom w:val="single" w:sz="8" w:color="006DB6"/>
            </w:tcBorders>
          </w:tcPr>
          <w:p>
            <w:pPr>
              <w:jc w:val="right"/>
              <w:ind w:right="302"/>
              <w:spacing w:after="0"/>
              <w:rPr>
                <w:sz w:val="20"/>
                <w:szCs w:val="20"/>
                <w:color w:val="auto"/>
              </w:rPr>
            </w:pPr>
            <w:r>
              <w:rPr>
                <w:rFonts w:ascii="Arial" w:cs="Arial" w:eastAsia="Arial" w:hAnsi="Arial"/>
                <w:sz w:val="14"/>
                <w:szCs w:val="14"/>
                <w:b w:val="1"/>
                <w:bCs w:val="1"/>
                <w:color w:val="706F6F"/>
              </w:rPr>
              <w:t>Financial</w:t>
            </w:r>
          </w:p>
        </w:tc>
        <w:tc>
          <w:tcPr>
            <w:tcW w:w="260" w:type="dxa"/>
            <w:vAlign w:val="bottom"/>
            <w:tcBorders>
              <w:bottom w:val="single" w:sz="8" w:color="006DB6"/>
            </w:tcBorders>
          </w:tcPr>
          <w:p>
            <w:pPr>
              <w:spacing w:after="0"/>
              <w:rPr>
                <w:sz w:val="19"/>
                <w:szCs w:val="19"/>
                <w:color w:val="auto"/>
              </w:rPr>
            </w:pPr>
          </w:p>
        </w:tc>
        <w:tc>
          <w:tcPr>
            <w:tcW w:w="980" w:type="dxa"/>
            <w:vAlign w:val="bottom"/>
            <w:tcBorders>
              <w:bottom w:val="single" w:sz="8" w:color="006DB6"/>
            </w:tcBorders>
            <w:gridSpan w:val="2"/>
          </w:tcPr>
          <w:p>
            <w:pPr>
              <w:ind w:left="20"/>
              <w:spacing w:after="0"/>
              <w:rPr>
                <w:sz w:val="20"/>
                <w:szCs w:val="20"/>
                <w:color w:val="auto"/>
              </w:rPr>
            </w:pPr>
            <w:r>
              <w:rPr>
                <w:rFonts w:ascii="Arial" w:cs="Arial" w:eastAsia="Arial" w:hAnsi="Arial"/>
                <w:sz w:val="14"/>
                <w:szCs w:val="14"/>
                <w:b w:val="1"/>
                <w:bCs w:val="1"/>
                <w:color w:val="706F6F"/>
              </w:rPr>
              <w:t>Safety</w:t>
            </w:r>
          </w:p>
        </w:tc>
        <w:tc>
          <w:tcPr>
            <w:tcW w:w="340" w:type="dxa"/>
            <w:vAlign w:val="bottom"/>
            <w:tcBorders>
              <w:bottom w:val="single" w:sz="8" w:color="006DB6"/>
            </w:tcBorders>
          </w:tcPr>
          <w:p>
            <w:pPr>
              <w:spacing w:after="0"/>
              <w:rPr>
                <w:sz w:val="19"/>
                <w:szCs w:val="19"/>
                <w:color w:val="auto"/>
              </w:rPr>
            </w:pPr>
          </w:p>
        </w:tc>
        <w:tc>
          <w:tcPr>
            <w:tcW w:w="980" w:type="dxa"/>
            <w:vAlign w:val="bottom"/>
            <w:tcBorders>
              <w:bottom w:val="single" w:sz="8" w:color="006DB6"/>
            </w:tcBorders>
          </w:tcPr>
          <w:p>
            <w:pPr>
              <w:jc w:val="right"/>
              <w:ind w:right="602"/>
              <w:spacing w:after="0"/>
              <w:rPr>
                <w:sz w:val="20"/>
                <w:szCs w:val="20"/>
                <w:color w:val="auto"/>
              </w:rPr>
            </w:pPr>
            <w:r>
              <w:rPr>
                <w:rFonts w:ascii="Arial" w:cs="Arial" w:eastAsia="Arial" w:hAnsi="Arial"/>
                <w:sz w:val="14"/>
                <w:szCs w:val="14"/>
                <w:b w:val="1"/>
                <w:bCs w:val="1"/>
                <w:color w:val="706F6F"/>
              </w:rPr>
              <w:t>$</w:t>
            </w:r>
          </w:p>
        </w:tc>
        <w:tc>
          <w:tcPr>
            <w:tcW w:w="126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 of Target</w:t>
            </w:r>
          </w:p>
        </w:tc>
      </w:tr>
      <w:tr>
        <w:trPr>
          <w:trHeight w:val="239"/>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President and Chief Executive Officer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1,038,400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297,923</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1,336,323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179 %</w:t>
            </w:r>
          </w:p>
        </w:tc>
      </w:tr>
      <w:tr>
        <w:trPr>
          <w:trHeight w:val="199"/>
        </w:trPr>
        <w:tc>
          <w:tcPr>
            <w:tcW w:w="1660" w:type="dxa"/>
            <w:vAlign w:val="bottom"/>
          </w:tcPr>
          <w:p>
            <w:pPr>
              <w:ind w:left="20"/>
              <w:spacing w:after="0"/>
              <w:rPr>
                <w:sz w:val="20"/>
                <w:szCs w:val="20"/>
                <w:color w:val="auto"/>
              </w:rPr>
            </w:pPr>
            <w:r>
              <w:rPr>
                <w:rFonts w:ascii="Arial" w:cs="Arial" w:eastAsia="Arial" w:hAnsi="Arial"/>
                <w:sz w:val="16"/>
                <w:szCs w:val="16"/>
                <w:b w:val="1"/>
                <w:bCs w:val="1"/>
                <w:color w:val="006DB6"/>
              </w:rPr>
              <w:t>Carolyn J. Stone</w:t>
            </w:r>
          </w:p>
        </w:tc>
        <w:tc>
          <w:tcPr>
            <w:tcW w:w="4320" w:type="dxa"/>
            <w:vAlign w:val="bottom"/>
          </w:tcPr>
          <w:p>
            <w:pPr>
              <w:ind w:left="160"/>
              <w:spacing w:after="0"/>
              <w:rPr>
                <w:sz w:val="20"/>
                <w:szCs w:val="20"/>
                <w:color w:val="auto"/>
              </w:rPr>
            </w:pPr>
            <w:r>
              <w:rPr>
                <w:rFonts w:ascii="Arial" w:cs="Arial" w:eastAsia="Arial" w:hAnsi="Arial"/>
                <w:sz w:val="16"/>
                <w:szCs w:val="16"/>
                <w:color w:val="auto"/>
              </w:rPr>
              <w:t>Senior Vice President, Chief Financial Officer and</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337,393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96,800</w:t>
            </w:r>
          </w:p>
        </w:tc>
        <w:tc>
          <w:tcPr>
            <w:tcW w:w="140" w:type="dxa"/>
            <w:vAlign w:val="bottom"/>
          </w:tcPr>
          <w:p>
            <w:pPr>
              <w:spacing w:after="0"/>
              <w:rPr>
                <w:sz w:val="17"/>
                <w:szCs w:val="17"/>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434,193</w:t>
            </w:r>
          </w:p>
        </w:tc>
        <w:tc>
          <w:tcPr>
            <w:tcW w:w="1260" w:type="dxa"/>
            <w:vAlign w:val="bottom"/>
          </w:tcPr>
          <w:p>
            <w:pPr>
              <w:jc w:val="right"/>
              <w:spacing w:after="0"/>
              <w:rPr>
                <w:sz w:val="20"/>
                <w:szCs w:val="20"/>
                <w:color w:val="auto"/>
              </w:rPr>
            </w:pPr>
            <w:r>
              <w:rPr>
                <w:rFonts w:ascii="Arial" w:cs="Arial" w:eastAsia="Arial" w:hAnsi="Arial"/>
                <w:sz w:val="16"/>
                <w:szCs w:val="16"/>
                <w:color w:val="auto"/>
              </w:rPr>
              <w:t>179 %</w:t>
            </w:r>
          </w:p>
        </w:tc>
      </w:tr>
      <w:tr>
        <w:trPr>
          <w:trHeight w:val="224"/>
        </w:trPr>
        <w:tc>
          <w:tcPr>
            <w:tcW w:w="16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Treasurer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39"/>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Senior Vice President, Australia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152,445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87,475</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239,920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w:t>
            </w:r>
          </w:p>
        </w:tc>
      </w:tr>
      <w:tr>
        <w:trPr>
          <w:trHeight w:val="233"/>
        </w:trPr>
        <w:tc>
          <w:tcPr>
            <w:tcW w:w="166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4320" w:type="dxa"/>
            <w:vAlign w:val="bottom"/>
          </w:tcPr>
          <w:p>
            <w:pPr>
              <w:ind w:left="160"/>
              <w:spacing w:after="0"/>
              <w:rPr>
                <w:sz w:val="20"/>
                <w:szCs w:val="20"/>
                <w:color w:val="auto"/>
              </w:rPr>
            </w:pPr>
            <w:r>
              <w:rPr>
                <w:rFonts w:ascii="Arial" w:cs="Arial" w:eastAsia="Arial" w:hAnsi="Arial"/>
                <w:sz w:val="16"/>
                <w:szCs w:val="16"/>
                <w:color w:val="auto"/>
              </w:rPr>
              <w:t>Senior Vice President, Canada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391,458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104,591</w:t>
            </w:r>
          </w:p>
        </w:tc>
        <w:tc>
          <w:tcPr>
            <w:tcW w:w="14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496,049</w:t>
            </w:r>
          </w:p>
        </w:tc>
        <w:tc>
          <w:tcPr>
            <w:tcW w:w="1260" w:type="dxa"/>
            <w:vAlign w:val="bottom"/>
          </w:tcPr>
          <w:p>
            <w:pPr>
              <w:jc w:val="right"/>
              <w:spacing w:after="0"/>
              <w:rPr>
                <w:sz w:val="20"/>
                <w:szCs w:val="20"/>
                <w:color w:val="auto"/>
              </w:rPr>
            </w:pPr>
            <w:r>
              <w:rPr>
                <w:rFonts w:ascii="Arial" w:cs="Arial" w:eastAsia="Arial" w:hAnsi="Arial"/>
                <w:sz w:val="16"/>
                <w:szCs w:val="16"/>
                <w:color w:val="auto"/>
              </w:rPr>
              <w:t>190 %</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Long-Term Incentive Plan</w:t>
      </w:r>
    </w:p>
    <w:p>
      <w:pPr>
        <w:spacing w:after="0" w:line="8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Civeo’s LTIP, established under the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 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w:t>
      </w:r>
    </w:p>
    <w:p>
      <w:pPr>
        <w:spacing w:after="0" w:line="333"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bl>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participants. These awards may be cash or share settled, depending on their type. For 2021, all named executive officers received equity awards made up of 50% time-based phantom units and 50% cliff-vested performance share awards. All long-term incentive awards made to employees are generally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70"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2021, Civeo granted a combination of phantom share units and performance-based share awards as long-term incentives to its named executive officers and other key employees. The value of awards made to individuals in this group took into consideration the following factors:</w:t>
      </w:r>
    </w:p>
    <w:p>
      <w:pPr>
        <w:spacing w:after="0" w:line="48"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Corporate, business unit and individual performance;</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Competitive market practice;</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Executive retention;</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Impact of awards and quantum of awards on dilution and liquidity; and</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Tax considerations in the U.S., Canada and Australia.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LTIP awards approved by the Compensation Committee were made at levels consistent with past practices.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4"/>
                <w:szCs w:val="14"/>
                <w:b w:val="1"/>
                <w:bCs w:val="1"/>
                <w:color w:val="706F6F"/>
              </w:rPr>
              <w:t>Phantom</w:t>
            </w:r>
          </w:p>
        </w:tc>
        <w:tc>
          <w:tcPr>
            <w:tcW w:w="1460" w:type="dxa"/>
            <w:vAlign w:val="bottom"/>
          </w:tcPr>
          <w:p>
            <w:pPr>
              <w:jc w:val="right"/>
              <w:ind w:right="183"/>
              <w:spacing w:after="0"/>
              <w:rPr>
                <w:sz w:val="20"/>
                <w:szCs w:val="20"/>
                <w:color w:val="auto"/>
              </w:rPr>
            </w:pPr>
            <w:r>
              <w:rPr>
                <w:rFonts w:ascii="Arial" w:cs="Arial" w:eastAsia="Arial" w:hAnsi="Arial"/>
                <w:sz w:val="14"/>
                <w:szCs w:val="14"/>
                <w:b w:val="1"/>
                <w:bCs w:val="1"/>
                <w:color w:val="706F6F"/>
              </w:rPr>
              <w:t>Performance</w:t>
            </w:r>
          </w:p>
        </w:tc>
        <w:tc>
          <w:tcPr>
            <w:tcW w:w="1320" w:type="dxa"/>
            <w:vAlign w:val="bottom"/>
            <w:gridSpan w:val="2"/>
          </w:tcPr>
          <w:p>
            <w:pPr>
              <w:jc w:val="right"/>
              <w:ind w:right="21"/>
              <w:spacing w:after="0"/>
              <w:rPr>
                <w:sz w:val="20"/>
                <w:szCs w:val="20"/>
                <w:color w:val="auto"/>
              </w:rPr>
            </w:pPr>
            <w:r>
              <w:rPr>
                <w:rFonts w:ascii="Arial" w:cs="Arial" w:eastAsia="Arial" w:hAnsi="Arial"/>
                <w:sz w:val="14"/>
                <w:szCs w:val="14"/>
                <w:b w:val="1"/>
                <w:bCs w:val="1"/>
                <w:color w:val="706F6F"/>
              </w:rPr>
              <w:t>Stock Price at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4"/>
                <w:szCs w:val="14"/>
                <w:b w:val="1"/>
                <w:bCs w:val="1"/>
                <w:color w:val="706F6F"/>
              </w:rPr>
              <w:t>Share</w:t>
            </w:r>
          </w:p>
        </w:tc>
        <w:tc>
          <w:tcPr>
            <w:tcW w:w="1460" w:type="dxa"/>
            <w:vAlign w:val="bottom"/>
          </w:tcPr>
          <w:p>
            <w:pPr>
              <w:jc w:val="right"/>
              <w:ind w:right="183"/>
              <w:spacing w:after="0"/>
              <w:rPr>
                <w:sz w:val="20"/>
                <w:szCs w:val="20"/>
                <w:color w:val="auto"/>
              </w:rPr>
            </w:pPr>
            <w:r>
              <w:rPr>
                <w:rFonts w:ascii="Arial" w:cs="Arial" w:eastAsia="Arial" w:hAnsi="Arial"/>
                <w:sz w:val="14"/>
                <w:szCs w:val="14"/>
                <w:b w:val="1"/>
                <w:bCs w:val="1"/>
                <w:color w:val="706F6F"/>
              </w:rPr>
              <w:t>Share Awards at</w:t>
            </w:r>
          </w:p>
        </w:tc>
        <w:tc>
          <w:tcPr>
            <w:tcW w:w="1320" w:type="dxa"/>
            <w:vAlign w:val="bottom"/>
            <w:gridSpan w:val="2"/>
          </w:tcPr>
          <w:p>
            <w:pPr>
              <w:jc w:val="right"/>
              <w:ind w:right="21"/>
              <w:spacing w:after="0"/>
              <w:rPr>
                <w:sz w:val="20"/>
                <w:szCs w:val="20"/>
                <w:color w:val="auto"/>
              </w:rPr>
            </w:pPr>
            <w:r>
              <w:rPr>
                <w:rFonts w:ascii="Arial" w:cs="Arial" w:eastAsia="Arial" w:hAnsi="Arial"/>
                <w:sz w:val="14"/>
                <w:szCs w:val="14"/>
                <w:b w:val="1"/>
                <w:bCs w:val="1"/>
                <w:color w:val="706F6F"/>
              </w:rPr>
              <w:t>Date of Grant</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Valuation</w:t>
            </w:r>
            <w:r>
              <w:rPr>
                <w:rFonts w:ascii="Arial" w:cs="Arial" w:eastAsia="Arial" w:hAnsi="Arial"/>
                <w:sz w:val="9"/>
                <w:szCs w:val="9"/>
                <w:b w:val="1"/>
                <w:bCs w:val="1"/>
                <w:color w:val="706F6F"/>
              </w:rPr>
              <w:t>(1)</w:t>
            </w:r>
          </w:p>
        </w:tc>
        <w:tc>
          <w:tcPr>
            <w:tcW w:w="0" w:type="dxa"/>
            <w:vAlign w:val="bottom"/>
          </w:tcPr>
          <w:p>
            <w:pPr>
              <w:spacing w:after="0"/>
              <w:rPr>
                <w:sz w:val="1"/>
                <w:szCs w:val="1"/>
                <w:color w:val="auto"/>
              </w:rPr>
            </w:pPr>
          </w:p>
        </w:tc>
      </w:tr>
      <w:tr>
        <w:trPr>
          <w:trHeight w:val="205"/>
        </w:trPr>
        <w:tc>
          <w:tcPr>
            <w:tcW w:w="17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320" w:type="dxa"/>
            <w:vAlign w:val="bottom"/>
            <w:tcBorders>
              <w:bottom w:val="single" w:sz="8" w:color="006DB6"/>
            </w:tcBorders>
          </w:tcPr>
          <w:p>
            <w:pPr>
              <w:ind w:left="280"/>
              <w:spacing w:after="0"/>
              <w:rPr>
                <w:sz w:val="20"/>
                <w:szCs w:val="20"/>
                <w:color w:val="auto"/>
              </w:rPr>
            </w:pPr>
            <w:r>
              <w:rPr>
                <w:rFonts w:ascii="Arial" w:cs="Arial" w:eastAsia="Arial" w:hAnsi="Arial"/>
                <w:sz w:val="14"/>
                <w:szCs w:val="14"/>
                <w:b w:val="1"/>
                <w:bCs w:val="1"/>
                <w:color w:val="706F6F"/>
              </w:rPr>
              <w:t>Position</w:t>
            </w:r>
          </w:p>
        </w:tc>
        <w:tc>
          <w:tcPr>
            <w:tcW w:w="1180" w:type="dxa"/>
            <w:vAlign w:val="bottom"/>
            <w:tcBorders>
              <w:bottom w:val="single" w:sz="8" w:color="006DB6"/>
            </w:tcBorders>
          </w:tcPr>
          <w:p>
            <w:pPr>
              <w:jc w:val="right"/>
              <w:ind w:right="3"/>
              <w:spacing w:after="0"/>
              <w:rPr>
                <w:sz w:val="20"/>
                <w:szCs w:val="20"/>
                <w:color w:val="auto"/>
              </w:rPr>
            </w:pPr>
            <w:r>
              <w:rPr>
                <w:rFonts w:ascii="Arial" w:cs="Arial" w:eastAsia="Arial" w:hAnsi="Arial"/>
                <w:sz w:val="14"/>
                <w:szCs w:val="14"/>
                <w:b w:val="1"/>
                <w:bCs w:val="1"/>
                <w:color w:val="706F6F"/>
              </w:rPr>
              <w:t>Units</w:t>
            </w:r>
          </w:p>
        </w:tc>
        <w:tc>
          <w:tcPr>
            <w:tcW w:w="1460" w:type="dxa"/>
            <w:vAlign w:val="bottom"/>
            <w:tcBorders>
              <w:bottom w:val="single" w:sz="8" w:color="006DB6"/>
            </w:tcBorders>
          </w:tcPr>
          <w:p>
            <w:pPr>
              <w:jc w:val="right"/>
              <w:ind w:right="183"/>
              <w:spacing w:after="0"/>
              <w:rPr>
                <w:sz w:val="20"/>
                <w:szCs w:val="20"/>
                <w:color w:val="auto"/>
              </w:rPr>
            </w:pPr>
            <w:r>
              <w:rPr>
                <w:rFonts w:ascii="Arial" w:cs="Arial" w:eastAsia="Arial" w:hAnsi="Arial"/>
                <w:sz w:val="14"/>
                <w:szCs w:val="14"/>
                <w:b w:val="1"/>
                <w:bCs w:val="1"/>
                <w:color w:val="706F6F"/>
              </w:rPr>
              <w:t>Target</w:t>
            </w:r>
          </w:p>
        </w:tc>
        <w:tc>
          <w:tcPr>
            <w:tcW w:w="700" w:type="dxa"/>
            <w:vAlign w:val="bottom"/>
            <w:tcBorders>
              <w:bottom w:val="single" w:sz="8" w:color="006DB6"/>
            </w:tcBorders>
          </w:tcPr>
          <w:p>
            <w:pPr>
              <w:spacing w:after="0"/>
              <w:rPr>
                <w:sz w:val="17"/>
                <w:szCs w:val="17"/>
                <w:color w:val="auto"/>
              </w:rPr>
            </w:pPr>
          </w:p>
        </w:tc>
        <w:tc>
          <w:tcPr>
            <w:tcW w:w="620" w:type="dxa"/>
            <w:vAlign w:val="bottom"/>
            <w:tcBorders>
              <w:bottom w:val="single" w:sz="8" w:color="006DB6"/>
            </w:tcBorders>
          </w:tcPr>
          <w:p>
            <w:pPr>
              <w:jc w:val="right"/>
              <w:ind w:right="21"/>
              <w:spacing w:after="0"/>
              <w:rPr>
                <w:sz w:val="20"/>
                <w:szCs w:val="20"/>
                <w:color w:val="auto"/>
              </w:rPr>
            </w:pPr>
            <w:r>
              <w:rPr>
                <w:rFonts w:ascii="Arial" w:cs="Arial" w:eastAsia="Arial" w:hAnsi="Arial"/>
                <w:sz w:val="14"/>
                <w:szCs w:val="14"/>
                <w:b w:val="1"/>
                <w:bCs w:val="1"/>
                <w:color w:val="706F6F"/>
              </w:rPr>
              <w:t>($)</w:t>
            </w:r>
          </w:p>
        </w:tc>
        <w:tc>
          <w:tcPr>
            <w:tcW w:w="280" w:type="dxa"/>
            <w:vAlign w:val="bottom"/>
            <w:tcBorders>
              <w:bottom w:val="single" w:sz="8" w:color="006DB6"/>
            </w:tcBorders>
          </w:tcPr>
          <w:p>
            <w:pPr>
              <w:spacing w:after="0"/>
              <w:rPr>
                <w:sz w:val="17"/>
                <w:szCs w:val="17"/>
                <w:color w:val="auto"/>
              </w:rPr>
            </w:pPr>
          </w:p>
        </w:tc>
        <w:tc>
          <w:tcPr>
            <w:tcW w:w="900" w:type="dxa"/>
            <w:vAlign w:val="bottom"/>
            <w:tcBorders>
              <w:bottom w:val="single" w:sz="8" w:color="006DB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3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President and Chief Executive Officer</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63,447</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63,447</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2,960,437</w:t>
            </w:r>
          </w:p>
        </w:tc>
        <w:tc>
          <w:tcPr>
            <w:tcW w:w="0" w:type="dxa"/>
            <w:vAlign w:val="bottom"/>
          </w:tcPr>
          <w:p>
            <w:pPr>
              <w:spacing w:after="0"/>
              <w:rPr>
                <w:sz w:val="1"/>
                <w:szCs w:val="1"/>
                <w:color w:val="auto"/>
              </w:rPr>
            </w:pPr>
          </w:p>
        </w:tc>
      </w:tr>
      <w:tr>
        <w:trPr>
          <w:trHeight w:val="199"/>
        </w:trPr>
        <w:tc>
          <w:tcPr>
            <w:tcW w:w="1780" w:type="dxa"/>
            <w:vAlign w:val="bottom"/>
          </w:tcPr>
          <w:p>
            <w:pPr>
              <w:ind w:left="20"/>
              <w:spacing w:after="0"/>
              <w:rPr>
                <w:sz w:val="20"/>
                <w:szCs w:val="20"/>
                <w:color w:val="auto"/>
              </w:rPr>
            </w:pPr>
            <w:r>
              <w:rPr>
                <w:rFonts w:ascii="Arial" w:cs="Arial" w:eastAsia="Arial" w:hAnsi="Arial"/>
                <w:sz w:val="16"/>
                <w:szCs w:val="16"/>
                <w:b w:val="1"/>
                <w:bCs w:val="1"/>
                <w:color w:val="006DB6"/>
              </w:rPr>
              <w:t>Carolyn J. Stone</w:t>
            </w:r>
          </w:p>
        </w:tc>
        <w:tc>
          <w:tcPr>
            <w:tcW w:w="4320" w:type="dxa"/>
            <w:vAlign w:val="bottom"/>
          </w:tcPr>
          <w:p>
            <w:pPr>
              <w:ind w:left="280"/>
              <w:spacing w:after="0"/>
              <w:rPr>
                <w:sz w:val="20"/>
                <w:szCs w:val="20"/>
                <w:color w:val="auto"/>
              </w:rPr>
            </w:pPr>
            <w:r>
              <w:rPr>
                <w:rFonts w:ascii="Arial" w:cs="Arial" w:eastAsia="Arial" w:hAnsi="Arial"/>
                <w:sz w:val="16"/>
                <w:szCs w:val="16"/>
                <w:color w:val="auto"/>
              </w:rPr>
              <w:t>Senior Vice President, Chief Financial Officer and</w:t>
            </w: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Treasurer</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14,394</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14,394</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671,624</w:t>
            </w:r>
          </w:p>
        </w:tc>
        <w:tc>
          <w:tcPr>
            <w:tcW w:w="0" w:type="dxa"/>
            <w:vAlign w:val="bottom"/>
          </w:tcPr>
          <w:p>
            <w:pPr>
              <w:spacing w:after="0"/>
              <w:rPr>
                <w:sz w:val="1"/>
                <w:szCs w:val="1"/>
                <w:color w:val="auto"/>
              </w:rPr>
            </w:pPr>
          </w:p>
        </w:tc>
      </w:tr>
      <w:tr>
        <w:trPr>
          <w:trHeight w:val="23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3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Senior Vice President, Australia</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11,212</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11,213</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523,179</w:t>
            </w:r>
          </w:p>
        </w:tc>
        <w:tc>
          <w:tcPr>
            <w:tcW w:w="0" w:type="dxa"/>
            <w:vAlign w:val="bottom"/>
          </w:tcPr>
          <w:p>
            <w:pPr>
              <w:spacing w:after="0"/>
              <w:rPr>
                <w:sz w:val="1"/>
                <w:szCs w:val="1"/>
                <w:color w:val="auto"/>
              </w:rPr>
            </w:pPr>
          </w:p>
        </w:tc>
      </w:tr>
      <w:tr>
        <w:trPr>
          <w:trHeight w:val="233"/>
        </w:trPr>
        <w:tc>
          <w:tcPr>
            <w:tcW w:w="178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4320" w:type="dxa"/>
            <w:vAlign w:val="bottom"/>
          </w:tcPr>
          <w:p>
            <w:pPr>
              <w:ind w:left="280"/>
              <w:spacing w:after="0"/>
              <w:rPr>
                <w:sz w:val="20"/>
                <w:szCs w:val="20"/>
                <w:color w:val="auto"/>
              </w:rPr>
            </w:pPr>
            <w:r>
              <w:rPr>
                <w:rFonts w:ascii="Arial" w:cs="Arial" w:eastAsia="Arial" w:hAnsi="Arial"/>
                <w:sz w:val="16"/>
                <w:szCs w:val="16"/>
                <w:color w:val="auto"/>
              </w:rPr>
              <w:t>Senior Vice President, Canada</w:t>
            </w: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15,312</w:t>
            </w:r>
          </w:p>
        </w:tc>
        <w:tc>
          <w:tcPr>
            <w:tcW w:w="1460" w:type="dxa"/>
            <w:vAlign w:val="bottom"/>
          </w:tcPr>
          <w:p>
            <w:pPr>
              <w:jc w:val="right"/>
              <w:ind w:right="243"/>
              <w:spacing w:after="0"/>
              <w:rPr>
                <w:sz w:val="20"/>
                <w:szCs w:val="20"/>
                <w:color w:val="auto"/>
              </w:rPr>
            </w:pPr>
            <w:r>
              <w:rPr>
                <w:rFonts w:ascii="Arial" w:cs="Arial" w:eastAsia="Arial" w:hAnsi="Arial"/>
                <w:sz w:val="16"/>
                <w:szCs w:val="16"/>
                <w:color w:val="auto"/>
              </w:rPr>
              <w:t>15,313</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19.80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714,485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60" w:right="60" w:hanging="252"/>
        <w:spacing w:after="0" w:line="233" w:lineRule="auto"/>
        <w:tabs>
          <w:tab w:leader="none" w:pos="264"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This column shows the full grant date fair value of the phantom share units and performance share awards as computed under FASB ASC Topic 718—Stock Compensation and granted to the named executive officers during 2021. Generally, the grant date fair value is the amount that Civeo would expense in its financial statements over the vesting schedule of the awards. For purposes of the phantom share units, the value in this column is based upon the closing stock price on date of grant. See Note 19 to Civeo’s consolidated financial statements included in its Annual Report on Form 10-K for the year ended December 31, 2021 for additional detail regarding assumptions underlying the value of these awards.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Performance Share Award Programs</w:t>
      </w:r>
    </w:p>
    <w:p>
      <w:pPr>
        <w:spacing w:after="0" w:line="11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Historically, our Performance Share Award Program has been comprised of the following key elements listed below. After granting cash-based awards in 2020 as described in last year's proxy statement, we have returned to our more traditional Performance Share Award Program design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06285" cy="8915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06285" cy="8915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6DB6"/>
        </w:rPr>
        <w:t>Performance metrics</w:t>
      </w:r>
    </w:p>
    <w:p>
      <w:pPr>
        <w:spacing w:after="0" w:line="59" w:lineRule="exact"/>
        <w:rPr>
          <w:sz w:val="20"/>
          <w:szCs w:val="20"/>
          <w:color w:val="auto"/>
        </w:rPr>
      </w:pPr>
    </w:p>
    <w:p>
      <w:pPr>
        <w:ind w:left="360" w:right="180" w:hanging="324"/>
        <w:spacing w:after="0" w:line="256" w:lineRule="auto"/>
        <w:rPr>
          <w:sz w:val="20"/>
          <w:szCs w:val="20"/>
          <w:color w:val="auto"/>
        </w:rPr>
      </w:pPr>
      <w:r>
        <w:rPr>
          <w:rFonts w:ascii="Arial" w:cs="Arial" w:eastAsia="Arial" w:hAnsi="Arial"/>
          <w:sz w:val="16"/>
          <w:szCs w:val="16"/>
          <w:color w:val="auto"/>
        </w:rPr>
        <w:t>– Relative TSR (compared against our defined peer group)</w:t>
      </w:r>
    </w:p>
    <w:p>
      <w:pPr>
        <w:spacing w:after="0" w:line="1" w:lineRule="exact"/>
        <w:rPr>
          <w:sz w:val="20"/>
          <w:szCs w:val="20"/>
          <w:color w:val="auto"/>
        </w:rPr>
      </w:pPr>
    </w:p>
    <w:p>
      <w:pPr>
        <w:ind w:left="360" w:hanging="324"/>
        <w:spacing w:after="0" w:line="265" w:lineRule="auto"/>
        <w:rPr>
          <w:sz w:val="20"/>
          <w:szCs w:val="20"/>
          <w:color w:val="auto"/>
        </w:rPr>
      </w:pPr>
      <w:r>
        <w:rPr>
          <w:rFonts w:ascii="Arial" w:cs="Arial" w:eastAsia="Arial" w:hAnsi="Arial"/>
          <w:sz w:val="16"/>
          <w:szCs w:val="16"/>
          <w:color w:val="auto"/>
        </w:rPr>
        <w:t>– Cumulative free cash flow (relative to a preset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271395" cy="771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71395" cy="7715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6DB6"/>
        </w:rPr>
        <w:t>Vesting</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Cliff vesting</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Performance period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586740</wp:posOffset>
            </wp:positionV>
            <wp:extent cx="2288540" cy="7715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8854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Award amount</w:t>
      </w:r>
    </w:p>
    <w:p>
      <w:pPr>
        <w:spacing w:after="0" w:line="5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Comprises 50% of a named executive officer’s LTIP, as determined by the Compensation Committee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Participants</w:t>
      </w:r>
    </w:p>
    <w:p>
      <w:pPr>
        <w:spacing w:after="0" w:line="5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All named executive officers and other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424815</wp:posOffset>
            </wp:positionV>
            <wp:extent cx="2288540" cy="7715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8854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Payout</w:t>
      </w:r>
    </w:p>
    <w:p>
      <w:pPr>
        <w:spacing w:after="0" w:line="59"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200" w:lineRule="exact"/>
        <w:rPr>
          <w:sz w:val="20"/>
          <w:szCs w:val="20"/>
          <w:color w:val="auto"/>
        </w:rPr>
      </w:pPr>
    </w:p>
    <w:p>
      <w:pPr>
        <w:sectPr>
          <w:pgSz w:w="11900" w:h="16838" w:orient="portrait"/>
          <w:cols w:equalWidth="0" w:num="3">
            <w:col w:w="3160" w:space="720"/>
            <w:col w:w="3340" w:space="480"/>
            <w:col w:w="3540"/>
          </w:cols>
          <w:pgMar w:left="320" w:top="125" w:right="339" w:bottom="1440" w:gutter="0" w:footer="0" w:header="0"/>
          <w:type w:val="continuous"/>
        </w:sectPr>
      </w:pPr>
    </w:p>
    <w:p>
      <w:pPr>
        <w:spacing w:after="0" w:line="14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Calculation of our relative TSR is conducted by a third party designated by the Compensation Committee following completion of the three-year performance cycle. Performance share awards granted in 2019 and 2021 will be earned in amounts between 0% and 200% of the participant’s target performance share award, based on the payout percentage associated with Civeo’s percentile performance among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151765</wp:posOffset>
            </wp:positionV>
            <wp:extent cx="394335" cy="196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240"/>
          </w:cols>
          <w:pgMar w:left="320" w:top="125"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If the performance metric yields a payout percentage of 0%, participants will not earn any performance shares for the applicable three-year performance period. Calculation of relative TSR includes all dividends paid over the performance cycle. Between the quartiles, linear interpolation is used for the actual percentile performance. Beginning in 2021, the Compensation Committee has committed to cap all future performance shares at 100% payout (Target), if Civeo’s total shareholder return over the performance period is negative, irrespective of relative performance. For 2021, the Compensation Committee added a performance metric, cumulative free cash flow relative to a preset target, to the performance share grants, due in part on the feedback from our 2020 shareholder engagement efforts as well as the Company’s current focus on generating cash flow and reducing leverage. The performance metrics for the 2021 grant were weighted 30% to cumulative free cash flow and 70% to relative TSR.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PSA TIMELINE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322"/>
        </w:trPr>
        <w:tc>
          <w:tcPr>
            <w:tcW w:w="10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70706F"/>
              </w:rPr>
              <w:t>FY19</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FY21</w:t>
            </w:r>
          </w:p>
        </w:tc>
        <w:tc>
          <w:tcPr>
            <w:tcW w:w="260" w:type="dxa"/>
            <w:vAlign w:val="bottom"/>
          </w:tcPr>
          <w:p>
            <w:pPr>
              <w:spacing w:after="0"/>
              <w:rPr>
                <w:sz w:val="24"/>
                <w:szCs w:val="24"/>
                <w:color w:val="auto"/>
              </w:rPr>
            </w:pPr>
          </w:p>
        </w:tc>
        <w:tc>
          <w:tcPr>
            <w:tcW w:w="1600" w:type="dxa"/>
            <w:vAlign w:val="bottom"/>
            <w:tcBorders>
              <w:right w:val="single" w:sz="8" w:color="auto"/>
            </w:tcBorders>
          </w:tcPr>
          <w:p>
            <w:pPr>
              <w:jc w:val="center"/>
              <w:ind w:right="224"/>
              <w:spacing w:after="0"/>
              <w:rPr>
                <w:sz w:val="20"/>
                <w:szCs w:val="20"/>
                <w:color w:val="auto"/>
              </w:rPr>
            </w:pPr>
            <w:r>
              <w:rPr>
                <w:rFonts w:ascii="Arial" w:cs="Arial" w:eastAsia="Arial" w:hAnsi="Arial"/>
                <w:sz w:val="14"/>
                <w:szCs w:val="14"/>
                <w:b w:val="1"/>
                <w:bCs w:val="1"/>
                <w:color w:val="70706F"/>
              </w:rPr>
              <w:t>FY22</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70706F"/>
              </w:rPr>
              <w:t>FY23</w:t>
            </w:r>
          </w:p>
        </w:tc>
      </w:tr>
      <w:tr>
        <w:trPr>
          <w:trHeight w:val="110"/>
        </w:trPr>
        <w:tc>
          <w:tcPr>
            <w:tcW w:w="10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700" w:type="dxa"/>
            <w:vAlign w:val="bottom"/>
          </w:tcPr>
          <w:p>
            <w:pPr>
              <w:spacing w:after="0"/>
              <w:rPr>
                <w:sz w:val="9"/>
                <w:szCs w:val="9"/>
                <w:color w:val="auto"/>
              </w:rPr>
            </w:pPr>
          </w:p>
        </w:tc>
      </w:tr>
      <w:tr>
        <w:trPr>
          <w:trHeight w:val="236"/>
        </w:trPr>
        <w:tc>
          <w:tcPr>
            <w:tcW w:w="10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right w:val="single" w:sz="8" w:color="auto"/>
            </w:tcBorders>
            <w:shd w:val="clear" w:color="auto" w:fill="BED0E9"/>
          </w:tcPr>
          <w:p>
            <w:pPr>
              <w:spacing w:after="0"/>
              <w:rPr>
                <w:sz w:val="20"/>
                <w:szCs w:val="20"/>
                <w:color w:val="auto"/>
              </w:rPr>
            </w:pPr>
          </w:p>
        </w:tc>
        <w:tc>
          <w:tcPr>
            <w:tcW w:w="1840" w:type="dxa"/>
            <w:vAlign w:val="bottom"/>
            <w:tcBorders>
              <w:right w:val="single" w:sz="8" w:color="auto"/>
            </w:tcBorders>
            <w:shd w:val="clear" w:color="auto" w:fill="94B2DA"/>
          </w:tcPr>
          <w:p>
            <w:pPr>
              <w:spacing w:after="0"/>
              <w:rPr>
                <w:sz w:val="20"/>
                <w:szCs w:val="20"/>
                <w:color w:val="auto"/>
              </w:rPr>
            </w:pPr>
          </w:p>
        </w:tc>
        <w:tc>
          <w:tcPr>
            <w:tcW w:w="1960" w:type="dxa"/>
            <w:vAlign w:val="bottom"/>
            <w:tcBorders>
              <w:right w:val="single" w:sz="8" w:color="auto"/>
            </w:tcBorders>
            <w:shd w:val="clear" w:color="auto" w:fill="006DB6"/>
          </w:tcPr>
          <w:p>
            <w:pPr>
              <w:ind w:left="880"/>
              <w:spacing w:after="0"/>
              <w:rPr>
                <w:sz w:val="20"/>
                <w:szCs w:val="20"/>
                <w:color w:val="auto"/>
              </w:rPr>
            </w:pPr>
            <w:r>
              <w:rPr>
                <w:rFonts w:ascii="Arial" w:cs="Arial" w:eastAsia="Arial" w:hAnsi="Arial"/>
                <w:sz w:val="16"/>
                <w:szCs w:val="16"/>
                <w:b w:val="1"/>
                <w:bCs w:val="1"/>
                <w:color w:val="FFFFFF"/>
              </w:rPr>
              <w:t>Year 3</w:t>
            </w:r>
          </w:p>
        </w:tc>
        <w:tc>
          <w:tcPr>
            <w:tcW w:w="260" w:type="dxa"/>
            <w:vAlign w:val="bottom"/>
            <w:shd w:val="clear" w:color="auto" w:fill="006DB6"/>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FY19 PSA</w:t>
            </w:r>
          </w:p>
        </w:tc>
        <w:tc>
          <w:tcPr>
            <w:tcW w:w="220" w:type="dxa"/>
            <w:vAlign w:val="bottom"/>
          </w:tcPr>
          <w:p>
            <w:pPr>
              <w:spacing w:after="0"/>
              <w:rPr>
                <w:sz w:val="21"/>
                <w:szCs w:val="21"/>
                <w:color w:val="auto"/>
              </w:rPr>
            </w:pPr>
          </w:p>
        </w:tc>
        <w:tc>
          <w:tcPr>
            <w:tcW w:w="1760" w:type="dxa"/>
            <w:vAlign w:val="bottom"/>
            <w:tcBorders>
              <w:right w:val="single" w:sz="8" w:color="auto"/>
            </w:tcBorders>
            <w:shd w:val="clear" w:color="auto" w:fill="BED0E9"/>
          </w:tcPr>
          <w:p>
            <w:pPr>
              <w:ind w:left="620"/>
              <w:spacing w:after="0"/>
              <w:rPr>
                <w:sz w:val="20"/>
                <w:szCs w:val="20"/>
                <w:color w:val="auto"/>
              </w:rPr>
            </w:pPr>
            <w:r>
              <w:rPr>
                <w:rFonts w:ascii="Arial" w:cs="Arial" w:eastAsia="Arial" w:hAnsi="Arial"/>
                <w:sz w:val="16"/>
                <w:szCs w:val="16"/>
                <w:b w:val="1"/>
                <w:bCs w:val="1"/>
                <w:color w:val="auto"/>
              </w:rPr>
              <w:t>Year 1</w:t>
            </w:r>
          </w:p>
        </w:tc>
        <w:tc>
          <w:tcPr>
            <w:tcW w:w="1840" w:type="dxa"/>
            <w:vAlign w:val="bottom"/>
            <w:tcBorders>
              <w:right w:val="single" w:sz="8" w:color="auto"/>
            </w:tcBorders>
            <w:shd w:val="clear" w:color="auto" w:fill="94B2DA"/>
          </w:tcPr>
          <w:p>
            <w:pPr>
              <w:jc w:val="center"/>
              <w:spacing w:after="0"/>
              <w:rPr>
                <w:sz w:val="20"/>
                <w:szCs w:val="20"/>
                <w:color w:val="auto"/>
              </w:rPr>
            </w:pPr>
            <w:r>
              <w:rPr>
                <w:rFonts w:ascii="Arial" w:cs="Arial" w:eastAsia="Arial" w:hAnsi="Arial"/>
                <w:sz w:val="16"/>
                <w:szCs w:val="16"/>
                <w:b w:val="1"/>
                <w:bCs w:val="1"/>
                <w:color w:val="auto"/>
                <w:w w:val="99"/>
              </w:rPr>
              <w:t>Year 2</w:t>
            </w:r>
          </w:p>
        </w:tc>
        <w:tc>
          <w:tcPr>
            <w:tcW w:w="1960" w:type="dxa"/>
            <w:vAlign w:val="bottom"/>
            <w:tcBorders>
              <w:right w:val="single" w:sz="8" w:color="auto"/>
            </w:tcBorders>
            <w:shd w:val="clear" w:color="auto" w:fill="006DB6"/>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260" w:type="dxa"/>
            <w:vAlign w:val="bottom"/>
            <w:shd w:val="clear" w:color="auto" w:fill="006DB6"/>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700" w:type="dxa"/>
            <w:vAlign w:val="bottom"/>
          </w:tcPr>
          <w:p>
            <w:pPr>
              <w:spacing w:after="0"/>
              <w:rPr>
                <w:sz w:val="21"/>
                <w:szCs w:val="21"/>
                <w:color w:val="auto"/>
              </w:rPr>
            </w:pPr>
          </w:p>
        </w:tc>
      </w:tr>
      <w:tr>
        <w:trPr>
          <w:trHeight w:val="251"/>
        </w:trPr>
        <w:tc>
          <w:tcPr>
            <w:tcW w:w="10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Borders>
              <w:right w:val="single" w:sz="8" w:color="auto"/>
            </w:tcBorders>
            <w:shd w:val="clear" w:color="auto" w:fill="BED0E9"/>
          </w:tcPr>
          <w:p>
            <w:pPr>
              <w:spacing w:after="0"/>
              <w:rPr>
                <w:sz w:val="21"/>
                <w:szCs w:val="21"/>
                <w:color w:val="auto"/>
              </w:rPr>
            </w:pPr>
          </w:p>
        </w:tc>
        <w:tc>
          <w:tcPr>
            <w:tcW w:w="1840" w:type="dxa"/>
            <w:vAlign w:val="bottom"/>
            <w:tcBorders>
              <w:right w:val="single" w:sz="8" w:color="auto"/>
            </w:tcBorders>
            <w:shd w:val="clear" w:color="auto" w:fill="94B2DA"/>
          </w:tcPr>
          <w:p>
            <w:pPr>
              <w:spacing w:after="0"/>
              <w:rPr>
                <w:sz w:val="21"/>
                <w:szCs w:val="21"/>
                <w:color w:val="auto"/>
              </w:rPr>
            </w:pPr>
          </w:p>
        </w:tc>
        <w:tc>
          <w:tcPr>
            <w:tcW w:w="1960" w:type="dxa"/>
            <w:vAlign w:val="bottom"/>
            <w:tcBorders>
              <w:right w:val="single" w:sz="8" w:color="auto"/>
            </w:tcBorders>
            <w:shd w:val="clear" w:color="auto" w:fill="006DB6"/>
          </w:tcPr>
          <w:p>
            <w:pPr>
              <w:ind w:left="880"/>
              <w:spacing w:after="0"/>
              <w:rPr>
                <w:sz w:val="20"/>
                <w:szCs w:val="20"/>
                <w:color w:val="auto"/>
              </w:rPr>
            </w:pPr>
            <w:r>
              <w:rPr>
                <w:rFonts w:ascii="Arial" w:cs="Arial" w:eastAsia="Arial" w:hAnsi="Arial"/>
                <w:sz w:val="16"/>
                <w:szCs w:val="16"/>
                <w:b w:val="1"/>
                <w:bCs w:val="1"/>
                <w:color w:val="FFFFFF"/>
              </w:rPr>
              <w:t>Year 3</w:t>
            </w:r>
          </w:p>
        </w:tc>
        <w:tc>
          <w:tcPr>
            <w:tcW w:w="260" w:type="dxa"/>
            <w:vAlign w:val="bottom"/>
            <w:shd w:val="clear" w:color="auto" w:fill="006DB6"/>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700" w:type="dxa"/>
            <w:vAlign w:val="bottom"/>
          </w:tcPr>
          <w:p>
            <w:pPr>
              <w:spacing w:after="0"/>
              <w:rPr>
                <w:sz w:val="21"/>
                <w:szCs w:val="21"/>
                <w:color w:val="auto"/>
              </w:rPr>
            </w:pPr>
          </w:p>
        </w:tc>
      </w:tr>
      <w:tr>
        <w:trPr>
          <w:trHeight w:val="54"/>
        </w:trPr>
        <w:tc>
          <w:tcPr>
            <w:tcW w:w="108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700" w:type="dxa"/>
            <w:vAlign w:val="bottom"/>
          </w:tcPr>
          <w:p>
            <w:pPr>
              <w:spacing w:after="0"/>
              <w:rPr>
                <w:sz w:val="4"/>
                <w:szCs w:val="4"/>
                <w:color w:val="auto"/>
              </w:rPr>
            </w:pPr>
          </w:p>
        </w:tc>
      </w:tr>
      <w:tr>
        <w:trPr>
          <w:trHeight w:val="235"/>
        </w:trPr>
        <w:tc>
          <w:tcPr>
            <w:tcW w:w="10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shd w:val="clear" w:color="auto" w:fill="BED0E9"/>
          </w:tcPr>
          <w:p>
            <w:pPr>
              <w:spacing w:after="0"/>
              <w:rPr>
                <w:sz w:val="20"/>
                <w:szCs w:val="20"/>
                <w:color w:val="auto"/>
              </w:rPr>
            </w:pPr>
          </w:p>
        </w:tc>
        <w:tc>
          <w:tcPr>
            <w:tcW w:w="260" w:type="dxa"/>
            <w:vAlign w:val="bottom"/>
            <w:shd w:val="clear" w:color="auto" w:fill="94B2DA"/>
          </w:tcPr>
          <w:p>
            <w:pPr>
              <w:spacing w:after="0"/>
              <w:rPr>
                <w:sz w:val="20"/>
                <w:szCs w:val="20"/>
                <w:color w:val="auto"/>
              </w:rPr>
            </w:pPr>
          </w:p>
        </w:tc>
        <w:tc>
          <w:tcPr>
            <w:tcW w:w="1600" w:type="dxa"/>
            <w:vAlign w:val="bottom"/>
            <w:tcBorders>
              <w:right w:val="single" w:sz="8" w:color="auto"/>
            </w:tcBorders>
            <w:shd w:val="clear" w:color="auto" w:fill="94B2DA"/>
          </w:tcPr>
          <w:p>
            <w:pPr>
              <w:spacing w:after="0"/>
              <w:rPr>
                <w:sz w:val="20"/>
                <w:szCs w:val="20"/>
                <w:color w:val="auto"/>
              </w:rPr>
            </w:pPr>
          </w:p>
        </w:tc>
        <w:tc>
          <w:tcPr>
            <w:tcW w:w="1700" w:type="dxa"/>
            <w:vAlign w:val="bottom"/>
            <w:shd w:val="clear" w:color="auto" w:fill="006DB6"/>
          </w:tcPr>
          <w:p>
            <w:pPr>
              <w:jc w:val="center"/>
              <w:spacing w:after="0"/>
              <w:rPr>
                <w:sz w:val="20"/>
                <w:szCs w:val="20"/>
                <w:color w:val="auto"/>
              </w:rPr>
            </w:pPr>
            <w:r>
              <w:rPr>
                <w:rFonts w:ascii="Arial" w:cs="Arial" w:eastAsia="Arial" w:hAnsi="Arial"/>
                <w:sz w:val="16"/>
                <w:szCs w:val="16"/>
                <w:b w:val="1"/>
                <w:bCs w:val="1"/>
                <w:color w:val="FFFFFF"/>
                <w:w w:val="99"/>
              </w:rPr>
              <w:t>Year 3</w:t>
            </w:r>
          </w:p>
        </w:tc>
      </w:t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FY21 PSA</w:t>
            </w:r>
          </w:p>
        </w:tc>
        <w:tc>
          <w:tcPr>
            <w:tcW w:w="2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shd w:val="clear" w:color="auto" w:fill="BED0E9"/>
          </w:tcPr>
          <w:p>
            <w:pPr>
              <w:jc w:val="center"/>
              <w:spacing w:after="0"/>
              <w:rPr>
                <w:sz w:val="20"/>
                <w:szCs w:val="20"/>
                <w:color w:val="auto"/>
              </w:rPr>
            </w:pPr>
            <w:r>
              <w:rPr>
                <w:rFonts w:ascii="Arial" w:cs="Arial" w:eastAsia="Arial" w:hAnsi="Arial"/>
                <w:sz w:val="16"/>
                <w:szCs w:val="16"/>
                <w:b w:val="1"/>
                <w:bCs w:val="1"/>
                <w:color w:val="auto"/>
                <w:w w:val="99"/>
              </w:rPr>
              <w:t>Year 1</w:t>
            </w:r>
          </w:p>
        </w:tc>
        <w:tc>
          <w:tcPr>
            <w:tcW w:w="260" w:type="dxa"/>
            <w:vAlign w:val="bottom"/>
            <w:shd w:val="clear" w:color="auto" w:fill="94B2DA"/>
          </w:tcPr>
          <w:p>
            <w:pPr>
              <w:spacing w:after="0"/>
              <w:rPr>
                <w:sz w:val="21"/>
                <w:szCs w:val="21"/>
                <w:color w:val="auto"/>
              </w:rPr>
            </w:pPr>
          </w:p>
        </w:tc>
        <w:tc>
          <w:tcPr>
            <w:tcW w:w="1600" w:type="dxa"/>
            <w:vAlign w:val="bottom"/>
            <w:tcBorders>
              <w:right w:val="single" w:sz="8" w:color="auto"/>
            </w:tcBorders>
            <w:shd w:val="clear" w:color="auto" w:fill="94B2DA"/>
          </w:tcPr>
          <w:p>
            <w:pPr>
              <w:jc w:val="center"/>
              <w:ind w:right="204"/>
              <w:spacing w:after="0"/>
              <w:rPr>
                <w:sz w:val="20"/>
                <w:szCs w:val="20"/>
                <w:color w:val="auto"/>
              </w:rPr>
            </w:pPr>
            <w:r>
              <w:rPr>
                <w:rFonts w:ascii="Arial" w:cs="Arial" w:eastAsia="Arial" w:hAnsi="Arial"/>
                <w:sz w:val="16"/>
                <w:szCs w:val="16"/>
                <w:b w:val="1"/>
                <w:bCs w:val="1"/>
                <w:color w:val="auto"/>
                <w:w w:val="99"/>
              </w:rPr>
              <w:t>Year 2</w:t>
            </w:r>
          </w:p>
        </w:tc>
        <w:tc>
          <w:tcPr>
            <w:tcW w:w="1700" w:type="dxa"/>
            <w:vAlign w:val="bottom"/>
            <w:shd w:val="clear" w:color="auto" w:fill="006DB6"/>
          </w:tcPr>
          <w:p>
            <w:pPr>
              <w:jc w:val="center"/>
              <w:spacing w:after="0"/>
              <w:rPr>
                <w:sz w:val="20"/>
                <w:szCs w:val="20"/>
                <w:color w:val="auto"/>
              </w:rPr>
            </w:pPr>
            <w:r>
              <w:rPr>
                <w:rFonts w:ascii="Arial" w:cs="Arial" w:eastAsia="Arial" w:hAnsi="Arial"/>
                <w:sz w:val="16"/>
                <w:szCs w:val="16"/>
                <w:b w:val="1"/>
                <w:bCs w:val="1"/>
                <w:color w:val="FFFFFF"/>
                <w:w w:val="99"/>
              </w:rPr>
              <w:t>Year 3</w:t>
            </w:r>
          </w:p>
        </w:tc>
      </w:tr>
      <w:tr>
        <w:trPr>
          <w:trHeight w:val="250"/>
        </w:trPr>
        <w:tc>
          <w:tcPr>
            <w:tcW w:w="10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shd w:val="clear" w:color="auto" w:fill="BED0E9"/>
          </w:tcPr>
          <w:p>
            <w:pPr>
              <w:spacing w:after="0"/>
              <w:rPr>
                <w:sz w:val="21"/>
                <w:szCs w:val="21"/>
                <w:color w:val="auto"/>
              </w:rPr>
            </w:pPr>
          </w:p>
        </w:tc>
        <w:tc>
          <w:tcPr>
            <w:tcW w:w="260" w:type="dxa"/>
            <w:vAlign w:val="bottom"/>
            <w:shd w:val="clear" w:color="auto" w:fill="94B2DA"/>
          </w:tcPr>
          <w:p>
            <w:pPr>
              <w:spacing w:after="0"/>
              <w:rPr>
                <w:sz w:val="21"/>
                <w:szCs w:val="21"/>
                <w:color w:val="auto"/>
              </w:rPr>
            </w:pPr>
          </w:p>
        </w:tc>
        <w:tc>
          <w:tcPr>
            <w:tcW w:w="1600" w:type="dxa"/>
            <w:vAlign w:val="bottom"/>
            <w:tcBorders>
              <w:right w:val="single" w:sz="8" w:color="auto"/>
            </w:tcBorders>
            <w:shd w:val="clear" w:color="auto" w:fill="94B2DA"/>
          </w:tcPr>
          <w:p>
            <w:pPr>
              <w:spacing w:after="0"/>
              <w:rPr>
                <w:sz w:val="21"/>
                <w:szCs w:val="21"/>
                <w:color w:val="auto"/>
              </w:rPr>
            </w:pPr>
          </w:p>
        </w:tc>
        <w:tc>
          <w:tcPr>
            <w:tcW w:w="1700" w:type="dxa"/>
            <w:vAlign w:val="bottom"/>
            <w:shd w:val="clear" w:color="auto" w:fill="006DB6"/>
          </w:tcPr>
          <w:p>
            <w:pPr>
              <w:jc w:val="center"/>
              <w:spacing w:after="0"/>
              <w:rPr>
                <w:sz w:val="20"/>
                <w:szCs w:val="20"/>
                <w:color w:val="auto"/>
              </w:rPr>
            </w:pPr>
            <w:r>
              <w:rPr>
                <w:rFonts w:ascii="Arial" w:cs="Arial" w:eastAsia="Arial" w:hAnsi="Arial"/>
                <w:sz w:val="16"/>
                <w:szCs w:val="16"/>
                <w:b w:val="1"/>
                <w:bCs w:val="1"/>
                <w:color w:val="FFFFFF"/>
                <w:w w:val="99"/>
              </w:rPr>
              <w:t>Year 3</w:t>
            </w:r>
          </w:p>
        </w:tc>
      </w:tr>
      <w:tr>
        <w:trPr>
          <w:trHeight w:val="54"/>
        </w:trPr>
        <w:tc>
          <w:tcPr>
            <w:tcW w:w="108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700" w:type="dxa"/>
            <w:vAlign w:val="bottom"/>
          </w:tcPr>
          <w:p>
            <w:pPr>
              <w:spacing w:after="0"/>
              <w:rPr>
                <w:sz w:val="4"/>
                <w:szCs w:val="4"/>
                <w:color w:val="auto"/>
              </w:rPr>
            </w:pPr>
          </w:p>
        </w:tc>
      </w:tr>
    </w:tbl>
    <w:p>
      <w:pPr>
        <w:spacing w:after="0" w:line="310" w:lineRule="exact"/>
        <w:rPr>
          <w:sz w:val="20"/>
          <w:szCs w:val="20"/>
          <w:color w:val="auto"/>
        </w:rPr>
      </w:pPr>
    </w:p>
    <w:p>
      <w:pPr>
        <w:jc w:val="both"/>
        <w:ind w:right="40"/>
        <w:spacing w:after="0" w:line="242" w:lineRule="auto"/>
        <w:rPr>
          <w:sz w:val="20"/>
          <w:szCs w:val="20"/>
          <w:color w:val="auto"/>
        </w:rPr>
      </w:pPr>
      <w:r>
        <w:rPr>
          <w:rFonts w:ascii="Arial" w:cs="Arial" w:eastAsia="Arial" w:hAnsi="Arial"/>
          <w:sz w:val="16"/>
          <w:szCs w:val="16"/>
          <w:color w:val="auto"/>
        </w:rPr>
        <w:t>All performance share awards have been approved by the Compensation Committee and the board of directors. For 2021, Mercer was engaged to calculate Civeo’s ranking in regards to the performance awards that were issued in February 2019. For those 2019 performance share awards that vested in February 2022, based on performance from February 25, 2019 through February 24, 2022, Civeo was in the 63rd percentile and therefore, a payout of 126% of target was approved. For those performance share awards that were granted in 2021, the performance period is January 1, 2021 to December 31, 2023.</w:t>
      </w:r>
    </w:p>
    <w:p>
      <w:pPr>
        <w:spacing w:after="0" w:line="8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 xml:space="preserve">All long-term incentive awards under the EPP are expensed in a manner to comply with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Topic 718—Stock Compensation”). Except in special circumstances, long-term incentive awards are made to participants in these plans annually.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Chief Executive Officer Compensation for 2021</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During its evaluation of Mr. Dodson’s compensation, the Compensation Committee reviewed (i) performance against the 2021 business plan, (ii) TSR performance against a group of peer companies, (iii) pay levels and compensation trends at peer group companies and (iv) progress against the Company’s strategic plan.</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addition to performance information that supports compensation levels that is included in the proxy statement, the Company provides additional information in the Annual Report on Form 10-K including a performance graph that reflects the company’s relative stock performance against the S&amp;P 500, PHLX Oil Services Sector, the prior peer group and the current peer group to assist shareholders and proxy advisors as they consider a “Say-on-Pay” analysis. The performance graph covers a five-year period with the first year being 2016.</w:t>
      </w:r>
    </w:p>
    <w:p>
      <w:pPr>
        <w:spacing w:after="0" w:line="5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following graphic provides information about equity and non-equity awards granted to Mr. Dodson in 2021. The LTIP Awarded below reflects the value of phantom share units and performance shares as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271145</wp:posOffset>
            </wp:positionV>
            <wp:extent cx="3000375" cy="13455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00037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bl>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Other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Benefit Plans</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Civeo’s employee benefit plans are designed from a market competitive perspective with the objective of attracting and retaining 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Retirement Plans</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Civeo offers a defined contribution 401(k) retirement plan to all of its U.S. employees, including its U.S.-based executives. Those participating in the plan can make contributions from their base salaries and cash incentive compensation up to annual limits defined by the IRS. Civeo makes matching contributions under this plan on the first 6% of the participant’s compensation, providing 100% match on the employee’s contribution up to 4% of his or her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a percentage of base salary (to an annual capped limit established by the Australia Taxation Office) to a superannuation fund administered by the Government. In July 2021, the percentage was adjusted from 9.5% to 10%.</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Other Perquisites and Personal Benefits</w:t>
      </w:r>
    </w:p>
    <w:p>
      <w:pPr>
        <w:spacing w:after="0" w:line="11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general, Civeo does not offer any executive perquisites or other personal benefits with an aggregate annual value over $10,000. Some executives are provided paid club memberships, which are used for business purposes.</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Procedures for Determining Compensation</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Decision-Making and Approval Process</w:t>
      </w:r>
    </w:p>
    <w:p>
      <w:pPr>
        <w:spacing w:after="0" w:line="12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All executive compensation decisions for named executive officers are made on behalf of Civeo solely by the Compensation Committee. Where appropriate, the Compensation Committee engages Mercer to research and make recommendations on issues considered important to executive compensation, as well to provide the Compensation Committee with insights on evolving compensation trends in relevant industry sectors.</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Executive Officers</w:t>
      </w:r>
    </w:p>
    <w:p>
      <w:pPr>
        <w:spacing w:after="0" w:line="12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Compensation Committee consults our Chief Executive Officer in its determination of compensation matters related to the Company's designated Section 16 officers. The Chief Executive Officer makes recommendations to the Compensation Committee on matters such as salary adjustments, target annual incentive opportunities and the value of long-term incentive awards.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Compensation Consultant</w:t>
      </w:r>
    </w:p>
    <w:p>
      <w:pPr>
        <w:spacing w:after="0" w:line="128"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auto"/>
        </w:rPr>
        <w:t>The Compensation Committee engages Mercer as its independent compensation consultant. Subsequent to its initial engagement of Mercer, the Compensation Committee has reviewed and confirmed its selection of Mercer on an annual basis.</w:t>
      </w:r>
    </w:p>
    <w:p>
      <w:pPr>
        <w:spacing w:after="0" w:line="4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148590</wp:posOffset>
            </wp:positionV>
            <wp:extent cx="394335" cy="1968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relationship with Mercer in 2021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2021:</w:t>
      </w:r>
    </w:p>
    <w:p>
      <w:pPr>
        <w:spacing w:after="0" w:line="63"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Mercer did not provide any services to Civeo or management other than services requested by or with the approval of the Compensation Committee;</w:t>
      </w:r>
    </w:p>
    <w:p>
      <w:pPr>
        <w:spacing w:after="0" w:line="72" w:lineRule="exact"/>
        <w:rPr>
          <w:rFonts w:ascii="Arial" w:cs="Arial" w:eastAsia="Arial" w:hAnsi="Arial"/>
          <w:sz w:val="16"/>
          <w:szCs w:val="16"/>
          <w:color w:val="006DB6"/>
        </w:rPr>
      </w:pPr>
    </w:p>
    <w:p>
      <w:pPr>
        <w:ind w:left="200" w:right="600" w:hanging="192"/>
        <w:spacing w:after="0" w:line="286" w:lineRule="auto"/>
        <w:tabs>
          <w:tab w:leader="none" w:pos="17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Mercer maintains a conflicts policy, which was provided to the Compensation Committee, with specific policies and procedures designed to ensure independence;</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Fees paid to Mercer by Civeo during 2021 were less than 1% of Mercer’s total revenue;</w:t>
      </w:r>
    </w:p>
    <w:p>
      <w:pPr>
        <w:spacing w:after="0" w:line="72" w:lineRule="exact"/>
        <w:rPr>
          <w:rFonts w:ascii="Arial" w:cs="Arial" w:eastAsia="Arial" w:hAnsi="Arial"/>
          <w:sz w:val="16"/>
          <w:szCs w:val="16"/>
          <w:color w:val="006DB6"/>
        </w:rPr>
      </w:pPr>
    </w:p>
    <w:p>
      <w:pPr>
        <w:ind w:left="200" w:right="20" w:hanging="192"/>
        <w:spacing w:after="0" w:line="286" w:lineRule="auto"/>
        <w:tabs>
          <w:tab w:leader="none" w:pos="17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had any business or personal relationship with Compensation Committee members (other than in connection with working on matters with us);</w:t>
      </w:r>
    </w:p>
    <w:p>
      <w:pPr>
        <w:spacing w:after="0" w:line="7" w:lineRule="exact"/>
        <w:rPr>
          <w:rFonts w:ascii="Arial" w:cs="Arial" w:eastAsia="Arial" w:hAnsi="Arial"/>
          <w:sz w:val="16"/>
          <w:szCs w:val="16"/>
          <w:color w:val="006DB6"/>
        </w:rPr>
      </w:pPr>
    </w:p>
    <w:p>
      <w:pPr>
        <w:ind w:left="200" w:right="520" w:hanging="192"/>
        <w:spacing w:after="0" w:line="286" w:lineRule="auto"/>
        <w:tabs>
          <w:tab w:leader="none" w:pos="17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(or any consultants at Mercer) had any business or personal relationship with any of our executive officers; and</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own our common shares.</w:t>
      </w:r>
    </w:p>
    <w:p>
      <w:pPr>
        <w:spacing w:after="0" w:line="11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Since 2015, the Compensation Committee also annually approved the engagement of Mercer to provide benefits consulting services to Civeo. The decision to engage the consultant for these additional services was recommended by management, but approved by the Compensation Committee. During 2021, fees paid to Mercer in the form of commissions by our Canadian insurer and retirement plan fund manager totaled $22,594 and $15,577, respectively, for benefits consulting services provided to our Canadian operations. During 2021, fees paid to Mercer in the form of commission by our U.S. insurers and retirement plan administrator totaled $127,491 and $31,395, respectively, for consulting services provided to our U.S. operations. In the opinion of the Compensation Committee, the scale of these fees ($197,057 in the aggregate) does not compromise Mercer’s independence with regards to executive and director compensation advisory services it provides directly to the Compensation Committee. This independence is and will continue to be monitored on an ongoing basis. Fees paid to Mercer for compensation consulting services to the Compensation Committee totaled $47,913 in 2021.</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Other Items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and Change of Control Agreements</w:t>
      </w:r>
    </w:p>
    <w:p>
      <w:pPr>
        <w:spacing w:after="0" w:line="1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Civeo maintains Executive Agreements with Messrs. Dodson and McCann and Change of Control Agreements with Mr. Schoening and Ms. Stone. These agreements are not considered long-term employment agreements and as such, U.S. executives are employed “at will” by Civeo. The agreements provide protection in the event of a qualified termination, which is defined as an (i) involuntary termination of the executive officer by Civeo other than for “Cause” or</w:t>
      </w:r>
    </w:p>
    <w:p>
      <w:pPr>
        <w:spacing w:after="0" w:line="1" w:lineRule="exact"/>
        <w:rPr>
          <w:sz w:val="20"/>
          <w:szCs w:val="20"/>
          <w:color w:val="auto"/>
        </w:rPr>
      </w:pPr>
    </w:p>
    <w:p>
      <w:pPr>
        <w:ind w:right="260" w:firstLine="8"/>
        <w:spacing w:after="0" w:line="252" w:lineRule="auto"/>
        <w:tabs>
          <w:tab w:leader="none" w:pos="2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voluntary termination by the executive for “Good Reason” during a specified period of time after a corporate “Change of Control” (as defined in each agreement) of Civeo.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7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(i.e., a change of control along with a qualifying loss of employment). Where a qualified termination occurs during the protection period following a Change of Control, the agreements provide for a lump-sum payment to the executive officer based on the executive’s base salary and target annual incentive amount in place on the date of termination. Under the terms of their Executive Agreements, Messrs. Dodson and McCann are each entitled to receive a lump-sum payment equal to two times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and McCann will be entitled to receive a lump-sum payment equal to one year’s base salary and target annual bonus amount as well as other benefits described below. Under the terms of Mr. Schoening’s Change of Control Agreement, he is entitled to receive a lump-sum payment equal to 2 times his base salary and annual incentive amount if a qualified termination occurs during the 18-month period following a Change of Control. As of April 4, 2022, Ms. Stone’s Change of Control Agreement entitles her to receive a lump-sum payment equal to 2.0 (previously 1.75) times her base salary and target annual incentive amount if a qualified termination occurs during the 18-month period following a Change of Control. Where a qualified termination occurs outside of the protection period following a Change of Control, Mr. Schoening and Ms. Stone and are not entitled to receive any severance payments or benefits.</w:t>
      </w:r>
    </w:p>
    <w:p>
      <w:pPr>
        <w:spacing w:after="0" w:line="8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addition, the agreements provide that all restricted stock awards, restricted share units, performance shares, deferred shares, phantom units, options and other equity-based awards will vest immediately, that all restrictions on such awards will lapse upon a Change of Control and a qualified termination and that outstanding options will remain exercisable for a period of 90 days. The executive officer will also be entitled to (A) in the case of Messrs. Dodson and Schoening and Ms. Stone, health benefits until the earlier of (i) 36 months (in the case of Mr. Dodson) or 12 months (in the case of Mr. Schoening and Ms. Stone) and (ii) the date the executive began receiving comparable benefits from a subsequent employer, (B) in the case of Messrs. Dodson, and Schoening and Ms. Stone, vesting of all employer contributions to our 401(k) plan to the extent not already vested and (C) for each named</w:t>
      </w:r>
    </w:p>
    <w:p>
      <w:pPr>
        <w:spacing w:after="0" w:line="335"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executive officer, 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while employed by Oil States International Inc. entitled Mr. Dodson to be made whole for any excise taxes incurred with respect to severance payments that were in excess of the limits set forth under the Internal Revenue Code. No excise tax gross-up protection is available to Mr. McCann, Mr. Schoening or Ms. Stone. See “Potential Payments Under Termination or Change of Control” in this proxy statement for additional disclosures of severance and Change of Control payments for named executive officers.</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Civeo’s Executive Agreements have a term of three years, Mr. Schoening and Ms. Stone’s Change of Control Agreements have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and Ms. Stone, of the date notice was given. To receive benefits under the Executive Agreement or Change of Control Agreement, the executive officer is required to execute a release of all claims against Civeo.</w:t>
      </w:r>
    </w:p>
    <w:p>
      <w:pPr>
        <w:spacing w:after="0" w:line="7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4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 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Accounting and Tax Considerations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Section 162(m) of the Code, a limitation exists on tax deductions of any publicly-held corporation for individual compensation to certain “covered employees” of such corporation exceeding $1,000,000 in any taxable year. For taxable years beginning after December 31, 2017, the previously existing exemption from Section 162(m)’s deduction limit for certain “performance-based” compensation was repealed for all but certain grandfathered compensation arrangements that were in effect as of November 2, 2017. However, the rules and regulations promulgated under Section 162(m) are complicated and subject to change. As such, there can be no assurance that any compensation awarded prior to such date will be fully tax deductible.</w:t>
      </w:r>
    </w:p>
    <w:p>
      <w:pPr>
        <w:spacing w:after="0" w:line="7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Policies and Practices</w:t>
      </w:r>
    </w:p>
    <w:p>
      <w:pPr>
        <w:spacing w:after="0" w:line="12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are key policies and practices of our executive compensation program, which we believe align the interests of management with those of our shareholders and are best practices in compensation and governance.</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Equity Awards Pricing</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Civeo’s practice is to price awards at not less than the closing price on the date of grant.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Insider Trading and Hedging Policy</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Civeo prohibits directors, officers and other employees from trading Civeo’s securities on the basis of or in the 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Civeo’s hedging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Clawback Policy</w:t>
      </w:r>
    </w:p>
    <w:p>
      <w:pPr>
        <w:spacing w:after="0" w:line="72"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Civeo’s clawback policy allows Civeo to recoup incentive-based compensation from current or former executive officers if the consolidated financial statements of Civeo are materially restated within three years of their initial public release or filing,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142240</wp:posOffset>
            </wp:positionV>
            <wp:extent cx="394335" cy="1968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200"/>
          </w:cols>
          <w:pgMar w:left="320" w:top="125"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board of directors determines, in its reasonable discretion, that any current or former executive officer has engaged in intentional misconduct, and such misconduct caused or partially caused the need for such restatement. In that case, the board of directors may within 12 months after such a material restatement, require that the executive forfeit and/or return to Civeo all or a portion of the compensation vested, awarded or received under any bonus, equity or other award during the period subject to restatement and the 12-month period following the initial public release or filing of the restated financial statements.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of control, as defined in the EPP, and the policy does not limit the ability of Civeo to otherwise pursue forfeiture or reclamation of amounts under applicable law.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Executive Share Ownership Requirements</w:t>
      </w:r>
    </w:p>
    <w:p>
      <w:pPr>
        <w:spacing w:after="0" w:line="11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Civeo has established executive share ownership requirements to further align the interests of key executives with those of its shareholders. Our Executive Share Ownership Guidelines are calculated based on a multiple of the executive’s base salary,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282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114935</wp:posOffset>
            </wp:positionV>
            <wp:extent cx="771525" cy="1117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1117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00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Section 16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Executives who are covered by these guidelines have five years to reach their respective share ownership levels. On an annual basis, the Compensation Committee monitors compliance with these guidelines. As of March 29, 2022, all executive officers were in compliance with the guidelines as demonstrated in the chart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260" w:type="dxa"/>
            <w:vAlign w:val="bottom"/>
            <w:tcBorders>
              <w:bottom w:val="single" w:sz="8" w:color="006DB6"/>
            </w:tcBorders>
            <w:gridSpan w:val="2"/>
          </w:tcPr>
          <w:p>
            <w:pPr>
              <w:jc w:val="right"/>
              <w:ind w:right="841"/>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23"/>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Executives</w:t>
            </w:r>
          </w:p>
        </w:tc>
        <w:tc>
          <w:tcPr>
            <w:tcW w:w="1820" w:type="dxa"/>
            <w:vAlign w:val="bottom"/>
            <w:tcBorders>
              <w:bottom w:val="single" w:sz="8" w:color="006DB6"/>
            </w:tcBorders>
          </w:tcPr>
          <w:p>
            <w:pPr>
              <w:jc w:val="right"/>
              <w:ind w:right="162"/>
              <w:spacing w:after="0"/>
              <w:rPr>
                <w:sz w:val="20"/>
                <w:szCs w:val="20"/>
                <w:color w:val="auto"/>
              </w:rPr>
            </w:pPr>
            <w:r>
              <w:rPr>
                <w:rFonts w:ascii="Arial" w:cs="Arial" w:eastAsia="Arial" w:hAnsi="Arial"/>
                <w:sz w:val="14"/>
                <w:szCs w:val="14"/>
                <w:b w:val="1"/>
                <w:bCs w:val="1"/>
                <w:color w:val="706F6F"/>
              </w:rPr>
              <w:t>Target Ownership</w:t>
            </w:r>
          </w:p>
        </w:tc>
        <w:tc>
          <w:tcPr>
            <w:tcW w:w="14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12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Y/N</w:t>
            </w:r>
          </w:p>
        </w:tc>
      </w:tr>
      <w:tr>
        <w:trPr>
          <w:trHeight w:val="23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143,678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310,747</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39,627</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65,349</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32,828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61,056</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28,017</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51,534</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Executive Retention and Succession Planning</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Compensation Committee is sensitive to the critical importance of key employee and executive retention, recognizing the costs, potential impacts and replacement challenges that accompany the loss of talented leadership particularly in a difficult market environment. For 2020 and 2021, executive retention was carefully considered by the Compensation Committee in arriving at its long-term incentive award determinations for our named executive officers, all of which remained consistent with our past practices.</w:t>
      </w:r>
    </w:p>
    <w:p>
      <w:pPr>
        <w:spacing w:after="0" w:line="7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board of directors and Compensation Committee regularly discuss, prepare and advance the Company’s succession plan. The board of directors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of directors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of directors and the Compensation Committee for necessary changes and the development progress of potential successors.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Independent Compensation Consultant</w:t>
      </w:r>
    </w:p>
    <w:p>
      <w:pPr>
        <w:spacing w:after="0" w:line="8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Compensation Committee engaged Mercer, an independent compensation consultant, to report directly to the Compensation Committee. The Compensation Committee reviews and approves Mercer’s appointment annually. Mercer acted as independent compensation consultant for 2021 and has been approved by the Compensation Committee as its consultant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bl>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Committee Report</w:t>
      </w:r>
    </w:p>
    <w:p>
      <w:pPr>
        <w:spacing w:after="0" w:line="13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i w:val="1"/>
          <w:iCs w:val="1"/>
          <w:color w:val="006DB6"/>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Constance B. Moore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173355</wp:posOffset>
            </wp:positionV>
            <wp:extent cx="394335" cy="1968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0900"/>
          </w:cols>
          <w:pgMar w:left="320" w:top="125" w:right="67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Tables</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Summary Compensation Table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compensation paid in respect of specified periods to our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122"/>
              <w:spacing w:after="0"/>
              <w:rPr>
                <w:sz w:val="20"/>
                <w:szCs w:val="20"/>
                <w:color w:val="auto"/>
              </w:rPr>
            </w:pPr>
            <w:r>
              <w:rPr>
                <w:rFonts w:ascii="Arial" w:cs="Arial" w:eastAsia="Arial" w:hAnsi="Arial"/>
                <w:sz w:val="14"/>
                <w:szCs w:val="14"/>
                <w:b w:val="1"/>
                <w:bCs w:val="1"/>
                <w:color w:val="706F6F"/>
              </w:rPr>
              <w:t>Non-Equity</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163"/>
              <w:spacing w:after="0"/>
              <w:rPr>
                <w:sz w:val="20"/>
                <w:szCs w:val="20"/>
                <w:color w:val="auto"/>
              </w:rPr>
            </w:pPr>
            <w:r>
              <w:rPr>
                <w:rFonts w:ascii="Arial" w:cs="Arial" w:eastAsia="Arial" w:hAnsi="Arial"/>
                <w:sz w:val="14"/>
                <w:szCs w:val="14"/>
                <w:b w:val="1"/>
                <w:bCs w:val="1"/>
                <w:color w:val="706F6F"/>
              </w:rPr>
              <w:t>Share</w:t>
            </w:r>
          </w:p>
        </w:tc>
        <w:tc>
          <w:tcPr>
            <w:tcW w:w="14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706F6F"/>
              </w:rPr>
              <w:t>Incentive Plan</w:t>
            </w:r>
          </w:p>
        </w:tc>
        <w:tc>
          <w:tcPr>
            <w:tcW w:w="440" w:type="dxa"/>
            <w:vAlign w:val="bottom"/>
          </w:tcPr>
          <w:p>
            <w:pPr>
              <w:spacing w:after="0"/>
              <w:rPr>
                <w:sz w:val="14"/>
                <w:szCs w:val="14"/>
                <w:color w:val="auto"/>
              </w:rPr>
            </w:pP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706F6F"/>
              </w:rPr>
              <w:t>All Other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80"/>
              <w:spacing w:after="0" w:line="159" w:lineRule="exact"/>
              <w:rPr>
                <w:sz w:val="20"/>
                <w:szCs w:val="20"/>
                <w:color w:val="auto"/>
              </w:rPr>
            </w:pPr>
            <w:r>
              <w:rPr>
                <w:rFonts w:ascii="Arial" w:cs="Arial" w:eastAsia="Arial" w:hAnsi="Arial"/>
                <w:sz w:val="14"/>
                <w:szCs w:val="14"/>
                <w:b w:val="1"/>
                <w:bCs w:val="1"/>
                <w:color w:val="706F6F"/>
              </w:rPr>
              <w:t>Salary</w:t>
            </w:r>
          </w:p>
        </w:tc>
        <w:tc>
          <w:tcPr>
            <w:tcW w:w="380" w:type="dxa"/>
            <w:vAlign w:val="bottom"/>
          </w:tcPr>
          <w:p>
            <w:pPr>
              <w:spacing w:after="0"/>
              <w:rPr>
                <w:sz w:val="13"/>
                <w:szCs w:val="13"/>
                <w:color w:val="auto"/>
              </w:rPr>
            </w:pPr>
          </w:p>
        </w:tc>
        <w:tc>
          <w:tcPr>
            <w:tcW w:w="1180" w:type="dxa"/>
            <w:vAlign w:val="bottom"/>
          </w:tcPr>
          <w:p>
            <w:pPr>
              <w:jc w:val="right"/>
              <w:ind w:right="163"/>
              <w:spacing w:after="0" w:line="159" w:lineRule="exact"/>
              <w:rPr>
                <w:sz w:val="20"/>
                <w:szCs w:val="20"/>
                <w:color w:val="auto"/>
              </w:rPr>
            </w:pPr>
            <w:r>
              <w:rPr>
                <w:rFonts w:ascii="Arial" w:cs="Arial" w:eastAsia="Arial" w:hAnsi="Arial"/>
                <w:sz w:val="14"/>
                <w:szCs w:val="14"/>
                <w:b w:val="1"/>
                <w:bCs w:val="1"/>
                <w:color w:val="706F6F"/>
              </w:rPr>
              <w:t>Awards</w:t>
            </w:r>
          </w:p>
        </w:tc>
        <w:tc>
          <w:tcPr>
            <w:tcW w:w="1480" w:type="dxa"/>
            <w:vAlign w:val="bottom"/>
            <w:gridSpan w:val="2"/>
          </w:tcPr>
          <w:p>
            <w:pPr>
              <w:jc w:val="right"/>
              <w:ind w:right="122"/>
              <w:spacing w:after="0" w:line="159" w:lineRule="exact"/>
              <w:rPr>
                <w:sz w:val="20"/>
                <w:szCs w:val="20"/>
                <w:color w:val="auto"/>
              </w:rPr>
            </w:pPr>
            <w:r>
              <w:rPr>
                <w:rFonts w:ascii="Arial" w:cs="Arial" w:eastAsia="Arial" w:hAnsi="Arial"/>
                <w:sz w:val="14"/>
                <w:szCs w:val="14"/>
                <w:b w:val="1"/>
                <w:bCs w:val="1"/>
                <w:color w:val="706F6F"/>
              </w:rPr>
              <w:t>Compensation</w:t>
            </w:r>
          </w:p>
        </w:tc>
        <w:tc>
          <w:tcPr>
            <w:tcW w:w="1440" w:type="dxa"/>
            <w:vAlign w:val="bottom"/>
            <w:gridSpan w:val="2"/>
          </w:tcPr>
          <w:p>
            <w:pPr>
              <w:ind w:left="200"/>
              <w:spacing w:after="0" w:line="159" w:lineRule="exact"/>
              <w:rPr>
                <w:sz w:val="20"/>
                <w:szCs w:val="20"/>
                <w:color w:val="auto"/>
              </w:rPr>
            </w:pPr>
            <w:r>
              <w:rPr>
                <w:rFonts w:ascii="Arial" w:cs="Arial" w:eastAsia="Arial" w:hAnsi="Arial"/>
                <w:sz w:val="14"/>
                <w:szCs w:val="14"/>
                <w:b w:val="1"/>
                <w:bCs w:val="1"/>
                <w:color w:val="706F6F"/>
              </w:rPr>
              <w:t>Compensation</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8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 and Principal Position</w:t>
            </w:r>
          </w:p>
        </w:tc>
        <w:tc>
          <w:tcPr>
            <w:tcW w:w="720" w:type="dxa"/>
            <w:vAlign w:val="bottom"/>
            <w:tcBorders>
              <w:bottom w:val="single" w:sz="8" w:color="006DB6"/>
            </w:tcBorders>
          </w:tcPr>
          <w:p>
            <w:pPr>
              <w:jc w:val="right"/>
              <w:ind w:right="300"/>
              <w:spacing w:after="0"/>
              <w:rPr>
                <w:sz w:val="20"/>
                <w:szCs w:val="20"/>
                <w:color w:val="auto"/>
              </w:rPr>
            </w:pPr>
            <w:r>
              <w:rPr>
                <w:rFonts w:ascii="Arial" w:cs="Arial" w:eastAsia="Arial" w:hAnsi="Arial"/>
                <w:sz w:val="14"/>
                <w:szCs w:val="14"/>
                <w:b w:val="1"/>
                <w:bCs w:val="1"/>
                <w:color w:val="706F6F"/>
              </w:rPr>
              <w:t>Year</w:t>
            </w:r>
          </w:p>
        </w:tc>
        <w:tc>
          <w:tcPr>
            <w:tcW w:w="440" w:type="dxa"/>
            <w:vAlign w:val="bottom"/>
            <w:tcBorders>
              <w:bottom w:val="single" w:sz="8" w:color="006DB6"/>
            </w:tcBorders>
          </w:tcPr>
          <w:p>
            <w:pPr>
              <w:spacing w:after="0"/>
              <w:rPr>
                <w:sz w:val="18"/>
                <w:szCs w:val="18"/>
                <w:color w:val="auto"/>
              </w:rPr>
            </w:pPr>
          </w:p>
        </w:tc>
        <w:tc>
          <w:tcPr>
            <w:tcW w:w="940" w:type="dxa"/>
            <w:vAlign w:val="bottom"/>
            <w:tcBorders>
              <w:bottom w:val="single" w:sz="8" w:color="006DB6"/>
            </w:tcBorders>
          </w:tcPr>
          <w:p>
            <w:pPr>
              <w:jc w:val="right"/>
              <w:ind w:right="80"/>
              <w:spacing w:after="0"/>
              <w:rPr>
                <w:sz w:val="20"/>
                <w:szCs w:val="20"/>
                <w:color w:val="auto"/>
              </w:rPr>
            </w:pPr>
            <w:r>
              <w:rPr>
                <w:rFonts w:ascii="Arial" w:cs="Arial" w:eastAsia="Arial" w:hAnsi="Arial"/>
                <w:sz w:val="14"/>
                <w:szCs w:val="14"/>
                <w:b w:val="1"/>
                <w:bCs w:val="1"/>
                <w:color w:val="706F6F"/>
              </w:rPr>
              <w:t>($)</w:t>
            </w:r>
          </w:p>
        </w:tc>
        <w:tc>
          <w:tcPr>
            <w:tcW w:w="380" w:type="dxa"/>
            <w:vAlign w:val="bottom"/>
            <w:tcBorders>
              <w:bottom w:val="single" w:sz="8" w:color="006DB6"/>
            </w:tcBorders>
          </w:tcPr>
          <w:p>
            <w:pPr>
              <w:spacing w:after="0"/>
              <w:rPr>
                <w:sz w:val="18"/>
                <w:szCs w:val="18"/>
                <w:color w:val="auto"/>
              </w:rPr>
            </w:pPr>
          </w:p>
        </w:tc>
        <w:tc>
          <w:tcPr>
            <w:tcW w:w="1180" w:type="dxa"/>
            <w:vAlign w:val="bottom"/>
            <w:tcBorders>
              <w:bottom w:val="single" w:sz="8" w:color="006DB6"/>
            </w:tcBorders>
          </w:tcPr>
          <w:p>
            <w:pPr>
              <w:jc w:val="right"/>
              <w:ind w:right="163"/>
              <w:spacing w:after="0" w:line="201"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(1)</w:t>
            </w:r>
          </w:p>
        </w:tc>
        <w:tc>
          <w:tcPr>
            <w:tcW w:w="420" w:type="dxa"/>
            <w:vAlign w:val="bottom"/>
            <w:tcBorders>
              <w:bottom w:val="single" w:sz="8" w:color="006DB6"/>
            </w:tcBorders>
          </w:tcPr>
          <w:p>
            <w:pPr>
              <w:spacing w:after="0"/>
              <w:rPr>
                <w:sz w:val="18"/>
                <w:szCs w:val="18"/>
                <w:color w:val="auto"/>
              </w:rPr>
            </w:pPr>
          </w:p>
        </w:tc>
        <w:tc>
          <w:tcPr>
            <w:tcW w:w="1060" w:type="dxa"/>
            <w:vAlign w:val="bottom"/>
            <w:tcBorders>
              <w:bottom w:val="single" w:sz="8" w:color="006DB6"/>
            </w:tcBorders>
          </w:tcPr>
          <w:p>
            <w:pPr>
              <w:jc w:val="right"/>
              <w:ind w:right="122"/>
              <w:spacing w:after="0" w:line="201"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(4)</w:t>
            </w:r>
          </w:p>
        </w:tc>
        <w:tc>
          <w:tcPr>
            <w:tcW w:w="440" w:type="dxa"/>
            <w:vAlign w:val="bottom"/>
            <w:tcBorders>
              <w:bottom w:val="single" w:sz="8" w:color="006DB6"/>
            </w:tcBorders>
          </w:tcPr>
          <w:p>
            <w:pPr>
              <w:spacing w:after="0"/>
              <w:rPr>
                <w:sz w:val="18"/>
                <w:szCs w:val="18"/>
                <w:color w:val="auto"/>
              </w:rPr>
            </w:pPr>
          </w:p>
        </w:tc>
        <w:tc>
          <w:tcPr>
            <w:tcW w:w="1000" w:type="dxa"/>
            <w:vAlign w:val="bottom"/>
            <w:tcBorders>
              <w:bottom w:val="single" w:sz="8" w:color="006DB6"/>
            </w:tcBorders>
          </w:tcPr>
          <w:p>
            <w:pPr>
              <w:jc w:val="right"/>
              <w:ind w:right="162"/>
              <w:spacing w:after="0" w:line="201"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(6)</w:t>
            </w:r>
          </w:p>
        </w:tc>
        <w:tc>
          <w:tcPr>
            <w:tcW w:w="260" w:type="dxa"/>
            <w:vAlign w:val="bottom"/>
            <w:tcBorders>
              <w:bottom w:val="single" w:sz="8" w:color="006DB6"/>
            </w:tcBorders>
          </w:tcPr>
          <w:p>
            <w:pPr>
              <w:spacing w:after="0"/>
              <w:rPr>
                <w:sz w:val="18"/>
                <w:szCs w:val="18"/>
                <w:color w:val="auto"/>
              </w:rPr>
            </w:pPr>
          </w:p>
        </w:tc>
        <w:tc>
          <w:tcPr>
            <w:tcW w:w="1080" w:type="dxa"/>
            <w:vAlign w:val="bottom"/>
            <w:tcBorders>
              <w:bottom w:val="single" w:sz="8" w:color="006DB6"/>
            </w:tcBorders>
          </w:tcPr>
          <w:p>
            <w:pPr>
              <w:jc w:val="right"/>
              <w:spacing w:after="0" w:line="201" w:lineRule="exact"/>
              <w:rPr>
                <w:sz w:val="20"/>
                <w:szCs w:val="20"/>
                <w:color w:val="auto"/>
              </w:rPr>
            </w:pPr>
            <w:r>
              <w:rPr>
                <w:rFonts w:ascii="Arial" w:cs="Arial" w:eastAsia="Arial" w:hAnsi="Arial"/>
                <w:sz w:val="14"/>
                <w:szCs w:val="14"/>
                <w:b w:val="1"/>
                <w:bCs w:val="1"/>
                <w:color w:val="706F6F"/>
              </w:rPr>
              <w:t xml:space="preserve">Total </w:t>
            </w:r>
            <w:r>
              <w:rPr>
                <w:rFonts w:ascii="Arial" w:cs="Arial" w:eastAsia="Arial" w:hAnsi="Arial"/>
                <w:sz w:val="18"/>
                <w:szCs w:val="18"/>
                <w:b w:val="1"/>
                <w:bCs w:val="1"/>
                <w:color w:val="706F6F"/>
                <w:vertAlign w:val="superscript"/>
              </w:rPr>
              <w:t>(5)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2021</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744,808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3"/>
              <w:spacing w:after="0"/>
              <w:rPr>
                <w:sz w:val="20"/>
                <w:szCs w:val="20"/>
                <w:color w:val="auto"/>
              </w:rPr>
            </w:pPr>
            <w:r>
              <w:rPr>
                <w:rFonts w:ascii="Arial" w:cs="Arial" w:eastAsia="Arial" w:hAnsi="Arial"/>
                <w:sz w:val="16"/>
                <w:szCs w:val="16"/>
                <w:color w:val="auto"/>
              </w:rPr>
              <w:t>2,960,437</w:t>
            </w: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1,336,323</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22"/>
              <w:spacing w:after="0"/>
              <w:rPr>
                <w:sz w:val="20"/>
                <w:szCs w:val="20"/>
                <w:color w:val="auto"/>
              </w:rPr>
            </w:pPr>
            <w:r>
              <w:rPr>
                <w:rFonts w:ascii="Arial" w:cs="Arial" w:eastAsia="Arial" w:hAnsi="Arial"/>
                <w:sz w:val="16"/>
                <w:szCs w:val="16"/>
                <w:color w:val="auto"/>
              </w:rPr>
              <w:t>17,123</w:t>
            </w:r>
          </w:p>
        </w:tc>
        <w:tc>
          <w:tcPr>
            <w:tcW w:w="26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5,058,691</w:t>
            </w: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4" w:lineRule="exact"/>
              <w:rPr>
                <w:sz w:val="20"/>
                <w:szCs w:val="20"/>
                <w:color w:val="auto"/>
              </w:rPr>
            </w:pPr>
            <w:r>
              <w:rPr>
                <w:rFonts w:ascii="Arial" w:cs="Arial" w:eastAsia="Arial" w:hAnsi="Arial"/>
                <w:sz w:val="16"/>
                <w:szCs w:val="16"/>
                <w:color w:val="auto"/>
              </w:rPr>
              <w:t>President and Chief Executive Officer</w:t>
            </w:r>
          </w:p>
        </w:tc>
        <w:tc>
          <w:tcPr>
            <w:tcW w:w="7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2020</w:t>
            </w: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632,500</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223"/>
              <w:spacing w:after="0"/>
              <w:rPr>
                <w:sz w:val="20"/>
                <w:szCs w:val="20"/>
                <w:color w:val="auto"/>
              </w:rPr>
            </w:pPr>
            <w:r>
              <w:rPr>
                <w:rFonts w:ascii="Arial" w:cs="Arial" w:eastAsia="Arial" w:hAnsi="Arial"/>
                <w:sz w:val="16"/>
                <w:szCs w:val="16"/>
                <w:color w:val="auto"/>
              </w:rPr>
              <w:t>1,256,255</w:t>
            </w:r>
          </w:p>
        </w:tc>
        <w:tc>
          <w:tcPr>
            <w:tcW w:w="4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6"/>
                <w:szCs w:val="16"/>
                <w:color w:val="auto"/>
              </w:rPr>
              <w:t>1,064,725</w:t>
            </w:r>
          </w:p>
        </w:tc>
        <w:tc>
          <w:tcPr>
            <w:tcW w:w="4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6"/>
                <w:szCs w:val="16"/>
                <w:color w:val="auto"/>
              </w:rPr>
              <w:t>16,595</w:t>
            </w:r>
          </w:p>
        </w:tc>
        <w:tc>
          <w:tcPr>
            <w:tcW w:w="260" w:type="dxa"/>
            <w:vAlign w:val="bottom"/>
            <w:tcBorders>
              <w:top w:val="single" w:sz="8" w:color="auto"/>
            </w:tcBorders>
            <w:shd w:val="clear" w:color="auto" w:fill="E8EEF7"/>
          </w:tcPr>
          <w:p>
            <w:pPr>
              <w:spacing w:after="0"/>
              <w:rPr>
                <w:sz w:val="13"/>
                <w:szCs w:val="13"/>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2,970,075</w:t>
            </w:r>
          </w:p>
        </w:tc>
        <w:tc>
          <w:tcPr>
            <w:tcW w:w="0" w:type="dxa"/>
            <w:vAlign w:val="bottom"/>
          </w:tcPr>
          <w:p>
            <w:pPr>
              <w:spacing w:after="0"/>
              <w:rPr>
                <w:sz w:val="1"/>
                <w:szCs w:val="1"/>
                <w:color w:val="auto"/>
              </w:rPr>
            </w:pPr>
          </w:p>
        </w:tc>
      </w:tr>
      <w:tr>
        <w:trPr>
          <w:trHeight w:val="83"/>
        </w:trPr>
        <w:tc>
          <w:tcPr>
            <w:tcW w:w="28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bottom w:val="single" w:sz="8" w:color="E8EEF7"/>
            </w:tcBorders>
            <w:shd w:val="clear" w:color="auto" w:fill="E8EEF7"/>
          </w:tcPr>
          <w:p>
            <w:pPr>
              <w:spacing w:after="0"/>
              <w:rPr>
                <w:sz w:val="7"/>
                <w:szCs w:val="7"/>
                <w:color w:val="auto"/>
              </w:rPr>
            </w:pPr>
          </w:p>
        </w:tc>
        <w:tc>
          <w:tcPr>
            <w:tcW w:w="1080" w:type="dxa"/>
            <w:vAlign w:val="bottom"/>
            <w:tcBorders>
              <w:bottom w:val="single" w:sz="8" w:color="E8EEF7"/>
            </w:tcBorders>
            <w:vMerge w:val="continue"/>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7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2019</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681,154</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23"/>
              <w:spacing w:after="0"/>
              <w:rPr>
                <w:sz w:val="20"/>
                <w:szCs w:val="20"/>
                <w:color w:val="auto"/>
              </w:rPr>
            </w:pPr>
            <w:r>
              <w:rPr>
                <w:rFonts w:ascii="Arial" w:cs="Arial" w:eastAsia="Arial" w:hAnsi="Arial"/>
                <w:sz w:val="16"/>
                <w:szCs w:val="16"/>
                <w:color w:val="auto"/>
              </w:rPr>
              <w:t>2,901,128</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rPr>
              <w:t>764,745</w:t>
            </w: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22"/>
              <w:spacing w:after="0"/>
              <w:rPr>
                <w:sz w:val="20"/>
                <w:szCs w:val="20"/>
                <w:color w:val="auto"/>
              </w:rPr>
            </w:pPr>
            <w:r>
              <w:rPr>
                <w:rFonts w:ascii="Arial" w:cs="Arial" w:eastAsia="Arial" w:hAnsi="Arial"/>
                <w:sz w:val="16"/>
                <w:szCs w:val="16"/>
                <w:color w:val="auto"/>
              </w:rPr>
              <w:t>49,855</w:t>
            </w:r>
          </w:p>
        </w:tc>
        <w:tc>
          <w:tcPr>
            <w:tcW w:w="260" w:type="dxa"/>
            <w:vAlign w:val="bottom"/>
            <w:tcBorders>
              <w:top w:val="single" w:sz="8" w:color="auto"/>
            </w:tcBorders>
            <w:shd w:val="clear" w:color="auto" w:fill="E8EEF7"/>
          </w:tcPr>
          <w:p>
            <w:pPr>
              <w:spacing w:after="0"/>
              <w:rPr>
                <w:sz w:val="18"/>
                <w:szCs w:val="18"/>
                <w:color w:val="auto"/>
              </w:rPr>
            </w:pPr>
          </w:p>
        </w:tc>
        <w:tc>
          <w:tcPr>
            <w:tcW w:w="108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4,396,882</w:t>
            </w:r>
          </w:p>
        </w:tc>
        <w:tc>
          <w:tcPr>
            <w:tcW w:w="0" w:type="dxa"/>
            <w:vAlign w:val="bottom"/>
          </w:tcPr>
          <w:p>
            <w:pPr>
              <w:spacing w:after="0"/>
              <w:rPr>
                <w:sz w:val="1"/>
                <w:szCs w:val="1"/>
                <w:color w:val="auto"/>
              </w:rPr>
            </w:pPr>
          </w:p>
        </w:tc>
      </w:tr>
      <w:tr>
        <w:trPr>
          <w:trHeight w:val="285"/>
        </w:trPr>
        <w:tc>
          <w:tcPr>
            <w:tcW w:w="2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shd w:val="clear" w:color="auto" w:fill="E8EEF7"/>
          </w:tcPr>
          <w:p>
            <w:pPr>
              <w:spacing w:after="0"/>
              <w:rPr>
                <w:sz w:val="24"/>
                <w:szCs w:val="24"/>
                <w:color w:val="auto"/>
              </w:rPr>
            </w:pPr>
          </w:p>
        </w:tc>
        <w:tc>
          <w:tcPr>
            <w:tcW w:w="1080" w:type="dxa"/>
            <w:vAlign w:val="bottom"/>
            <w:tcBorders>
              <w:bottom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line="182" w:lineRule="exact"/>
              <w:rPr>
                <w:sz w:val="20"/>
                <w:szCs w:val="20"/>
                <w:color w:val="auto"/>
              </w:rPr>
            </w:pPr>
            <w:r>
              <w:rPr>
                <w:rFonts w:ascii="Arial" w:cs="Arial" w:eastAsia="Arial" w:hAnsi="Arial"/>
                <w:sz w:val="16"/>
                <w:szCs w:val="16"/>
                <w:b w:val="1"/>
                <w:bCs w:val="1"/>
                <w:color w:val="006DB6"/>
              </w:rPr>
              <w:t>Carolyn J. Stone</w:t>
            </w:r>
          </w:p>
        </w:tc>
        <w:tc>
          <w:tcPr>
            <w:tcW w:w="720" w:type="dxa"/>
            <w:vAlign w:val="bottom"/>
          </w:tcPr>
          <w:p>
            <w:pPr>
              <w:jc w:val="right"/>
              <w:ind w:right="120"/>
              <w:spacing w:after="0" w:line="182" w:lineRule="exact"/>
              <w:rPr>
                <w:sz w:val="20"/>
                <w:szCs w:val="20"/>
                <w:color w:val="auto"/>
              </w:rPr>
            </w:pPr>
            <w:r>
              <w:rPr>
                <w:rFonts w:ascii="Arial" w:cs="Arial" w:eastAsia="Arial" w:hAnsi="Arial"/>
                <w:sz w:val="16"/>
                <w:szCs w:val="16"/>
                <w:color w:val="auto"/>
              </w:rPr>
              <w:t>2021</w:t>
            </w:r>
          </w:p>
        </w:tc>
        <w:tc>
          <w:tcPr>
            <w:tcW w:w="440" w:type="dxa"/>
            <w:vAlign w:val="bottom"/>
          </w:tcPr>
          <w:p>
            <w:pPr>
              <w:jc w:val="right"/>
              <w:ind w:right="79"/>
              <w:spacing w:after="0" w:line="182"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line="182" w:lineRule="exact"/>
              <w:rPr>
                <w:sz w:val="20"/>
                <w:szCs w:val="20"/>
                <w:color w:val="auto"/>
              </w:rPr>
            </w:pPr>
            <w:r>
              <w:rPr>
                <w:rFonts w:ascii="Arial" w:cs="Arial" w:eastAsia="Arial" w:hAnsi="Arial"/>
                <w:sz w:val="16"/>
                <w:szCs w:val="16"/>
                <w:color w:val="auto"/>
              </w:rPr>
              <w:t>372,308</w:t>
            </w:r>
          </w:p>
        </w:tc>
        <w:tc>
          <w:tcPr>
            <w:tcW w:w="380" w:type="dxa"/>
            <w:vAlign w:val="bottom"/>
          </w:tcPr>
          <w:p>
            <w:pPr>
              <w:jc w:val="right"/>
              <w:ind w:right="79"/>
              <w:spacing w:after="0" w:line="182"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223"/>
              <w:spacing w:after="0" w:line="182" w:lineRule="exact"/>
              <w:rPr>
                <w:sz w:val="20"/>
                <w:szCs w:val="20"/>
                <w:color w:val="auto"/>
              </w:rPr>
            </w:pPr>
            <w:r>
              <w:rPr>
                <w:rFonts w:ascii="Arial" w:cs="Arial" w:eastAsia="Arial" w:hAnsi="Arial"/>
                <w:sz w:val="16"/>
                <w:szCs w:val="16"/>
                <w:color w:val="auto"/>
              </w:rPr>
              <w:t>671,624</w:t>
            </w:r>
          </w:p>
        </w:tc>
        <w:tc>
          <w:tcPr>
            <w:tcW w:w="420" w:type="dxa"/>
            <w:vAlign w:val="bottom"/>
          </w:tcPr>
          <w:p>
            <w:pPr>
              <w:jc w:val="right"/>
              <w:ind w:right="22"/>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82"/>
              <w:spacing w:after="0" w:line="182" w:lineRule="exact"/>
              <w:rPr>
                <w:sz w:val="20"/>
                <w:szCs w:val="20"/>
                <w:color w:val="auto"/>
              </w:rPr>
            </w:pPr>
            <w:r>
              <w:rPr>
                <w:rFonts w:ascii="Arial" w:cs="Arial" w:eastAsia="Arial" w:hAnsi="Arial"/>
                <w:sz w:val="16"/>
                <w:szCs w:val="16"/>
                <w:color w:val="auto"/>
              </w:rPr>
              <w:t>434,193</w:t>
            </w:r>
          </w:p>
        </w:tc>
        <w:tc>
          <w:tcPr>
            <w:tcW w:w="440" w:type="dxa"/>
            <w:vAlign w:val="bottom"/>
          </w:tcPr>
          <w:p>
            <w:pPr>
              <w:ind w:left="200"/>
              <w:spacing w:after="0" w:line="182" w:lineRule="exact"/>
              <w:rPr>
                <w:sz w:val="20"/>
                <w:szCs w:val="20"/>
                <w:color w:val="auto"/>
              </w:rPr>
            </w:pPr>
            <w:r>
              <w:rPr>
                <w:rFonts w:ascii="Arial" w:cs="Arial" w:eastAsia="Arial" w:hAnsi="Arial"/>
                <w:sz w:val="16"/>
                <w:szCs w:val="16"/>
                <w:color w:val="auto"/>
              </w:rPr>
              <w:t>$</w:t>
            </w:r>
          </w:p>
        </w:tc>
        <w:tc>
          <w:tcPr>
            <w:tcW w:w="1000" w:type="dxa"/>
            <w:vAlign w:val="bottom"/>
          </w:tcPr>
          <w:p>
            <w:pPr>
              <w:jc w:val="center"/>
              <w:ind w:right="22"/>
              <w:spacing w:after="0" w:line="182" w:lineRule="exact"/>
              <w:rPr>
                <w:sz w:val="20"/>
                <w:szCs w:val="20"/>
                <w:color w:val="auto"/>
              </w:rPr>
            </w:pPr>
            <w:r>
              <w:rPr>
                <w:rFonts w:ascii="Arial" w:cs="Arial" w:eastAsia="Arial" w:hAnsi="Arial"/>
                <w:sz w:val="16"/>
                <w:szCs w:val="16"/>
                <w:color w:val="auto"/>
              </w:rPr>
              <w:t>15,872</w:t>
            </w:r>
          </w:p>
        </w:tc>
        <w:tc>
          <w:tcPr>
            <w:tcW w:w="260" w:type="dxa"/>
            <w:vAlign w:val="bottom"/>
            <w:tcBorders>
              <w:bottom w:val="single" w:sz="8" w:color="E8EEF7"/>
            </w:tcBorders>
            <w:shd w:val="clear" w:color="auto" w:fill="E8EEF7"/>
          </w:tcPr>
          <w:p>
            <w:pPr>
              <w:jc w:val="right"/>
              <w:spacing w:after="0" w:line="182"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E8EEF7"/>
            </w:tcBorders>
            <w:shd w:val="clear" w:color="auto" w:fill="E8EEF7"/>
          </w:tcPr>
          <w:p>
            <w:pPr>
              <w:jc w:val="right"/>
              <w:spacing w:after="0" w:line="182" w:lineRule="exact"/>
              <w:rPr>
                <w:sz w:val="20"/>
                <w:szCs w:val="20"/>
                <w:color w:val="auto"/>
              </w:rPr>
            </w:pPr>
            <w:r>
              <w:rPr>
                <w:rFonts w:ascii="Arial" w:cs="Arial" w:eastAsia="Arial" w:hAnsi="Arial"/>
                <w:sz w:val="16"/>
                <w:szCs w:val="16"/>
                <w:color w:val="auto"/>
              </w:rPr>
              <w:t>1,493,997</w:t>
            </w:r>
          </w:p>
        </w:tc>
        <w:tc>
          <w:tcPr>
            <w:tcW w:w="0" w:type="dxa"/>
            <w:vAlign w:val="bottom"/>
          </w:tcPr>
          <w:p>
            <w:pPr>
              <w:spacing w:after="0"/>
              <w:rPr>
                <w:sz w:val="1"/>
                <w:szCs w:val="1"/>
                <w:color w:val="auto"/>
              </w:rPr>
            </w:pPr>
          </w:p>
        </w:tc>
      </w:tr>
      <w:tr>
        <w:trPr>
          <w:trHeight w:val="114"/>
        </w:trPr>
        <w:tc>
          <w:tcPr>
            <w:tcW w:w="2860" w:type="dxa"/>
            <w:vAlign w:val="bottom"/>
          </w:tcPr>
          <w:p>
            <w:pPr>
              <w:ind w:left="20"/>
              <w:spacing w:after="0" w:line="114" w:lineRule="exact"/>
              <w:rPr>
                <w:sz w:val="20"/>
                <w:szCs w:val="20"/>
                <w:color w:val="auto"/>
              </w:rPr>
            </w:pPr>
            <w:r>
              <w:rPr>
                <w:rFonts w:ascii="Arial" w:cs="Arial" w:eastAsia="Arial" w:hAnsi="Arial"/>
                <w:sz w:val="13"/>
                <w:szCs w:val="13"/>
                <w:color w:val="auto"/>
              </w:rPr>
              <w:t>Senior Vice President, Chief Financial</w:t>
            </w:r>
          </w:p>
        </w:tc>
        <w:tc>
          <w:tcPr>
            <w:tcW w:w="7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2020</w:t>
            </w:r>
          </w:p>
        </w:tc>
        <w:tc>
          <w:tcPr>
            <w:tcW w:w="4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323,392</w:t>
            </w:r>
          </w:p>
        </w:tc>
        <w:tc>
          <w:tcPr>
            <w:tcW w:w="3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vMerge w:val="restart"/>
          </w:tcPr>
          <w:p>
            <w:pPr>
              <w:jc w:val="right"/>
              <w:ind w:right="223"/>
              <w:spacing w:after="0"/>
              <w:rPr>
                <w:sz w:val="20"/>
                <w:szCs w:val="20"/>
                <w:color w:val="auto"/>
              </w:rPr>
            </w:pPr>
            <w:r>
              <w:rPr>
                <w:rFonts w:ascii="Arial" w:cs="Arial" w:eastAsia="Arial" w:hAnsi="Arial"/>
                <w:sz w:val="16"/>
                <w:szCs w:val="16"/>
                <w:color w:val="auto"/>
              </w:rPr>
              <w:t>255,008</w:t>
            </w:r>
          </w:p>
        </w:tc>
        <w:tc>
          <w:tcPr>
            <w:tcW w:w="4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6"/>
                <w:szCs w:val="16"/>
                <w:color w:val="auto"/>
              </w:rPr>
              <w:t>326,631</w:t>
            </w:r>
          </w:p>
        </w:tc>
        <w:tc>
          <w:tcPr>
            <w:tcW w:w="4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6"/>
                <w:szCs w:val="16"/>
                <w:color w:val="auto"/>
              </w:rPr>
              <w:t>12,164</w:t>
            </w:r>
          </w:p>
        </w:tc>
        <w:tc>
          <w:tcPr>
            <w:tcW w:w="260" w:type="dxa"/>
            <w:vAlign w:val="bottom"/>
            <w:tcBorders>
              <w:top w:val="single" w:sz="8" w:color="auto"/>
            </w:tcBorders>
            <w:shd w:val="clear" w:color="auto" w:fill="E8EEF7"/>
          </w:tcPr>
          <w:p>
            <w:pPr>
              <w:spacing w:after="0"/>
              <w:rPr>
                <w:sz w:val="9"/>
                <w:szCs w:val="9"/>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917,195</w:t>
            </w:r>
          </w:p>
        </w:tc>
        <w:tc>
          <w:tcPr>
            <w:tcW w:w="0" w:type="dxa"/>
            <w:vAlign w:val="bottom"/>
          </w:tcPr>
          <w:p>
            <w:pPr>
              <w:spacing w:after="0"/>
              <w:rPr>
                <w:sz w:val="1"/>
                <w:szCs w:val="1"/>
                <w:color w:val="auto"/>
              </w:rPr>
            </w:pPr>
          </w:p>
        </w:tc>
      </w:tr>
      <w:tr>
        <w:trPr>
          <w:trHeight w:val="122"/>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Officer and Treasurer</w:t>
            </w:r>
          </w:p>
        </w:tc>
        <w:tc>
          <w:tcPr>
            <w:tcW w:w="7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60" w:type="dxa"/>
            <w:vAlign w:val="bottom"/>
            <w:tcBorders>
              <w:bottom w:val="single" w:sz="8" w:color="E8EEF7"/>
            </w:tcBorders>
            <w:shd w:val="clear" w:color="auto" w:fill="E8EEF7"/>
          </w:tcPr>
          <w:p>
            <w:pPr>
              <w:spacing w:after="0"/>
              <w:rPr>
                <w:sz w:val="10"/>
                <w:szCs w:val="10"/>
                <w:color w:val="auto"/>
              </w:rPr>
            </w:pPr>
          </w:p>
        </w:tc>
        <w:tc>
          <w:tcPr>
            <w:tcW w:w="1080" w:type="dxa"/>
            <w:vAlign w:val="bottom"/>
            <w:tcBorders>
              <w:bottom w:val="single" w:sz="8" w:color="E8EEF7"/>
            </w:tcBorders>
            <w:vMerge w:val="continue"/>
            <w:shd w:val="clear" w:color="auto" w:fill="E8EEF7"/>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60" w:type="dxa"/>
            <w:vAlign w:val="bottom"/>
            <w:vMerge w:val="continue"/>
          </w:tcPr>
          <w:p>
            <w:pPr>
              <w:spacing w:after="0"/>
              <w:rPr>
                <w:sz w:val="6"/>
                <w:szCs w:val="6"/>
                <w:color w:val="auto"/>
              </w:rPr>
            </w:pPr>
          </w:p>
        </w:tc>
        <w:tc>
          <w:tcPr>
            <w:tcW w:w="7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2019</w:t>
            </w:r>
          </w:p>
        </w:tc>
        <w:tc>
          <w:tcPr>
            <w:tcW w:w="4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285,125</w:t>
            </w:r>
          </w:p>
        </w:tc>
        <w:tc>
          <w:tcPr>
            <w:tcW w:w="3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223"/>
              <w:spacing w:after="0"/>
              <w:rPr>
                <w:sz w:val="20"/>
                <w:szCs w:val="20"/>
                <w:color w:val="auto"/>
              </w:rPr>
            </w:pPr>
            <w:r>
              <w:rPr>
                <w:rFonts w:ascii="Arial" w:cs="Arial" w:eastAsia="Arial" w:hAnsi="Arial"/>
                <w:sz w:val="16"/>
                <w:szCs w:val="16"/>
                <w:color w:val="auto"/>
              </w:rPr>
              <w:t>519,605</w:t>
            </w:r>
          </w:p>
        </w:tc>
        <w:tc>
          <w:tcPr>
            <w:tcW w:w="4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6"/>
                <w:szCs w:val="16"/>
                <w:color w:val="auto"/>
              </w:rPr>
              <w:t>164,191</w:t>
            </w:r>
          </w:p>
        </w:tc>
        <w:tc>
          <w:tcPr>
            <w:tcW w:w="44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6"/>
                <w:szCs w:val="16"/>
                <w:color w:val="auto"/>
              </w:rPr>
              <w:t>15,161</w:t>
            </w:r>
          </w:p>
        </w:tc>
        <w:tc>
          <w:tcPr>
            <w:tcW w:w="260" w:type="dxa"/>
            <w:vAlign w:val="bottom"/>
            <w:tcBorders>
              <w:top w:val="single" w:sz="8" w:color="auto"/>
            </w:tcBorders>
            <w:shd w:val="clear" w:color="auto" w:fill="E8EEF7"/>
          </w:tcPr>
          <w:p>
            <w:pPr>
              <w:spacing w:after="0"/>
              <w:rPr>
                <w:sz w:val="6"/>
                <w:szCs w:val="6"/>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984,082</w:t>
            </w: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shd w:val="clear" w:color="auto" w:fill="E8EEF7"/>
          </w:tcPr>
          <w:p>
            <w:pPr>
              <w:spacing w:after="0"/>
              <w:rPr>
                <w:sz w:val="11"/>
                <w:szCs w:val="11"/>
                <w:color w:val="auto"/>
              </w:rPr>
            </w:pPr>
          </w:p>
        </w:tc>
        <w:tc>
          <w:tcPr>
            <w:tcW w:w="1080" w:type="dxa"/>
            <w:vAlign w:val="bottom"/>
            <w:vMerge w:val="continue"/>
            <w:shd w:val="clear" w:color="auto" w:fill="E8EEF7"/>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shd w:val="clear" w:color="auto" w:fill="E8EEF7"/>
          </w:tcPr>
          <w:p>
            <w:pPr>
              <w:spacing w:after="0"/>
              <w:rPr>
                <w:sz w:val="24"/>
                <w:szCs w:val="24"/>
                <w:color w:val="auto"/>
              </w:rPr>
            </w:pPr>
          </w:p>
        </w:tc>
        <w:tc>
          <w:tcPr>
            <w:tcW w:w="1080" w:type="dxa"/>
            <w:vAlign w:val="bottom"/>
            <w:tcBorders>
              <w:bottom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Peter L. McCann</w:t>
            </w:r>
            <w:r>
              <w:rPr>
                <w:rFonts w:ascii="Arial" w:cs="Arial" w:eastAsia="Arial" w:hAnsi="Arial"/>
                <w:sz w:val="21"/>
                <w:szCs w:val="21"/>
                <w:b w:val="1"/>
                <w:bCs w:val="1"/>
                <w:color w:val="006DB6"/>
                <w:vertAlign w:val="superscript"/>
              </w:rPr>
              <w:t>(2)</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2021</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336,097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3"/>
              <w:spacing w:after="0"/>
              <w:rPr>
                <w:sz w:val="20"/>
                <w:szCs w:val="20"/>
                <w:color w:val="auto"/>
              </w:rPr>
            </w:pPr>
            <w:r>
              <w:rPr>
                <w:rFonts w:ascii="Arial" w:cs="Arial" w:eastAsia="Arial" w:hAnsi="Arial"/>
                <w:sz w:val="16"/>
                <w:szCs w:val="16"/>
                <w:color w:val="auto"/>
              </w:rPr>
              <w:t>523,179</w:t>
            </w: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239,920</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22"/>
              <w:spacing w:after="0"/>
              <w:rPr>
                <w:sz w:val="20"/>
                <w:szCs w:val="20"/>
                <w:color w:val="auto"/>
              </w:rPr>
            </w:pPr>
            <w:r>
              <w:rPr>
                <w:rFonts w:ascii="Arial" w:cs="Arial" w:eastAsia="Arial" w:hAnsi="Arial"/>
                <w:sz w:val="16"/>
                <w:szCs w:val="16"/>
                <w:color w:val="auto"/>
              </w:rPr>
              <w:t>17,053</w:t>
            </w:r>
          </w:p>
        </w:tc>
        <w:tc>
          <w:tcPr>
            <w:tcW w:w="26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1,116,249</w:t>
            </w: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4" w:lineRule="exact"/>
              <w:rPr>
                <w:sz w:val="20"/>
                <w:szCs w:val="20"/>
                <w:color w:val="auto"/>
              </w:rPr>
            </w:pPr>
            <w:r>
              <w:rPr>
                <w:rFonts w:ascii="Arial" w:cs="Arial" w:eastAsia="Arial" w:hAnsi="Arial"/>
                <w:sz w:val="16"/>
                <w:szCs w:val="16"/>
                <w:color w:val="auto"/>
              </w:rPr>
              <w:t>Senior Vice President, Australia</w:t>
            </w:r>
          </w:p>
        </w:tc>
        <w:tc>
          <w:tcPr>
            <w:tcW w:w="7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2020</w:t>
            </w: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298,419</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223"/>
              <w:spacing w:after="0"/>
              <w:rPr>
                <w:sz w:val="20"/>
                <w:szCs w:val="20"/>
                <w:color w:val="auto"/>
              </w:rPr>
            </w:pPr>
            <w:r>
              <w:rPr>
                <w:rFonts w:ascii="Arial" w:cs="Arial" w:eastAsia="Arial" w:hAnsi="Arial"/>
                <w:sz w:val="16"/>
                <w:szCs w:val="16"/>
                <w:color w:val="auto"/>
              </w:rPr>
              <w:t>178,137</w:t>
            </w:r>
          </w:p>
        </w:tc>
        <w:tc>
          <w:tcPr>
            <w:tcW w:w="4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6"/>
                <w:szCs w:val="16"/>
                <w:color w:val="auto"/>
              </w:rPr>
              <w:t>357,451</w:t>
            </w:r>
          </w:p>
        </w:tc>
        <w:tc>
          <w:tcPr>
            <w:tcW w:w="4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6"/>
                <w:szCs w:val="16"/>
                <w:color w:val="auto"/>
              </w:rPr>
              <w:t>14,743</w:t>
            </w:r>
          </w:p>
        </w:tc>
        <w:tc>
          <w:tcPr>
            <w:tcW w:w="260" w:type="dxa"/>
            <w:vAlign w:val="bottom"/>
            <w:tcBorders>
              <w:top w:val="single" w:sz="8" w:color="auto"/>
            </w:tcBorders>
            <w:shd w:val="clear" w:color="auto" w:fill="E8EEF7"/>
          </w:tcPr>
          <w:p>
            <w:pPr>
              <w:spacing w:after="0"/>
              <w:rPr>
                <w:sz w:val="13"/>
                <w:szCs w:val="13"/>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848,750</w:t>
            </w:r>
          </w:p>
        </w:tc>
        <w:tc>
          <w:tcPr>
            <w:tcW w:w="0" w:type="dxa"/>
            <w:vAlign w:val="bottom"/>
          </w:tcPr>
          <w:p>
            <w:pPr>
              <w:spacing w:after="0"/>
              <w:rPr>
                <w:sz w:val="1"/>
                <w:szCs w:val="1"/>
                <w:color w:val="auto"/>
              </w:rPr>
            </w:pPr>
          </w:p>
        </w:tc>
      </w:tr>
      <w:tr>
        <w:trPr>
          <w:trHeight w:val="83"/>
        </w:trPr>
        <w:tc>
          <w:tcPr>
            <w:tcW w:w="28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bottom w:val="single" w:sz="8" w:color="E8EEF7"/>
            </w:tcBorders>
            <w:shd w:val="clear" w:color="auto" w:fill="E8EEF7"/>
          </w:tcPr>
          <w:p>
            <w:pPr>
              <w:spacing w:after="0"/>
              <w:rPr>
                <w:sz w:val="7"/>
                <w:szCs w:val="7"/>
                <w:color w:val="auto"/>
              </w:rPr>
            </w:pPr>
          </w:p>
        </w:tc>
        <w:tc>
          <w:tcPr>
            <w:tcW w:w="1080" w:type="dxa"/>
            <w:vAlign w:val="bottom"/>
            <w:tcBorders>
              <w:bottom w:val="single" w:sz="8" w:color="E8EEF7"/>
            </w:tcBorders>
            <w:vMerge w:val="continue"/>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7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2019</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292,068</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23"/>
              <w:spacing w:after="0"/>
              <w:rPr>
                <w:sz w:val="20"/>
                <w:szCs w:val="20"/>
                <w:color w:val="auto"/>
              </w:rPr>
            </w:pPr>
            <w:r>
              <w:rPr>
                <w:rFonts w:ascii="Arial" w:cs="Arial" w:eastAsia="Arial" w:hAnsi="Arial"/>
                <w:sz w:val="16"/>
                <w:szCs w:val="16"/>
                <w:color w:val="auto"/>
              </w:rPr>
              <w:t>464,464</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rPr>
              <w:t>237,684</w:t>
            </w: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22"/>
              <w:spacing w:after="0"/>
              <w:rPr>
                <w:sz w:val="20"/>
                <w:szCs w:val="20"/>
                <w:color w:val="auto"/>
              </w:rPr>
            </w:pPr>
            <w:r>
              <w:rPr>
                <w:rFonts w:ascii="Arial" w:cs="Arial" w:eastAsia="Arial" w:hAnsi="Arial"/>
                <w:sz w:val="16"/>
                <w:szCs w:val="16"/>
                <w:color w:val="auto"/>
              </w:rPr>
              <w:t>15,177</w:t>
            </w:r>
          </w:p>
        </w:tc>
        <w:tc>
          <w:tcPr>
            <w:tcW w:w="260" w:type="dxa"/>
            <w:vAlign w:val="bottom"/>
            <w:tcBorders>
              <w:top w:val="single" w:sz="8" w:color="auto"/>
            </w:tcBorders>
            <w:shd w:val="clear" w:color="auto" w:fill="E8EEF7"/>
          </w:tcPr>
          <w:p>
            <w:pPr>
              <w:spacing w:after="0"/>
              <w:rPr>
                <w:sz w:val="18"/>
                <w:szCs w:val="18"/>
                <w:color w:val="auto"/>
              </w:rPr>
            </w:pPr>
          </w:p>
        </w:tc>
        <w:tc>
          <w:tcPr>
            <w:tcW w:w="108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1,009,393</w:t>
            </w:r>
          </w:p>
        </w:tc>
        <w:tc>
          <w:tcPr>
            <w:tcW w:w="0" w:type="dxa"/>
            <w:vAlign w:val="bottom"/>
          </w:tcPr>
          <w:p>
            <w:pPr>
              <w:spacing w:after="0"/>
              <w:rPr>
                <w:sz w:val="1"/>
                <w:szCs w:val="1"/>
                <w:color w:val="auto"/>
              </w:rPr>
            </w:pPr>
          </w:p>
        </w:tc>
      </w:tr>
      <w:tr>
        <w:trPr>
          <w:trHeight w:val="285"/>
        </w:trPr>
        <w:tc>
          <w:tcPr>
            <w:tcW w:w="2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shd w:val="clear" w:color="auto" w:fill="E8EEF7"/>
          </w:tcPr>
          <w:p>
            <w:pPr>
              <w:spacing w:after="0"/>
              <w:rPr>
                <w:sz w:val="24"/>
                <w:szCs w:val="24"/>
                <w:color w:val="auto"/>
              </w:rPr>
            </w:pPr>
          </w:p>
        </w:tc>
        <w:tc>
          <w:tcPr>
            <w:tcW w:w="1080" w:type="dxa"/>
            <w:vAlign w:val="bottom"/>
            <w:tcBorders>
              <w:bottom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Allan D. Schoening</w:t>
            </w:r>
            <w:r>
              <w:rPr>
                <w:rFonts w:ascii="Arial" w:cs="Arial" w:eastAsia="Arial" w:hAnsi="Arial"/>
                <w:sz w:val="21"/>
                <w:szCs w:val="21"/>
                <w:b w:val="1"/>
                <w:bCs w:val="1"/>
                <w:color w:val="006DB6"/>
                <w:vertAlign w:val="superscript"/>
              </w:rPr>
              <w:t>(3)</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2021</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402,275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3"/>
              <w:spacing w:after="0"/>
              <w:rPr>
                <w:sz w:val="20"/>
                <w:szCs w:val="20"/>
                <w:color w:val="auto"/>
              </w:rPr>
            </w:pPr>
            <w:r>
              <w:rPr>
                <w:rFonts w:ascii="Arial" w:cs="Arial" w:eastAsia="Arial" w:hAnsi="Arial"/>
                <w:sz w:val="16"/>
                <w:szCs w:val="16"/>
                <w:color w:val="auto"/>
              </w:rPr>
              <w:t>714,485</w:t>
            </w: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496,049</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22"/>
              <w:spacing w:after="0"/>
              <w:rPr>
                <w:sz w:val="20"/>
                <w:szCs w:val="20"/>
                <w:color w:val="auto"/>
              </w:rPr>
            </w:pPr>
            <w:r>
              <w:rPr>
                <w:rFonts w:ascii="Arial" w:cs="Arial" w:eastAsia="Arial" w:hAnsi="Arial"/>
                <w:sz w:val="16"/>
                <w:szCs w:val="16"/>
                <w:color w:val="auto"/>
              </w:rPr>
              <w:t>36,500</w:t>
            </w:r>
          </w:p>
        </w:tc>
        <w:tc>
          <w:tcPr>
            <w:tcW w:w="26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1,649,309</w:t>
            </w: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4" w:lineRule="exact"/>
              <w:rPr>
                <w:sz w:val="20"/>
                <w:szCs w:val="20"/>
                <w:color w:val="auto"/>
              </w:rPr>
            </w:pPr>
            <w:r>
              <w:rPr>
                <w:rFonts w:ascii="Arial" w:cs="Arial" w:eastAsia="Arial" w:hAnsi="Arial"/>
                <w:sz w:val="16"/>
                <w:szCs w:val="16"/>
                <w:color w:val="auto"/>
              </w:rPr>
              <w:t>Senior Vice President, Canada</w:t>
            </w:r>
          </w:p>
        </w:tc>
        <w:tc>
          <w:tcPr>
            <w:tcW w:w="7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2020</w:t>
            </w: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337,177</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223"/>
              <w:spacing w:after="0"/>
              <w:rPr>
                <w:sz w:val="20"/>
                <w:szCs w:val="20"/>
                <w:color w:val="auto"/>
              </w:rPr>
            </w:pPr>
            <w:r>
              <w:rPr>
                <w:rFonts w:ascii="Arial" w:cs="Arial" w:eastAsia="Arial" w:hAnsi="Arial"/>
                <w:sz w:val="16"/>
                <w:szCs w:val="16"/>
                <w:color w:val="auto"/>
              </w:rPr>
              <w:t>268,076</w:t>
            </w:r>
          </w:p>
        </w:tc>
        <w:tc>
          <w:tcPr>
            <w:tcW w:w="4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6"/>
                <w:szCs w:val="16"/>
                <w:color w:val="auto"/>
              </w:rPr>
              <w:t>306,542</w:t>
            </w:r>
          </w:p>
        </w:tc>
        <w:tc>
          <w:tcPr>
            <w:tcW w:w="4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6"/>
                <w:szCs w:val="16"/>
                <w:color w:val="auto"/>
              </w:rPr>
              <w:t>29,825</w:t>
            </w:r>
          </w:p>
        </w:tc>
        <w:tc>
          <w:tcPr>
            <w:tcW w:w="260" w:type="dxa"/>
            <w:vAlign w:val="bottom"/>
            <w:tcBorders>
              <w:top w:val="single" w:sz="8" w:color="auto"/>
            </w:tcBorders>
            <w:shd w:val="clear" w:color="auto" w:fill="E8EEF7"/>
          </w:tcPr>
          <w:p>
            <w:pPr>
              <w:spacing w:after="0"/>
              <w:rPr>
                <w:sz w:val="13"/>
                <w:szCs w:val="13"/>
                <w:color w:val="auto"/>
              </w:rPr>
            </w:pPr>
          </w:p>
        </w:tc>
        <w:tc>
          <w:tcPr>
            <w:tcW w:w="108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941,620</w:t>
            </w:r>
          </w:p>
        </w:tc>
        <w:tc>
          <w:tcPr>
            <w:tcW w:w="0" w:type="dxa"/>
            <w:vAlign w:val="bottom"/>
          </w:tcPr>
          <w:p>
            <w:pPr>
              <w:spacing w:after="0"/>
              <w:rPr>
                <w:sz w:val="1"/>
                <w:szCs w:val="1"/>
                <w:color w:val="auto"/>
              </w:rPr>
            </w:pPr>
          </w:p>
        </w:tc>
      </w:tr>
      <w:tr>
        <w:trPr>
          <w:trHeight w:val="83"/>
        </w:trPr>
        <w:tc>
          <w:tcPr>
            <w:tcW w:w="28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bottom w:val="single" w:sz="8" w:color="E8EEF7"/>
            </w:tcBorders>
            <w:shd w:val="clear" w:color="auto" w:fill="E8EEF7"/>
          </w:tcPr>
          <w:p>
            <w:pPr>
              <w:spacing w:after="0"/>
              <w:rPr>
                <w:sz w:val="7"/>
                <w:szCs w:val="7"/>
                <w:color w:val="auto"/>
              </w:rPr>
            </w:pPr>
          </w:p>
        </w:tc>
        <w:tc>
          <w:tcPr>
            <w:tcW w:w="1080" w:type="dxa"/>
            <w:vAlign w:val="bottom"/>
            <w:tcBorders>
              <w:bottom w:val="single" w:sz="8" w:color="E8EEF7"/>
            </w:tcBorders>
            <w:vMerge w:val="continue"/>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7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2019</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358,008</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23"/>
              <w:spacing w:after="0"/>
              <w:rPr>
                <w:sz w:val="20"/>
                <w:szCs w:val="20"/>
                <w:color w:val="auto"/>
              </w:rPr>
            </w:pPr>
            <w:r>
              <w:rPr>
                <w:rFonts w:ascii="Arial" w:cs="Arial" w:eastAsia="Arial" w:hAnsi="Arial"/>
                <w:sz w:val="16"/>
                <w:szCs w:val="16"/>
                <w:color w:val="auto"/>
              </w:rPr>
              <w:t>666,396</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rPr>
              <w:t>227,461</w:t>
            </w: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22"/>
              <w:spacing w:after="0"/>
              <w:rPr>
                <w:sz w:val="20"/>
                <w:szCs w:val="20"/>
                <w:color w:val="auto"/>
              </w:rPr>
            </w:pPr>
            <w:r>
              <w:rPr>
                <w:rFonts w:ascii="Arial" w:cs="Arial" w:eastAsia="Arial" w:hAnsi="Arial"/>
                <w:sz w:val="16"/>
                <w:szCs w:val="16"/>
                <w:color w:val="auto"/>
              </w:rPr>
              <w:t>20,731</w:t>
            </w:r>
          </w:p>
        </w:tc>
        <w:tc>
          <w:tcPr>
            <w:tcW w:w="260" w:type="dxa"/>
            <w:vAlign w:val="bottom"/>
            <w:tcBorders>
              <w:top w:val="single" w:sz="8" w:color="auto"/>
            </w:tcBorders>
            <w:shd w:val="clear" w:color="auto" w:fill="E8EEF7"/>
          </w:tcPr>
          <w:p>
            <w:pPr>
              <w:spacing w:after="0"/>
              <w:rPr>
                <w:sz w:val="18"/>
                <w:szCs w:val="18"/>
                <w:color w:val="auto"/>
              </w:rPr>
            </w:pPr>
          </w:p>
        </w:tc>
        <w:tc>
          <w:tcPr>
            <w:tcW w:w="108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1,272,596</w:t>
            </w:r>
          </w:p>
        </w:tc>
        <w:tc>
          <w:tcPr>
            <w:tcW w:w="0" w:type="dxa"/>
            <w:vAlign w:val="bottom"/>
          </w:tcPr>
          <w:p>
            <w:pPr>
              <w:spacing w:after="0"/>
              <w:rPr>
                <w:sz w:val="1"/>
                <w:szCs w:val="1"/>
                <w:color w:val="auto"/>
              </w:rPr>
            </w:pPr>
          </w:p>
        </w:tc>
      </w:tr>
      <w:tr>
        <w:trPr>
          <w:trHeight w:val="285"/>
        </w:trPr>
        <w:tc>
          <w:tcPr>
            <w:tcW w:w="2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shd w:val="clear" w:color="auto" w:fill="E8EEF7"/>
          </w:tcPr>
          <w:p>
            <w:pPr>
              <w:spacing w:after="0"/>
              <w:rPr>
                <w:sz w:val="24"/>
                <w:szCs w:val="24"/>
                <w:color w:val="auto"/>
              </w:rPr>
            </w:pPr>
          </w:p>
        </w:tc>
        <w:tc>
          <w:tcPr>
            <w:tcW w:w="1080" w:type="dxa"/>
            <w:vAlign w:val="bottom"/>
            <w:tcBorders>
              <w:bottom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60" w:hanging="252"/>
        <w:spacing w:after="0" w:line="236" w:lineRule="auto"/>
        <w:tabs>
          <w:tab w:leader="none" w:pos="264"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This column represents the dollar amounts, for years shown, of the aggregate grant date fair value of performance share, restricted stock award, restricted share unit, deferred share, and phantom share units,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See Note 19 to Civeo’s consolidated financial statements included in its Annual Report on Form 10-K for the year ended December 31, 2021 for additional detail regarding assumptions underlying the value of these awards. If the maximum performance level were achieved for the performance shares included in this column, the following amounts would have been included for Messrs. Dodson, McCann, Schoening and Ms. Stone, respectively in 2021, $3,031,498, $535,757, $731,655 and $687,745.</w:t>
      </w:r>
    </w:p>
    <w:p>
      <w:pPr>
        <w:spacing w:after="0" w:line="44" w:lineRule="exact"/>
        <w:rPr>
          <w:rFonts w:ascii="Arial" w:cs="Arial" w:eastAsia="Arial" w:hAnsi="Arial"/>
          <w:sz w:val="19"/>
          <w:szCs w:val="19"/>
          <w:color w:val="auto"/>
          <w:vertAlign w:val="superscript"/>
        </w:rPr>
      </w:pPr>
    </w:p>
    <w:p>
      <w:pPr>
        <w:ind w:left="260" w:right="220" w:hanging="252"/>
        <w:spacing w:after="0" w:line="222" w:lineRule="auto"/>
        <w:tabs>
          <w:tab w:leader="none" w:pos="264"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Compensation reported for Mr. McCann, other than share awards, was made in Australian dollars and is reflected in this table in U.S. dollars using the average exchange rate for each year. The U.S. dollar to Australian dollar average exchange rate for 2021, 2020, and 2019 was $0.7517, $0.6906, and $0.6954 respectively.</w:t>
      </w:r>
    </w:p>
    <w:p>
      <w:pPr>
        <w:spacing w:after="0" w:line="40" w:lineRule="exact"/>
        <w:rPr>
          <w:rFonts w:ascii="Arial" w:cs="Arial" w:eastAsia="Arial" w:hAnsi="Arial"/>
          <w:sz w:val="19"/>
          <w:szCs w:val="19"/>
          <w:color w:val="auto"/>
          <w:vertAlign w:val="superscript"/>
        </w:rPr>
      </w:pPr>
    </w:p>
    <w:p>
      <w:pPr>
        <w:ind w:left="260" w:right="100" w:hanging="252"/>
        <w:spacing w:after="0" w:line="285" w:lineRule="auto"/>
        <w:tabs>
          <w:tab w:leader="none" w:pos="264"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Compensation reported for Mr. Schoening, other than share awards, was made in Canadian dollars and is reflected in this table in U.S. dollars using the average exchange rate for each year. The U.S. dollar to Canadian dollar average exchange rate for 2021, 2020 and 2019 was $0.7979, $0.7463 and $0.7537 respectively.</w:t>
      </w:r>
    </w:p>
    <w:p>
      <w:pPr>
        <w:spacing w:after="0" w:line="22" w:lineRule="exact"/>
        <w:rPr>
          <w:rFonts w:ascii="Arial" w:cs="Arial" w:eastAsia="Arial" w:hAnsi="Arial"/>
          <w:sz w:val="9"/>
          <w:szCs w:val="9"/>
          <w:color w:val="auto"/>
        </w:rPr>
      </w:pPr>
    </w:p>
    <w:p>
      <w:pPr>
        <w:jc w:val="both"/>
        <w:ind w:left="260" w:right="60" w:hanging="252"/>
        <w:spacing w:after="0" w:line="228" w:lineRule="auto"/>
        <w:tabs>
          <w:tab w:leader="none" w:pos="264"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Amounts for “Non-Equity Incentive Plan Compensation” paid to each of the named executive officers were made pursuant to Civeo’s AICP and were paid in 2022, 2021 and 2020, respectively. For a description of Civeo’s plan, see “Compensation Discussion and Analysis—Compensation Program Components—Annual Incentive Compensation Plan.”</w:t>
      </w:r>
    </w:p>
    <w:p>
      <w:pPr>
        <w:spacing w:after="0" w:line="40" w:lineRule="exact"/>
        <w:rPr>
          <w:rFonts w:ascii="Arial" w:cs="Arial" w:eastAsia="Arial" w:hAnsi="Arial"/>
          <w:sz w:val="19"/>
          <w:szCs w:val="19"/>
          <w:color w:val="auto"/>
          <w:vertAlign w:val="superscript"/>
        </w:rPr>
      </w:pPr>
    </w:p>
    <w:p>
      <w:pPr>
        <w:ind w:left="260" w:right="580" w:hanging="252"/>
        <w:spacing w:after="0" w:line="229" w:lineRule="auto"/>
        <w:tabs>
          <w:tab w:leader="none" w:pos="155"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The total figure in the Summary Compensation Table for 2020 does not reflect a one-time cash retainer given to executives in lieu of performance shares. This will be reflected in the Summary Compensation Table if and when it is earned for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bl>
    <w:p>
      <w:pPr>
        <w:sectPr>
          <w:pgSz w:w="11900" w:h="16838" w:orient="portrait"/>
          <w:cols w:equalWidth="0" w:num="1">
            <w:col w:w="11240"/>
          </w:cols>
          <w:pgMar w:left="320" w:top="125" w:right="339" w:bottom="1440" w:gutter="0" w:footer="0" w:header="0"/>
        </w:sectPr>
      </w:pPr>
    </w:p>
    <w:bookmarkStart w:id="55" w:name="page56"/>
    <w:bookmarkEnd w:id="55"/>
    <w:p>
      <w:pPr>
        <w:ind w:left="100"/>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0" w:lineRule="exact"/>
        <w:rPr>
          <w:sz w:val="20"/>
          <w:szCs w:val="20"/>
          <w:color w:val="auto"/>
        </w:rPr>
      </w:pPr>
    </w:p>
    <w:p>
      <w:pPr>
        <w:ind w:left="260" w:hanging="152"/>
        <w:spacing w:after="0"/>
        <w:tabs>
          <w:tab w:leader="none" w:pos="2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The amounts shown in the “All Other Compensation” column reflect the following for each Named Executive Officer for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ind w:right="112"/>
              <w:spacing w:after="0"/>
              <w:rPr>
                <w:sz w:val="20"/>
                <w:szCs w:val="20"/>
                <w:color w:val="auto"/>
              </w:rPr>
            </w:pPr>
            <w:r>
              <w:rPr>
                <w:rFonts w:ascii="Arial" w:cs="Arial" w:eastAsia="Arial" w:hAnsi="Arial"/>
                <w:sz w:val="13"/>
                <w:szCs w:val="13"/>
                <w:b w:val="1"/>
                <w:bCs w:val="1"/>
                <w:color w:val="706F6F"/>
              </w:rPr>
              <w:t>Retirement</w:t>
            </w: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706F6F"/>
              </w:rPr>
              <w:t>Non-Registered</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8"/>
        </w:trPr>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jc w:val="right"/>
              <w:ind w:right="112"/>
              <w:spacing w:after="0"/>
              <w:rPr>
                <w:sz w:val="20"/>
                <w:szCs w:val="20"/>
                <w:color w:val="auto"/>
              </w:rPr>
            </w:pPr>
            <w:r>
              <w:rPr>
                <w:rFonts w:ascii="Arial" w:cs="Arial" w:eastAsia="Arial" w:hAnsi="Arial"/>
                <w:sz w:val="13"/>
                <w:szCs w:val="13"/>
                <w:b w:val="1"/>
                <w:bCs w:val="1"/>
                <w:color w:val="706F6F"/>
                <w:w w:val="99"/>
              </w:rPr>
              <w:t>Plan Match</w:t>
            </w:r>
          </w:p>
        </w:tc>
        <w:tc>
          <w:tcPr>
            <w:tcW w:w="280" w:type="dxa"/>
            <w:vAlign w:val="bottom"/>
          </w:tcPr>
          <w:p>
            <w:pPr>
              <w:spacing w:after="0"/>
              <w:rPr>
                <w:sz w:val="12"/>
                <w:szCs w:val="12"/>
                <w:color w:val="auto"/>
              </w:rPr>
            </w:pPr>
          </w:p>
        </w:tc>
        <w:tc>
          <w:tcPr>
            <w:tcW w:w="1020" w:type="dxa"/>
            <w:vAlign w:val="bottom"/>
          </w:tcPr>
          <w:p>
            <w:pPr>
              <w:jc w:val="right"/>
              <w:ind w:right="111"/>
              <w:spacing w:after="0"/>
              <w:rPr>
                <w:sz w:val="20"/>
                <w:szCs w:val="20"/>
                <w:color w:val="auto"/>
              </w:rPr>
            </w:pPr>
            <w:r>
              <w:rPr>
                <w:rFonts w:ascii="Arial" w:cs="Arial" w:eastAsia="Arial" w:hAnsi="Arial"/>
                <w:sz w:val="13"/>
                <w:szCs w:val="13"/>
                <w:b w:val="1"/>
                <w:bCs w:val="1"/>
                <w:color w:val="706F6F"/>
              </w:rPr>
              <w:t>Savings Plan</w:t>
            </w:r>
          </w:p>
        </w:tc>
        <w:tc>
          <w:tcPr>
            <w:tcW w:w="360" w:type="dxa"/>
            <w:vAlign w:val="bottom"/>
          </w:tcPr>
          <w:p>
            <w:pPr>
              <w:spacing w:after="0"/>
              <w:rPr>
                <w:sz w:val="12"/>
                <w:szCs w:val="12"/>
                <w:color w:val="auto"/>
              </w:rPr>
            </w:pPr>
          </w:p>
        </w:tc>
        <w:tc>
          <w:tcPr>
            <w:tcW w:w="760" w:type="dxa"/>
            <w:vAlign w:val="bottom"/>
          </w:tcPr>
          <w:p>
            <w:pPr>
              <w:jc w:val="right"/>
              <w:ind w:right="151"/>
              <w:spacing w:after="0"/>
              <w:rPr>
                <w:sz w:val="20"/>
                <w:szCs w:val="20"/>
                <w:color w:val="auto"/>
              </w:rPr>
            </w:pPr>
            <w:r>
              <w:rPr>
                <w:rFonts w:ascii="Arial" w:cs="Arial" w:eastAsia="Arial" w:hAnsi="Arial"/>
                <w:sz w:val="13"/>
                <w:szCs w:val="13"/>
                <w:b w:val="1"/>
                <w:bCs w:val="1"/>
                <w:color w:val="706F6F"/>
              </w:rPr>
              <w:t>Other</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93"/>
        </w:trPr>
        <w:tc>
          <w:tcPr>
            <w:tcW w:w="3220" w:type="dxa"/>
            <w:vAlign w:val="bottom"/>
            <w:gridSpan w:val="2"/>
          </w:tcPr>
          <w:p>
            <w:pPr>
              <w:ind w:left="20"/>
              <w:spacing w:after="0"/>
              <w:rPr>
                <w:sz w:val="20"/>
                <w:szCs w:val="20"/>
                <w:color w:val="auto"/>
              </w:rPr>
            </w:pPr>
            <w:r>
              <w:rPr>
                <w:rFonts w:ascii="Arial" w:cs="Arial" w:eastAsia="Arial" w:hAnsi="Arial"/>
                <w:sz w:val="13"/>
                <w:szCs w:val="13"/>
                <w:b w:val="1"/>
                <w:bCs w:val="1"/>
                <w:color w:val="706F6F"/>
              </w:rPr>
              <w:t>me and Principal Position</w:t>
            </w:r>
          </w:p>
        </w:tc>
        <w:tc>
          <w:tcPr>
            <w:tcW w:w="2460" w:type="dxa"/>
            <w:vAlign w:val="bottom"/>
          </w:tcPr>
          <w:p>
            <w:pPr>
              <w:jc w:val="center"/>
              <w:ind w:left="1070"/>
              <w:spacing w:after="0"/>
              <w:rPr>
                <w:sz w:val="20"/>
                <w:szCs w:val="20"/>
                <w:color w:val="auto"/>
              </w:rPr>
            </w:pPr>
            <w:r>
              <w:rPr>
                <w:rFonts w:ascii="Arial" w:cs="Arial" w:eastAsia="Arial" w:hAnsi="Arial"/>
                <w:sz w:val="13"/>
                <w:szCs w:val="13"/>
                <w:b w:val="1"/>
                <w:bCs w:val="1"/>
                <w:color w:val="706F6F"/>
                <w:w w:val="99"/>
              </w:rPr>
              <w:t>Year</w:t>
            </w:r>
          </w:p>
        </w:tc>
        <w:tc>
          <w:tcPr>
            <w:tcW w:w="640" w:type="dxa"/>
            <w:vAlign w:val="bottom"/>
          </w:tcPr>
          <w:p>
            <w:pPr>
              <w:spacing w:after="0"/>
              <w:rPr>
                <w:sz w:val="16"/>
                <w:szCs w:val="16"/>
                <w:color w:val="auto"/>
              </w:rPr>
            </w:pPr>
          </w:p>
        </w:tc>
        <w:tc>
          <w:tcPr>
            <w:tcW w:w="880" w:type="dxa"/>
            <w:vAlign w:val="bottom"/>
          </w:tcPr>
          <w:p>
            <w:pPr>
              <w:jc w:val="right"/>
              <w:ind w:right="112"/>
              <w:spacing w:after="0"/>
              <w:rPr>
                <w:sz w:val="20"/>
                <w:szCs w:val="20"/>
                <w:color w:val="auto"/>
              </w:rPr>
            </w:pPr>
            <w:r>
              <w:rPr>
                <w:rFonts w:ascii="Arial" w:cs="Arial" w:eastAsia="Arial" w:hAnsi="Arial"/>
                <w:sz w:val="13"/>
                <w:szCs w:val="13"/>
                <w:b w:val="1"/>
                <w:bCs w:val="1"/>
                <w:color w:val="706F6F"/>
              </w:rPr>
              <w:t>($)</w:t>
            </w:r>
            <w:r>
              <w:rPr>
                <w:rFonts w:ascii="Arial" w:cs="Arial" w:eastAsia="Arial" w:hAnsi="Arial"/>
                <w:sz w:val="16"/>
                <w:szCs w:val="16"/>
                <w:b w:val="1"/>
                <w:bCs w:val="1"/>
                <w:color w:val="706F6F"/>
                <w:vertAlign w:val="superscript"/>
              </w:rPr>
              <w:t>(a)</w:t>
            </w:r>
          </w:p>
        </w:tc>
        <w:tc>
          <w:tcPr>
            <w:tcW w:w="28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3"/>
                <w:szCs w:val="13"/>
                <w:b w:val="1"/>
                <w:bCs w:val="1"/>
                <w:color w:val="706F6F"/>
              </w:rPr>
              <w:t>Match ($)</w:t>
            </w:r>
            <w:r>
              <w:rPr>
                <w:rFonts w:ascii="Arial" w:cs="Arial" w:eastAsia="Arial" w:hAnsi="Arial"/>
                <w:sz w:val="16"/>
                <w:szCs w:val="16"/>
                <w:b w:val="1"/>
                <w:bCs w:val="1"/>
                <w:color w:val="706F6F"/>
                <w:vertAlign w:val="superscript"/>
              </w:rPr>
              <w:t>(a)</w:t>
            </w:r>
          </w:p>
        </w:tc>
        <w:tc>
          <w:tcPr>
            <w:tcW w:w="36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Arial" w:cs="Arial" w:eastAsia="Arial" w:hAnsi="Arial"/>
                <w:sz w:val="13"/>
                <w:szCs w:val="13"/>
                <w:b w:val="1"/>
                <w:bCs w:val="1"/>
                <w:color w:val="706F6F"/>
              </w:rPr>
              <w:t>($)</w:t>
            </w:r>
            <w:r>
              <w:rPr>
                <w:rFonts w:ascii="Arial" w:cs="Arial" w:eastAsia="Arial" w:hAnsi="Arial"/>
                <w:sz w:val="16"/>
                <w:szCs w:val="16"/>
                <w:b w:val="1"/>
                <w:bCs w:val="1"/>
                <w:color w:val="706F6F"/>
                <w:vertAlign w:val="superscript"/>
              </w:rPr>
              <w:t>(b)</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706F6F"/>
              </w:rPr>
              <w:t>Total</w:t>
            </w:r>
          </w:p>
        </w:tc>
      </w:tr>
      <w:tr>
        <w:trPr>
          <w:trHeight w:val="27"/>
        </w:trPr>
        <w:tc>
          <w:tcPr>
            <w:tcW w:w="100" w:type="dxa"/>
            <w:vAlign w:val="bottom"/>
          </w:tcPr>
          <w:p>
            <w:pPr>
              <w:spacing w:after="0"/>
              <w:rPr>
                <w:sz w:val="2"/>
                <w:szCs w:val="2"/>
                <w:color w:val="auto"/>
              </w:rPr>
            </w:pPr>
          </w:p>
        </w:tc>
        <w:tc>
          <w:tcPr>
            <w:tcW w:w="3120" w:type="dxa"/>
            <w:vAlign w:val="bottom"/>
            <w:shd w:val="clear" w:color="auto" w:fill="006DB6"/>
          </w:tcPr>
          <w:p>
            <w:pPr>
              <w:spacing w:after="0"/>
              <w:rPr>
                <w:sz w:val="2"/>
                <w:szCs w:val="2"/>
                <w:color w:val="auto"/>
              </w:rPr>
            </w:pPr>
          </w:p>
        </w:tc>
        <w:tc>
          <w:tcPr>
            <w:tcW w:w="2460" w:type="dxa"/>
            <w:vAlign w:val="bottom"/>
            <w:shd w:val="clear" w:color="auto" w:fill="006DB6"/>
          </w:tcPr>
          <w:p>
            <w:pPr>
              <w:spacing w:after="0"/>
              <w:rPr>
                <w:sz w:val="2"/>
                <w:szCs w:val="2"/>
                <w:color w:val="auto"/>
              </w:rPr>
            </w:pPr>
          </w:p>
        </w:tc>
        <w:tc>
          <w:tcPr>
            <w:tcW w:w="640" w:type="dxa"/>
            <w:vAlign w:val="bottom"/>
            <w:shd w:val="clear" w:color="auto" w:fill="006DB6"/>
          </w:tcPr>
          <w:p>
            <w:pPr>
              <w:spacing w:after="0"/>
              <w:rPr>
                <w:sz w:val="2"/>
                <w:szCs w:val="2"/>
                <w:color w:val="auto"/>
              </w:rPr>
            </w:pPr>
          </w:p>
        </w:tc>
        <w:tc>
          <w:tcPr>
            <w:tcW w:w="880" w:type="dxa"/>
            <w:vAlign w:val="bottom"/>
            <w:shd w:val="clear" w:color="auto" w:fill="006DB6"/>
          </w:tcPr>
          <w:p>
            <w:pPr>
              <w:spacing w:after="0"/>
              <w:rPr>
                <w:sz w:val="2"/>
                <w:szCs w:val="2"/>
                <w:color w:val="auto"/>
              </w:rPr>
            </w:pPr>
          </w:p>
        </w:tc>
        <w:tc>
          <w:tcPr>
            <w:tcW w:w="280" w:type="dxa"/>
            <w:vAlign w:val="bottom"/>
            <w:shd w:val="clear" w:color="auto" w:fill="006DB6"/>
          </w:tcPr>
          <w:p>
            <w:pPr>
              <w:spacing w:after="0"/>
              <w:rPr>
                <w:sz w:val="2"/>
                <w:szCs w:val="2"/>
                <w:color w:val="auto"/>
              </w:rPr>
            </w:pPr>
          </w:p>
        </w:tc>
        <w:tc>
          <w:tcPr>
            <w:tcW w:w="1020" w:type="dxa"/>
            <w:vAlign w:val="bottom"/>
            <w:shd w:val="clear" w:color="auto" w:fill="006DB6"/>
          </w:tcPr>
          <w:p>
            <w:pPr>
              <w:spacing w:after="0"/>
              <w:rPr>
                <w:sz w:val="2"/>
                <w:szCs w:val="2"/>
                <w:color w:val="auto"/>
              </w:rPr>
            </w:pPr>
          </w:p>
        </w:tc>
        <w:tc>
          <w:tcPr>
            <w:tcW w:w="360" w:type="dxa"/>
            <w:vAlign w:val="bottom"/>
            <w:shd w:val="clear" w:color="auto" w:fill="006DB6"/>
          </w:tcPr>
          <w:p>
            <w:pPr>
              <w:spacing w:after="0"/>
              <w:rPr>
                <w:sz w:val="2"/>
                <w:szCs w:val="2"/>
                <w:color w:val="auto"/>
              </w:rPr>
            </w:pPr>
          </w:p>
        </w:tc>
        <w:tc>
          <w:tcPr>
            <w:tcW w:w="760" w:type="dxa"/>
            <w:vAlign w:val="bottom"/>
            <w:shd w:val="clear" w:color="auto" w:fill="006DB6"/>
          </w:tcPr>
          <w:p>
            <w:pPr>
              <w:spacing w:after="0"/>
              <w:rPr>
                <w:sz w:val="2"/>
                <w:szCs w:val="2"/>
                <w:color w:val="auto"/>
              </w:rPr>
            </w:pPr>
          </w:p>
        </w:tc>
        <w:tc>
          <w:tcPr>
            <w:tcW w:w="380" w:type="dxa"/>
            <w:vAlign w:val="bottom"/>
            <w:shd w:val="clear" w:color="auto" w:fill="006DB6"/>
          </w:tcPr>
          <w:p>
            <w:pPr>
              <w:spacing w:after="0"/>
              <w:rPr>
                <w:sz w:val="2"/>
                <w:szCs w:val="2"/>
                <w:color w:val="auto"/>
              </w:rPr>
            </w:pPr>
          </w:p>
        </w:tc>
        <w:tc>
          <w:tcPr>
            <w:tcW w:w="580" w:type="dxa"/>
            <w:vAlign w:val="bottom"/>
            <w:shd w:val="clear" w:color="auto" w:fill="006DB6"/>
          </w:tcPr>
          <w:p>
            <w:pPr>
              <w:spacing w:after="0"/>
              <w:rPr>
                <w:sz w:val="2"/>
                <w:szCs w:val="2"/>
                <w:color w:val="auto"/>
              </w:rPr>
            </w:pPr>
          </w:p>
        </w:tc>
      </w:tr>
      <w:tr>
        <w:trPr>
          <w:trHeight w:val="215"/>
        </w:trPr>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006DB6"/>
              </w:rPr>
              <w:t>adley J. Dodson</w:t>
            </w:r>
          </w:p>
        </w:tc>
        <w:tc>
          <w:tcPr>
            <w:tcW w:w="2460" w:type="dxa"/>
            <w:vAlign w:val="bottom"/>
          </w:tcPr>
          <w:p>
            <w:pPr>
              <w:jc w:val="center"/>
              <w:ind w:left="1070"/>
              <w:spacing w:after="0"/>
              <w:rPr>
                <w:sz w:val="20"/>
                <w:szCs w:val="20"/>
                <w:color w:val="auto"/>
              </w:rPr>
            </w:pPr>
            <w:r>
              <w:rPr>
                <w:rFonts w:ascii="Arial" w:cs="Arial" w:eastAsia="Arial" w:hAnsi="Arial"/>
                <w:sz w:val="14"/>
                <w:szCs w:val="14"/>
                <w:color w:val="auto"/>
              </w:rPr>
              <w:t>2021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14,500</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2,623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17,123</w:t>
            </w:r>
          </w:p>
        </w:tc>
      </w:tr>
      <w:tr>
        <w:trPr>
          <w:trHeight w:val="20"/>
        </w:trPr>
        <w:tc>
          <w:tcPr>
            <w:tcW w:w="1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9"/>
        </w:trPr>
        <w:tc>
          <w:tcPr>
            <w:tcW w:w="3220" w:type="dxa"/>
            <w:vAlign w:val="bottom"/>
            <w:gridSpan w:val="2"/>
          </w:tcPr>
          <w:p>
            <w:pPr>
              <w:spacing w:after="0"/>
              <w:rPr>
                <w:sz w:val="20"/>
                <w:szCs w:val="20"/>
                <w:color w:val="auto"/>
              </w:rPr>
            </w:pPr>
            <w:r>
              <w:rPr>
                <w:rFonts w:ascii="Arial" w:cs="Arial" w:eastAsia="Arial" w:hAnsi="Arial"/>
                <w:sz w:val="14"/>
                <w:szCs w:val="14"/>
                <w:b w:val="1"/>
                <w:bCs w:val="1"/>
                <w:color w:val="006DB6"/>
              </w:rPr>
              <w:t>arolyn J. Stone</w:t>
            </w:r>
          </w:p>
        </w:tc>
        <w:tc>
          <w:tcPr>
            <w:tcW w:w="2460" w:type="dxa"/>
            <w:vAlign w:val="bottom"/>
          </w:tcPr>
          <w:p>
            <w:pPr>
              <w:jc w:val="center"/>
              <w:ind w:left="1070"/>
              <w:spacing w:after="0"/>
              <w:rPr>
                <w:sz w:val="20"/>
                <w:szCs w:val="20"/>
                <w:color w:val="auto"/>
              </w:rPr>
            </w:pPr>
            <w:r>
              <w:rPr>
                <w:rFonts w:ascii="Arial" w:cs="Arial" w:eastAsia="Arial" w:hAnsi="Arial"/>
                <w:sz w:val="14"/>
                <w:szCs w:val="14"/>
                <w:color w:val="auto"/>
              </w:rPr>
              <w:t>2021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14,269</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1,603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15,872</w:t>
            </w:r>
          </w:p>
        </w:tc>
      </w:tr>
      <w:tr>
        <w:trPr>
          <w:trHeight w:val="20"/>
        </w:trPr>
        <w:tc>
          <w:tcPr>
            <w:tcW w:w="1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9"/>
        </w:trPr>
        <w:tc>
          <w:tcPr>
            <w:tcW w:w="3220" w:type="dxa"/>
            <w:vAlign w:val="bottom"/>
            <w:gridSpan w:val="2"/>
          </w:tcPr>
          <w:p>
            <w:pPr>
              <w:spacing w:after="0"/>
              <w:rPr>
                <w:sz w:val="20"/>
                <w:szCs w:val="20"/>
                <w:color w:val="auto"/>
              </w:rPr>
            </w:pPr>
            <w:r>
              <w:rPr>
                <w:rFonts w:ascii="Arial" w:cs="Arial" w:eastAsia="Arial" w:hAnsi="Arial"/>
                <w:sz w:val="14"/>
                <w:szCs w:val="14"/>
                <w:b w:val="1"/>
                <w:bCs w:val="1"/>
                <w:color w:val="006DB6"/>
              </w:rPr>
              <w:t>eter L. McCann</w:t>
            </w:r>
          </w:p>
        </w:tc>
        <w:tc>
          <w:tcPr>
            <w:tcW w:w="2460" w:type="dxa"/>
            <w:vAlign w:val="bottom"/>
          </w:tcPr>
          <w:p>
            <w:pPr>
              <w:jc w:val="center"/>
              <w:ind w:left="1070"/>
              <w:spacing w:after="0"/>
              <w:rPr>
                <w:sz w:val="20"/>
                <w:szCs w:val="20"/>
                <w:color w:val="auto"/>
              </w:rPr>
            </w:pPr>
            <w:r>
              <w:rPr>
                <w:rFonts w:ascii="Arial" w:cs="Arial" w:eastAsia="Arial" w:hAnsi="Arial"/>
                <w:sz w:val="14"/>
                <w:szCs w:val="14"/>
                <w:color w:val="auto"/>
              </w:rPr>
              <w:t>2021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17,053</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17,053</w:t>
            </w:r>
          </w:p>
        </w:tc>
      </w:tr>
      <w:tr>
        <w:trPr>
          <w:trHeight w:val="20"/>
        </w:trPr>
        <w:tc>
          <w:tcPr>
            <w:tcW w:w="1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9"/>
        </w:trPr>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006DB6"/>
              </w:rPr>
              <w:t>lan D. Schoening</w:t>
            </w:r>
          </w:p>
        </w:tc>
        <w:tc>
          <w:tcPr>
            <w:tcW w:w="2460" w:type="dxa"/>
            <w:vAlign w:val="bottom"/>
          </w:tcPr>
          <w:p>
            <w:pPr>
              <w:jc w:val="center"/>
              <w:ind w:left="1070"/>
              <w:spacing w:after="0"/>
              <w:rPr>
                <w:sz w:val="20"/>
                <w:szCs w:val="20"/>
                <w:color w:val="auto"/>
              </w:rPr>
            </w:pPr>
            <w:r>
              <w:rPr>
                <w:rFonts w:ascii="Arial" w:cs="Arial" w:eastAsia="Arial" w:hAnsi="Arial"/>
                <w:sz w:val="14"/>
                <w:szCs w:val="14"/>
                <w:color w:val="auto"/>
              </w:rPr>
              <w:t>2021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11,653</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71"/>
              <w:spacing w:after="0"/>
              <w:rPr>
                <w:sz w:val="20"/>
                <w:szCs w:val="20"/>
                <w:color w:val="auto"/>
              </w:rPr>
            </w:pPr>
            <w:r>
              <w:rPr>
                <w:rFonts w:ascii="Arial" w:cs="Arial" w:eastAsia="Arial" w:hAnsi="Arial"/>
                <w:sz w:val="14"/>
                <w:szCs w:val="14"/>
                <w:color w:val="auto"/>
              </w:rPr>
              <w:t>24,847</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36,500</w:t>
            </w:r>
          </w:p>
        </w:tc>
      </w:tr>
    </w:tbl>
    <w:p>
      <w:pPr>
        <w:spacing w:after="0" w:line="87" w:lineRule="exact"/>
        <w:rPr>
          <w:sz w:val="20"/>
          <w:szCs w:val="20"/>
          <w:color w:val="auto"/>
        </w:rPr>
      </w:pPr>
    </w:p>
    <w:p>
      <w:pPr>
        <w:ind w:left="620" w:right="120" w:hanging="253"/>
        <w:spacing w:after="0" w:line="233" w:lineRule="auto"/>
        <w:tabs>
          <w:tab w:leader="none" w:pos="637"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Represents the matching contributions allocated by Civeo, as applicable, to Messrs. Dodson, Schoening and Ms. Stone pursuant to the 401(k) Retirement Plan and Canadian Retirement Plan, as more fully described in “Compensation Discussion and Analysis Compensation Program Components—Retirement Plans” and “—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spacing w:after="0" w:line="40" w:lineRule="exact"/>
        <w:rPr>
          <w:rFonts w:ascii="Arial" w:cs="Arial" w:eastAsia="Arial" w:hAnsi="Arial"/>
          <w:sz w:val="19"/>
          <w:szCs w:val="19"/>
          <w:color w:val="auto"/>
          <w:vertAlign w:val="superscript"/>
        </w:rPr>
      </w:pPr>
    </w:p>
    <w:p>
      <w:pPr>
        <w:ind w:left="620" w:right="240" w:hanging="253"/>
        <w:spacing w:after="0" w:line="285" w:lineRule="auto"/>
        <w:tabs>
          <w:tab w:leader="none" w:pos="624" w:val="left"/>
        </w:tabs>
        <w:numPr>
          <w:ilvl w:val="0"/>
          <w:numId w:val="45"/>
        </w:numPr>
        <w:rPr>
          <w:rFonts w:ascii="Arial" w:cs="Arial" w:eastAsia="Arial" w:hAnsi="Arial"/>
          <w:sz w:val="9"/>
          <w:szCs w:val="9"/>
          <w:color w:val="auto"/>
        </w:rPr>
      </w:pPr>
      <w:r>
        <w:rPr>
          <w:rFonts w:ascii="Arial" w:cs="Arial" w:eastAsia="Arial" w:hAnsi="Arial"/>
          <w:sz w:val="14"/>
          <w:szCs w:val="14"/>
          <w:color w:val="auto"/>
        </w:rPr>
        <w:t>The amounts shown in the “Other” column for Mr. Dodson include $2,623 in imputed income attributable to life insurance benefits. The amounts shown in the “Other" column for Ms. Stone include $1,603 in imputed income attributable to life insurance benefits.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9"/>
          <w:szCs w:val="29"/>
          <w:b w:val="1"/>
          <w:bCs w:val="1"/>
          <w:color w:val="006DB6"/>
        </w:rPr>
        <w:t>Grants of Plan Based Awards for 2021</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following table provides information about equity and non-equity awards granted to our named executive officers in 2021.</w:t>
      </w:r>
    </w:p>
    <w:p>
      <w:pPr>
        <w:spacing w:after="0" w:line="200" w:lineRule="exact"/>
        <w:rPr>
          <w:sz w:val="20"/>
          <w:szCs w:val="20"/>
          <w:color w:val="auto"/>
        </w:rPr>
      </w:pP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All Other</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Stock</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706F6F"/>
              </w:rPr>
              <w:t>Estimated Future Payouts</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Awards:</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706F6F"/>
              </w:rPr>
              <w:t>Grant</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80" w:type="dxa"/>
            <w:vAlign w:val="bottom"/>
            <w:gridSpan w:val="4"/>
            <w:vMerge w:val="continue"/>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Number of</w:t>
            </w:r>
          </w:p>
        </w:tc>
        <w:tc>
          <w:tcPr>
            <w:tcW w:w="30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Date</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gridSpan w:val="5"/>
            <w:vMerge w:val="restart"/>
          </w:tcPr>
          <w:p>
            <w:pPr>
              <w:jc w:val="right"/>
              <w:ind w:right="160"/>
              <w:spacing w:after="0" w:line="159" w:lineRule="exact"/>
              <w:rPr>
                <w:sz w:val="20"/>
                <w:szCs w:val="20"/>
                <w:color w:val="auto"/>
              </w:rPr>
            </w:pPr>
            <w:r>
              <w:rPr>
                <w:rFonts w:ascii="Arial" w:cs="Arial" w:eastAsia="Arial" w:hAnsi="Arial"/>
                <w:sz w:val="14"/>
                <w:szCs w:val="14"/>
                <w:b w:val="1"/>
                <w:bCs w:val="1"/>
                <w:color w:val="706F6F"/>
              </w:rPr>
              <w:t>Under Non-Equity Incentive</w:t>
            </w:r>
          </w:p>
        </w:tc>
        <w:tc>
          <w:tcPr>
            <w:tcW w:w="2620" w:type="dxa"/>
            <w:vAlign w:val="bottom"/>
            <w:gridSpan w:val="3"/>
            <w:vMerge w:val="restart"/>
          </w:tcPr>
          <w:p>
            <w:pPr>
              <w:jc w:val="right"/>
              <w:spacing w:after="0" w:line="159" w:lineRule="exact"/>
              <w:rPr>
                <w:sz w:val="20"/>
                <w:szCs w:val="20"/>
                <w:color w:val="auto"/>
              </w:rPr>
            </w:pPr>
            <w:r>
              <w:rPr>
                <w:rFonts w:ascii="Arial" w:cs="Arial" w:eastAsia="Arial" w:hAnsi="Arial"/>
                <w:sz w:val="14"/>
                <w:szCs w:val="14"/>
                <w:b w:val="1"/>
                <w:bCs w:val="1"/>
                <w:color w:val="706F6F"/>
              </w:rPr>
              <w:t>Estimated Future Payouts Under</w:t>
            </w:r>
          </w:p>
        </w:tc>
        <w:tc>
          <w:tcPr>
            <w:tcW w:w="10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2620" w:type="dxa"/>
            <w:vAlign w:val="bottom"/>
            <w:gridSpan w:val="3"/>
            <w:vMerge w:val="continue"/>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Shares of</w:t>
            </w:r>
          </w:p>
        </w:tc>
        <w:tc>
          <w:tcPr>
            <w:tcW w:w="30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Fair Value</w:t>
            </w:r>
          </w:p>
        </w:tc>
        <w:tc>
          <w:tcPr>
            <w:tcW w:w="0" w:type="dxa"/>
            <w:vAlign w:val="bottom"/>
          </w:tcPr>
          <w:p>
            <w:pPr>
              <w:spacing w:after="0"/>
              <w:rPr>
                <w:sz w:val="1"/>
                <w:szCs w:val="1"/>
                <w:color w:val="auto"/>
              </w:rPr>
            </w:pPr>
          </w:p>
        </w:tc>
      </w:tr>
      <w:tr>
        <w:trPr>
          <w:trHeight w:val="83"/>
        </w:trPr>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gridSpan w:val="2"/>
            <w:vMerge w:val="restart"/>
          </w:tcPr>
          <w:p>
            <w:pPr>
              <w:jc w:val="right"/>
              <w:spacing w:after="0" w:line="201" w:lineRule="exact"/>
              <w:rPr>
                <w:sz w:val="20"/>
                <w:szCs w:val="20"/>
                <w:color w:val="auto"/>
              </w:rPr>
            </w:pPr>
            <w:r>
              <w:rPr>
                <w:rFonts w:ascii="Arial" w:cs="Arial" w:eastAsia="Arial" w:hAnsi="Arial"/>
                <w:sz w:val="14"/>
                <w:szCs w:val="14"/>
                <w:b w:val="1"/>
                <w:bCs w:val="1"/>
                <w:color w:val="706F6F"/>
              </w:rPr>
              <w:t>Plan Awards</w:t>
            </w:r>
            <w:r>
              <w:rPr>
                <w:rFonts w:ascii="Arial" w:cs="Arial" w:eastAsia="Arial" w:hAnsi="Arial"/>
                <w:sz w:val="18"/>
                <w:szCs w:val="18"/>
                <w:b w:val="1"/>
                <w:bCs w:val="1"/>
                <w:color w:val="706F6F"/>
                <w:vertAlign w:val="superscript"/>
              </w:rPr>
              <w:t>(1)</w:t>
            </w:r>
          </w:p>
        </w:tc>
        <w:tc>
          <w:tcPr>
            <w:tcW w:w="140" w:type="dxa"/>
            <w:vAlign w:val="bottom"/>
            <w:vMerge w:val="restart"/>
          </w:tcPr>
          <w:p>
            <w:pPr>
              <w:spacing w:after="0"/>
              <w:rPr>
                <w:sz w:val="7"/>
                <w:szCs w:val="7"/>
                <w:color w:val="auto"/>
              </w:rPr>
            </w:pPr>
          </w:p>
        </w:tc>
        <w:tc>
          <w:tcPr>
            <w:tcW w:w="2620" w:type="dxa"/>
            <w:vAlign w:val="bottom"/>
            <w:gridSpan w:val="3"/>
            <w:vMerge w:val="restart"/>
          </w:tcPr>
          <w:p>
            <w:pPr>
              <w:jc w:val="right"/>
              <w:spacing w:after="0" w:line="201" w:lineRule="exact"/>
              <w:rPr>
                <w:sz w:val="20"/>
                <w:szCs w:val="20"/>
                <w:color w:val="auto"/>
              </w:rPr>
            </w:pPr>
            <w:r>
              <w:rPr>
                <w:rFonts w:ascii="Arial" w:cs="Arial" w:eastAsia="Arial" w:hAnsi="Arial"/>
                <w:sz w:val="14"/>
                <w:szCs w:val="14"/>
                <w:b w:val="1"/>
                <w:bCs w:val="1"/>
                <w:color w:val="706F6F"/>
              </w:rPr>
              <w:t>Equity Incentive Plan Awards</w:t>
            </w:r>
            <w:r>
              <w:rPr>
                <w:rFonts w:ascii="Arial" w:cs="Arial" w:eastAsia="Arial" w:hAnsi="Arial"/>
                <w:sz w:val="18"/>
                <w:szCs w:val="18"/>
                <w:b w:val="1"/>
                <w:bCs w:val="1"/>
                <w:color w:val="706F6F"/>
                <w:vertAlign w:val="superscript"/>
              </w:rPr>
              <w:t>(2)</w:t>
            </w:r>
          </w:p>
        </w:tc>
        <w:tc>
          <w:tcPr>
            <w:tcW w:w="10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Borders>
              <w:bottom w:val="single" w:sz="8" w:color="006DB6"/>
            </w:tcBorders>
          </w:tcPr>
          <w:p>
            <w:pPr>
              <w:spacing w:after="0"/>
              <w:rPr>
                <w:sz w:val="10"/>
                <w:szCs w:val="10"/>
                <w:color w:val="auto"/>
              </w:rPr>
            </w:pPr>
          </w:p>
        </w:tc>
        <w:tc>
          <w:tcPr>
            <w:tcW w:w="500" w:type="dxa"/>
            <w:vAlign w:val="bottom"/>
            <w:tcBorders>
              <w:bottom w:val="single" w:sz="8" w:color="006DB6"/>
            </w:tcBorders>
          </w:tcPr>
          <w:p>
            <w:pPr>
              <w:spacing w:after="0"/>
              <w:rPr>
                <w:sz w:val="10"/>
                <w:szCs w:val="10"/>
                <w:color w:val="auto"/>
              </w:rPr>
            </w:pPr>
          </w:p>
        </w:tc>
        <w:tc>
          <w:tcPr>
            <w:tcW w:w="240" w:type="dxa"/>
            <w:vAlign w:val="bottom"/>
            <w:tcBorders>
              <w:bottom w:val="single" w:sz="8" w:color="006DB6"/>
            </w:tcBorders>
          </w:tcPr>
          <w:p>
            <w:pPr>
              <w:spacing w:after="0"/>
              <w:rPr>
                <w:sz w:val="10"/>
                <w:szCs w:val="10"/>
                <w:color w:val="auto"/>
              </w:rPr>
            </w:pPr>
          </w:p>
        </w:tc>
        <w:tc>
          <w:tcPr>
            <w:tcW w:w="780" w:type="dxa"/>
            <w:vAlign w:val="bottom"/>
            <w:tcBorders>
              <w:bottom w:val="single" w:sz="8" w:color="006DB6"/>
            </w:tcBorders>
          </w:tcPr>
          <w:p>
            <w:pPr>
              <w:spacing w:after="0"/>
              <w:rPr>
                <w:sz w:val="10"/>
                <w:szCs w:val="10"/>
                <w:color w:val="auto"/>
              </w:rPr>
            </w:pPr>
          </w:p>
        </w:tc>
        <w:tc>
          <w:tcPr>
            <w:tcW w:w="1060" w:type="dxa"/>
            <w:vAlign w:val="bottom"/>
            <w:tcBorders>
              <w:bottom w:val="single" w:sz="8" w:color="006DB6"/>
            </w:tcBorders>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620" w:type="dxa"/>
            <w:vAlign w:val="bottom"/>
            <w:tcBorders>
              <w:bottom w:val="single" w:sz="8" w:color="auto"/>
            </w:tcBorders>
            <w:gridSpan w:val="3"/>
            <w:vMerge w:val="continue"/>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4"/>
                <w:szCs w:val="14"/>
                <w:b w:val="1"/>
                <w:bCs w:val="1"/>
                <w:color w:val="706F6F"/>
              </w:rPr>
              <w:t>Stock or</w:t>
            </w:r>
          </w:p>
        </w:tc>
        <w:tc>
          <w:tcPr>
            <w:tcW w:w="30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4"/>
                <w:szCs w:val="14"/>
                <w:b w:val="1"/>
                <w:bCs w:val="1"/>
                <w:color w:val="706F6F"/>
              </w:rPr>
              <w:t>of Stock</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706F6F"/>
              </w:rPr>
              <w:t>Grant</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706F6F"/>
              </w:rPr>
              <w:t>Threshold</w:t>
            </w:r>
          </w:p>
        </w:tc>
        <w:tc>
          <w:tcPr>
            <w:tcW w:w="2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706F6F"/>
              </w:rPr>
              <w:t>Target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706F6F"/>
              </w:rPr>
              <w:t>Maximum</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706F6F"/>
              </w:rPr>
              <w:t>Threshold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706F6F"/>
              </w:rPr>
              <w:t>Target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706F6F"/>
              </w:rPr>
              <w:t>Maximum</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Units</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706F6F"/>
              </w:rPr>
              <w:t>Awards</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1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Award Type</w:t>
            </w: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Date</w:t>
            </w:r>
          </w:p>
        </w:tc>
        <w:tc>
          <w:tcPr>
            <w:tcW w:w="560" w:type="dxa"/>
            <w:vAlign w:val="bottom"/>
            <w:tcBorders>
              <w:bottom w:val="single" w:sz="8" w:color="006DB6"/>
            </w:tcBorders>
          </w:tcPr>
          <w:p>
            <w:pPr>
              <w:spacing w:after="0"/>
              <w:rPr>
                <w:sz w:val="18"/>
                <w:szCs w:val="18"/>
                <w:color w:val="auto"/>
              </w:rPr>
            </w:pPr>
          </w:p>
        </w:tc>
        <w:tc>
          <w:tcPr>
            <w:tcW w:w="500" w:type="dxa"/>
            <w:vAlign w:val="bottom"/>
            <w:tcBorders>
              <w:bottom w:val="single" w:sz="8" w:color="006DB6"/>
            </w:tcBorders>
          </w:tcPr>
          <w:p>
            <w:pPr>
              <w:jc w:val="right"/>
              <w:ind w:right="28"/>
              <w:spacing w:after="0"/>
              <w:rPr>
                <w:sz w:val="20"/>
                <w:szCs w:val="20"/>
                <w:color w:val="auto"/>
              </w:rPr>
            </w:pPr>
            <w:r>
              <w:rPr>
                <w:rFonts w:ascii="Arial" w:cs="Arial" w:eastAsia="Arial" w:hAnsi="Arial"/>
                <w:sz w:val="14"/>
                <w:szCs w:val="14"/>
                <w:b w:val="1"/>
                <w:bCs w:val="1"/>
                <w:color w:val="706F6F"/>
              </w:rPr>
              <w:t>($)</w:t>
            </w:r>
          </w:p>
        </w:tc>
        <w:tc>
          <w:tcPr>
            <w:tcW w:w="240" w:type="dxa"/>
            <w:vAlign w:val="bottom"/>
            <w:tcBorders>
              <w:bottom w:val="single" w:sz="8" w:color="006DB6"/>
            </w:tcBorders>
          </w:tcPr>
          <w:p>
            <w:pPr>
              <w:spacing w:after="0"/>
              <w:rPr>
                <w:sz w:val="18"/>
                <w:szCs w:val="18"/>
                <w:color w:val="auto"/>
              </w:rPr>
            </w:pPr>
          </w:p>
        </w:tc>
        <w:tc>
          <w:tcPr>
            <w:tcW w:w="780" w:type="dxa"/>
            <w:vAlign w:val="bottom"/>
            <w:tcBorders>
              <w:bottom w:val="single" w:sz="8" w:color="006DB6"/>
            </w:tcBorders>
          </w:tcPr>
          <w:p>
            <w:pPr>
              <w:jc w:val="right"/>
              <w:ind w:right="8"/>
              <w:spacing w:after="0"/>
              <w:rPr>
                <w:sz w:val="20"/>
                <w:szCs w:val="20"/>
                <w:color w:val="auto"/>
              </w:rPr>
            </w:pPr>
            <w:r>
              <w:rPr>
                <w:rFonts w:ascii="Arial" w:cs="Arial" w:eastAsia="Arial" w:hAnsi="Arial"/>
                <w:sz w:val="14"/>
                <w:szCs w:val="14"/>
                <w:b w:val="1"/>
                <w:bCs w:val="1"/>
                <w:color w:val="706F6F"/>
              </w:rPr>
              <w:t>($)</w:t>
            </w:r>
          </w:p>
        </w:tc>
        <w:tc>
          <w:tcPr>
            <w:tcW w:w="260" w:type="dxa"/>
            <w:vAlign w:val="bottom"/>
            <w:tcBorders>
              <w:bottom w:val="single" w:sz="8" w:color="006DB6"/>
            </w:tcBorders>
          </w:tcPr>
          <w:p>
            <w:pPr>
              <w:spacing w:after="0"/>
              <w:rPr>
                <w:sz w:val="18"/>
                <w:szCs w:val="18"/>
                <w:color w:val="auto"/>
              </w:rPr>
            </w:pPr>
          </w:p>
        </w:tc>
        <w:tc>
          <w:tcPr>
            <w:tcW w:w="8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40" w:type="dxa"/>
            <w:vAlign w:val="bottom"/>
            <w:tcBorders>
              <w:bottom w:val="single" w:sz="8" w:color="006DB6"/>
            </w:tcBorders>
          </w:tcPr>
          <w:p>
            <w:pPr>
              <w:spacing w:after="0"/>
              <w:rPr>
                <w:sz w:val="18"/>
                <w:szCs w:val="18"/>
                <w:color w:val="auto"/>
              </w:rPr>
            </w:pPr>
          </w:p>
        </w:tc>
        <w:tc>
          <w:tcPr>
            <w:tcW w:w="1060" w:type="dxa"/>
            <w:vAlign w:val="bottom"/>
            <w:tcBorders>
              <w:bottom w:val="single" w:sz="8" w:color="006DB6"/>
            </w:tcBorders>
          </w:tcPr>
          <w:p>
            <w:pPr>
              <w:jc w:val="right"/>
              <w:ind w:right="48"/>
              <w:spacing w:after="0"/>
              <w:rPr>
                <w:sz w:val="20"/>
                <w:szCs w:val="20"/>
                <w:color w:val="auto"/>
              </w:rPr>
            </w:pPr>
            <w:r>
              <w:rPr>
                <w:rFonts w:ascii="Arial" w:cs="Arial" w:eastAsia="Arial" w:hAnsi="Arial"/>
                <w:sz w:val="14"/>
                <w:szCs w:val="14"/>
                <w:b w:val="1"/>
                <w:bCs w:val="1"/>
                <w:color w:val="706F6F"/>
              </w:rPr>
              <w:t>(#)</w:t>
            </w:r>
          </w:p>
        </w:tc>
        <w:tc>
          <w:tcPr>
            <w:tcW w:w="6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706F6F"/>
              </w:rPr>
              <w:t>(#)</w:t>
            </w:r>
          </w:p>
        </w:tc>
        <w:tc>
          <w:tcPr>
            <w:tcW w:w="1000" w:type="dxa"/>
            <w:vAlign w:val="bottom"/>
            <w:tcBorders>
              <w:bottom w:val="single" w:sz="8" w:color="006DB6"/>
            </w:tcBorders>
          </w:tcPr>
          <w:p>
            <w:pPr>
              <w:jc w:val="right"/>
              <w:spacing w:after="0" w:line="202"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w:t>
            </w:r>
            <w:r>
              <w:rPr>
                <w:rFonts w:ascii="Arial" w:cs="Arial" w:eastAsia="Arial" w:hAnsi="Arial"/>
                <w:sz w:val="9"/>
                <w:szCs w:val="9"/>
                <w:color w:val="706F6F"/>
              </w:rPr>
              <w:t>3</w:t>
            </w:r>
            <w:r>
              <w:rPr>
                <w:rFonts w:ascii="Arial" w:cs="Arial" w:eastAsia="Arial" w:hAnsi="Arial"/>
                <w:sz w:val="8"/>
                <w:szCs w:val="8"/>
                <w:b w:val="1"/>
                <w:bCs w:val="1"/>
                <w:color w:val="706F6F"/>
              </w:rPr>
              <w:t>)</w:t>
            </w:r>
          </w:p>
        </w:tc>
        <w:tc>
          <w:tcPr>
            <w:tcW w:w="300" w:type="dxa"/>
            <w:vAlign w:val="bottom"/>
            <w:tcBorders>
              <w:bottom w:val="single" w:sz="8" w:color="006DB6"/>
            </w:tcBorders>
          </w:tcPr>
          <w:p>
            <w:pPr>
              <w:spacing w:after="0"/>
              <w:rPr>
                <w:sz w:val="18"/>
                <w:szCs w:val="18"/>
                <w:color w:val="auto"/>
              </w:rPr>
            </w:pPr>
          </w:p>
        </w:tc>
        <w:tc>
          <w:tcPr>
            <w:tcW w:w="880" w:type="dxa"/>
            <w:vAlign w:val="bottom"/>
            <w:tcBorders>
              <w:bottom w:val="single" w:sz="8" w:color="006DB6"/>
            </w:tcBorders>
          </w:tcPr>
          <w:p>
            <w:pPr>
              <w:jc w:val="right"/>
              <w:spacing w:after="0" w:line="202"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w:t>
            </w:r>
            <w:r>
              <w:rPr>
                <w:rFonts w:ascii="Arial" w:cs="Arial" w:eastAsia="Arial" w:hAnsi="Arial"/>
                <w:sz w:val="8"/>
                <w:szCs w:val="8"/>
                <w:color w:val="706F6F"/>
              </w:rPr>
              <w:t>4</w:t>
            </w:r>
            <w:r>
              <w:rPr>
                <w:rFonts w:ascii="Arial" w:cs="Arial" w:eastAsia="Arial" w:hAnsi="Arial"/>
                <w:sz w:val="8"/>
                <w:szCs w:val="8"/>
                <w:b w:val="1"/>
                <w:bCs w:val="1"/>
                <w:color w:val="706F6F"/>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Bradley J.</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750,000</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Dodson</w:t>
            </w: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63,447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126,894</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1,704,186</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63,447</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1,256,251</w:t>
            </w: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Carolyn J.</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247,000</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494,000</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Stone</w:t>
            </w: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28,788</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386,623</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14,394</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285,001</w:t>
            </w: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Peter L.</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219,872</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439,745</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4"/>
                <w:szCs w:val="14"/>
                <w:b w:val="1"/>
                <w:bCs w:val="1"/>
                <w:color w:val="006DB6"/>
              </w:rPr>
              <w:t>McCann</w:t>
            </w:r>
            <w:r>
              <w:rPr>
                <w:rFonts w:ascii="Arial" w:cs="Arial" w:eastAsia="Arial" w:hAnsi="Arial"/>
                <w:sz w:val="18"/>
                <w:szCs w:val="18"/>
                <w:b w:val="1"/>
                <w:bCs w:val="1"/>
                <w:color w:val="006DB6"/>
                <w:vertAlign w:val="superscript"/>
              </w:rPr>
              <w:t>(5)</w:t>
            </w: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1,682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22,426</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301,181</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11,212</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221,998</w:t>
            </w: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Allan D.</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264,504</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529,008</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4"/>
                <w:szCs w:val="14"/>
                <w:b w:val="1"/>
                <w:bCs w:val="1"/>
                <w:color w:val="006DB6"/>
              </w:rPr>
              <w:t>Schoening</w:t>
            </w:r>
            <w:r>
              <w:rPr>
                <w:rFonts w:ascii="Arial" w:cs="Arial" w:eastAsia="Arial" w:hAnsi="Arial"/>
                <w:sz w:val="18"/>
                <w:szCs w:val="18"/>
                <w:b w:val="1"/>
                <w:bCs w:val="1"/>
                <w:color w:val="006DB6"/>
                <w:vertAlign w:val="superscript"/>
              </w:rPr>
              <w:t>(6)</w:t>
            </w: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2,297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30,626</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411,307</w:t>
            </w:r>
          </w:p>
        </w:tc>
        <w:tc>
          <w:tcPr>
            <w:tcW w:w="0" w:type="dxa"/>
            <w:vAlign w:val="bottom"/>
          </w:tcPr>
          <w:p>
            <w:pPr>
              <w:spacing w:after="0"/>
              <w:rPr>
                <w:sz w:val="1"/>
                <w:szCs w:val="1"/>
                <w:color w:val="auto"/>
              </w:rPr>
            </w:pPr>
          </w:p>
        </w:tc>
      </w:tr>
      <w:tr>
        <w:trPr>
          <w:trHeight w:val="205"/>
        </w:trPr>
        <w:tc>
          <w:tcPr>
            <w:tcW w:w="104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2/22/2021</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15,312</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303,178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right="120" w:hanging="252"/>
        <w:spacing w:after="0" w:line="252" w:lineRule="auto"/>
        <w:tabs>
          <w:tab w:leader="none" w:pos="364"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amounts shown in the columns “Threshold”, “Target” and “Maximum” reflect the threshold, target and overachievement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2021;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45" w:lineRule="exact"/>
        <w:rPr>
          <w:rFonts w:ascii="Arial" w:cs="Arial" w:eastAsia="Arial" w:hAnsi="Arial"/>
          <w:sz w:val="9"/>
          <w:szCs w:val="9"/>
          <w:color w:val="auto"/>
        </w:rPr>
      </w:pPr>
    </w:p>
    <w:p>
      <w:pPr>
        <w:ind w:left="360" w:right="620" w:hanging="252"/>
        <w:spacing w:after="0" w:line="231" w:lineRule="auto"/>
        <w:tabs>
          <w:tab w:leader="none" w:pos="3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The amounts shown in the “Threshold”, “Target” and “Maximum” columns reflect the potential number of shares that may be earned under 2021 grants under our Performance Share Award Program based on our relative TSR and cumulative free cash flow over the applicable three-year performance period (see discussion in “Compensation Discussion and Analysis - Compensation Program Components-Performance Share Award Programs”). Earned shares will vest in full on the third anniversary of the grant date.</w:t>
      </w:r>
    </w:p>
    <w:p>
      <w:pPr>
        <w:spacing w:after="0" w:line="40" w:lineRule="exact"/>
        <w:rPr>
          <w:rFonts w:ascii="Arial" w:cs="Arial" w:eastAsia="Arial" w:hAnsi="Arial"/>
          <w:sz w:val="19"/>
          <w:szCs w:val="19"/>
          <w:color w:val="auto"/>
          <w:vertAlign w:val="superscript"/>
        </w:rPr>
      </w:pPr>
    </w:p>
    <w:p>
      <w:pPr>
        <w:ind w:left="360" w:right="860" w:hanging="252"/>
        <w:spacing w:after="0" w:line="222" w:lineRule="auto"/>
        <w:tabs>
          <w:tab w:leader="none" w:pos="3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Amounts included in the “All Other Stock Awards” column reflect phantom unit awards that vest annually at a rate of one-third per year on each of the first three anniversaries of the grant date.</w:t>
      </w:r>
    </w:p>
    <w:p>
      <w:pPr>
        <w:spacing w:after="0" w:line="40" w:lineRule="exact"/>
        <w:rPr>
          <w:rFonts w:ascii="Arial" w:cs="Arial" w:eastAsia="Arial" w:hAnsi="Arial"/>
          <w:sz w:val="19"/>
          <w:szCs w:val="19"/>
          <w:color w:val="auto"/>
          <w:vertAlign w:val="superscript"/>
        </w:rPr>
      </w:pPr>
    </w:p>
    <w:p>
      <w:pPr>
        <w:ind w:left="360" w:right="20" w:hanging="252"/>
        <w:spacing w:after="0" w:line="253" w:lineRule="auto"/>
        <w:tabs>
          <w:tab w:leader="none" w:pos="364" w:val="left"/>
        </w:tabs>
        <w:numPr>
          <w:ilvl w:val="0"/>
          <w:numId w:val="46"/>
        </w:numPr>
        <w:rPr>
          <w:rFonts w:ascii="Arial" w:cs="Arial" w:eastAsia="Arial" w:hAnsi="Arial"/>
          <w:sz w:val="9"/>
          <w:szCs w:val="9"/>
          <w:color w:val="auto"/>
        </w:rPr>
      </w:pPr>
      <w:r>
        <w:rPr>
          <w:rFonts w:ascii="Arial" w:cs="Arial" w:eastAsia="Arial" w:hAnsi="Arial"/>
          <w:sz w:val="14"/>
          <w:szCs w:val="14"/>
          <w:color w:val="auto"/>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named executive officers during 2021. Generally, the full grant date fair value is the amount that Civeo would expense in its financial statements over the vesting schedule of the awards. See Note 19 to Civeo’s consolidated financial statements included in its Annual Report on Form 10-K for the year ended December 31, 2021 for additional detail regarding assumptions underlying the value of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234950</wp:posOffset>
            </wp:positionV>
            <wp:extent cx="394335" cy="1968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340"/>
          </w:cols>
          <w:pgMar w:left="220" w:top="125" w:right="3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7" w:lineRule="exact"/>
        <w:rPr>
          <w:sz w:val="20"/>
          <w:szCs w:val="20"/>
          <w:color w:val="auto"/>
        </w:rPr>
      </w:pPr>
    </w:p>
    <w:p>
      <w:pPr>
        <w:ind w:left="260" w:right="200" w:hanging="252"/>
        <w:spacing w:after="0" w:line="222" w:lineRule="auto"/>
        <w:tabs>
          <w:tab w:leader="none" w:pos="26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Mr. McCann’s AICP award amounts were paid in Australian dollars and are reflected in this table in U.S. dollars using an average exchange rate for 2021 of $0.7517 U.S. dollar per Australian dollar.</w:t>
      </w:r>
    </w:p>
    <w:p>
      <w:pPr>
        <w:spacing w:after="0" w:line="40" w:lineRule="exact"/>
        <w:rPr>
          <w:rFonts w:ascii="Arial" w:cs="Arial" w:eastAsia="Arial" w:hAnsi="Arial"/>
          <w:sz w:val="19"/>
          <w:szCs w:val="19"/>
          <w:color w:val="auto"/>
          <w:vertAlign w:val="superscript"/>
        </w:rPr>
      </w:pPr>
    </w:p>
    <w:p>
      <w:pPr>
        <w:ind w:left="260" w:right="80" w:hanging="252"/>
        <w:spacing w:after="0" w:line="285"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Mr. Schoening’s AICP award amounts were paid in Canadian dollars and are reflected in this table in U.S. dollars using an average exchange rate for 2021 of $0.7979 U.S. dollar per Canadian dollar.</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Outstanding Equity Awards at 2021 Fiscal Year End</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following table provides information on the holdings of share awards by our named executive officers as of December 31, 2021. The NEOs do not have any outstanding options, and Civeo has not issued any options since we spun off from Oil States International in 2014 and became a publicly traded company. The market value of the share awards is based on the closing market price of Civeo’s common shares as of December 31, 2021, which was $19.17.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20" w:type="dxa"/>
            <w:vAlign w:val="bottom"/>
          </w:tcPr>
          <w:p>
            <w:pPr>
              <w:spacing w:after="0"/>
              <w:rPr>
                <w:sz w:val="17"/>
                <w:szCs w:val="17"/>
                <w:color w:val="auto"/>
              </w:rPr>
            </w:pPr>
          </w:p>
        </w:tc>
        <w:tc>
          <w:tcPr>
            <w:tcW w:w="1660" w:type="dxa"/>
            <w:vAlign w:val="bottom"/>
            <w:tcBorders>
              <w:bottom w:val="single" w:sz="8" w:color="006DB6"/>
            </w:tcBorders>
          </w:tcPr>
          <w:p>
            <w:pPr>
              <w:spacing w:after="0"/>
              <w:rPr>
                <w:sz w:val="17"/>
                <w:szCs w:val="17"/>
                <w:color w:val="auto"/>
              </w:rPr>
            </w:pPr>
          </w:p>
        </w:tc>
        <w:tc>
          <w:tcPr>
            <w:tcW w:w="560" w:type="dxa"/>
            <w:vAlign w:val="bottom"/>
            <w:tcBorders>
              <w:bottom w:val="single" w:sz="8" w:color="006DB6"/>
            </w:tcBorders>
          </w:tcPr>
          <w:p>
            <w:pPr>
              <w:spacing w:after="0"/>
              <w:rPr>
                <w:sz w:val="17"/>
                <w:szCs w:val="17"/>
                <w:color w:val="auto"/>
              </w:rPr>
            </w:pPr>
          </w:p>
        </w:tc>
        <w:tc>
          <w:tcPr>
            <w:tcW w:w="900" w:type="dxa"/>
            <w:vAlign w:val="bottom"/>
            <w:tcBorders>
              <w:bottom w:val="single" w:sz="8" w:color="006DB6"/>
            </w:tcBorders>
          </w:tcPr>
          <w:p>
            <w:pPr>
              <w:spacing w:after="0"/>
              <w:rPr>
                <w:sz w:val="17"/>
                <w:szCs w:val="17"/>
                <w:color w:val="auto"/>
              </w:rPr>
            </w:pPr>
          </w:p>
        </w:tc>
        <w:tc>
          <w:tcPr>
            <w:tcW w:w="1620" w:type="dxa"/>
            <w:vAlign w:val="bottom"/>
            <w:tcBorders>
              <w:bottom w:val="single" w:sz="8" w:color="006DB6"/>
            </w:tcBorders>
          </w:tcPr>
          <w:p>
            <w:pPr>
              <w:jc w:val="right"/>
              <w:ind w:right="108"/>
              <w:spacing w:after="0"/>
              <w:rPr>
                <w:sz w:val="20"/>
                <w:szCs w:val="20"/>
                <w:color w:val="auto"/>
              </w:rPr>
            </w:pPr>
            <w:r>
              <w:rPr>
                <w:rFonts w:ascii="Arial" w:cs="Arial" w:eastAsia="Arial" w:hAnsi="Arial"/>
                <w:sz w:val="14"/>
                <w:szCs w:val="14"/>
                <w:b w:val="1"/>
                <w:bCs w:val="1"/>
                <w:color w:val="706F6F"/>
              </w:rPr>
              <w:t>Share Awards</w:t>
            </w:r>
          </w:p>
        </w:tc>
        <w:tc>
          <w:tcPr>
            <w:tcW w:w="1280" w:type="dxa"/>
            <w:vAlign w:val="bottom"/>
            <w:tcBorders>
              <w:bottom w:val="single" w:sz="8" w:color="006DB6"/>
            </w:tcBorders>
          </w:tcPr>
          <w:p>
            <w:pPr>
              <w:spacing w:after="0"/>
              <w:rPr>
                <w:sz w:val="17"/>
                <w:szCs w:val="17"/>
                <w:color w:val="auto"/>
              </w:rPr>
            </w:pPr>
          </w:p>
        </w:tc>
        <w:tc>
          <w:tcPr>
            <w:tcW w:w="520" w:type="dxa"/>
            <w:vAlign w:val="bottom"/>
            <w:tcBorders>
              <w:bottom w:val="single" w:sz="8" w:color="006DB6"/>
            </w:tcBorders>
          </w:tcPr>
          <w:p>
            <w:pPr>
              <w:spacing w:after="0"/>
              <w:rPr>
                <w:sz w:val="17"/>
                <w:szCs w:val="17"/>
                <w:color w:val="auto"/>
              </w:rPr>
            </w:pPr>
          </w:p>
        </w:tc>
        <w:tc>
          <w:tcPr>
            <w:tcW w:w="620" w:type="dxa"/>
            <w:vAlign w:val="bottom"/>
            <w:tcBorders>
              <w:bottom w:val="single" w:sz="8" w:color="006DB6"/>
            </w:tcBorders>
          </w:tcPr>
          <w:p>
            <w:pPr>
              <w:spacing w:after="0"/>
              <w:rPr>
                <w:sz w:val="17"/>
                <w:szCs w:val="17"/>
                <w:color w:val="auto"/>
              </w:rPr>
            </w:pPr>
          </w:p>
        </w:tc>
        <w:tc>
          <w:tcPr>
            <w:tcW w:w="980" w:type="dxa"/>
            <w:vAlign w:val="bottom"/>
            <w:tcBorders>
              <w:bottom w:val="single" w:sz="8" w:color="006DB6"/>
            </w:tcBorders>
          </w:tcPr>
          <w:p>
            <w:pPr>
              <w:spacing w:after="0"/>
              <w:rPr>
                <w:sz w:val="17"/>
                <w:szCs w:val="17"/>
                <w:color w:val="auto"/>
              </w:rPr>
            </w:pPr>
          </w:p>
        </w:tc>
      </w:tr>
      <w:tr>
        <w:trPr>
          <w:trHeight w:val="180"/>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0" w:type="dxa"/>
            <w:vAlign w:val="bottom"/>
            <w:gridSpan w:val="2"/>
          </w:tcPr>
          <w:p>
            <w:pPr>
              <w:jc w:val="right"/>
              <w:ind w:right="84"/>
              <w:spacing w:after="0"/>
              <w:rPr>
                <w:sz w:val="20"/>
                <w:szCs w:val="20"/>
                <w:color w:val="auto"/>
              </w:rPr>
            </w:pPr>
            <w:r>
              <w:rPr>
                <w:rFonts w:ascii="Arial" w:cs="Arial" w:eastAsia="Arial" w:hAnsi="Arial"/>
                <w:sz w:val="14"/>
                <w:szCs w:val="14"/>
                <w:b w:val="1"/>
                <w:bCs w:val="1"/>
                <w:color w:val="706F6F"/>
              </w:rPr>
              <w:t>Equity Incentive Plan</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Equity Incentive Plan</w:t>
            </w:r>
          </w:p>
        </w:tc>
      </w:tr>
      <w:tr>
        <w:trPr>
          <w:trHeight w:val="162"/>
        </w:trPr>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Arial" w:cs="Arial" w:eastAsia="Arial" w:hAnsi="Arial"/>
                <w:sz w:val="14"/>
                <w:szCs w:val="14"/>
                <w:b w:val="1"/>
                <w:bCs w:val="1"/>
                <w:color w:val="706F6F"/>
              </w:rPr>
              <w:t>Awards: Number of Awards: Market Value of</w:t>
            </w:r>
          </w:p>
        </w:tc>
      </w:tr>
      <w:tr>
        <w:trPr>
          <w:trHeight w:val="162"/>
        </w:trPr>
        <w:tc>
          <w:tcPr>
            <w:tcW w:w="2320" w:type="dxa"/>
            <w:vAlign w:val="bottom"/>
          </w:tcPr>
          <w:p>
            <w:pPr>
              <w:spacing w:after="0"/>
              <w:rPr>
                <w:sz w:val="14"/>
                <w:szCs w:val="14"/>
                <w:color w:val="auto"/>
              </w:rPr>
            </w:pPr>
          </w:p>
        </w:tc>
        <w:tc>
          <w:tcPr>
            <w:tcW w:w="2220" w:type="dxa"/>
            <w:vAlign w:val="bottom"/>
            <w:gridSpan w:val="2"/>
          </w:tcPr>
          <w:p>
            <w:pPr>
              <w:jc w:val="right"/>
              <w:ind w:right="165"/>
              <w:spacing w:after="0"/>
              <w:rPr>
                <w:sz w:val="20"/>
                <w:szCs w:val="20"/>
                <w:color w:val="auto"/>
              </w:rPr>
            </w:pPr>
            <w:r>
              <w:rPr>
                <w:rFonts w:ascii="Arial" w:cs="Arial" w:eastAsia="Arial" w:hAnsi="Arial"/>
                <w:sz w:val="14"/>
                <w:szCs w:val="14"/>
                <w:b w:val="1"/>
                <w:bCs w:val="1"/>
                <w:color w:val="706F6F"/>
              </w:rPr>
              <w:t>Number of Shares or Units</w:t>
            </w:r>
          </w:p>
        </w:tc>
        <w:tc>
          <w:tcPr>
            <w:tcW w:w="4320" w:type="dxa"/>
            <w:vAlign w:val="bottom"/>
            <w:gridSpan w:val="4"/>
          </w:tcPr>
          <w:p>
            <w:pPr>
              <w:jc w:val="right"/>
              <w:ind w:right="84"/>
              <w:spacing w:after="0"/>
              <w:rPr>
                <w:sz w:val="20"/>
                <w:szCs w:val="20"/>
                <w:color w:val="auto"/>
              </w:rPr>
            </w:pPr>
            <w:r>
              <w:rPr>
                <w:rFonts w:ascii="Arial" w:cs="Arial" w:eastAsia="Arial" w:hAnsi="Arial"/>
                <w:sz w:val="14"/>
                <w:szCs w:val="14"/>
                <w:b w:val="1"/>
                <w:bCs w:val="1"/>
                <w:color w:val="706F6F"/>
              </w:rPr>
              <w:t>Market Value of Shares or Unearned Shares or Units of</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Unearned Shares or</w:t>
            </w:r>
          </w:p>
        </w:tc>
      </w:tr>
      <w:tr>
        <w:trPr>
          <w:trHeight w:val="162"/>
        </w:trPr>
        <w:tc>
          <w:tcPr>
            <w:tcW w:w="2320" w:type="dxa"/>
            <w:vAlign w:val="bottom"/>
          </w:tcPr>
          <w:p>
            <w:pPr>
              <w:spacing w:after="0"/>
              <w:rPr>
                <w:sz w:val="14"/>
                <w:szCs w:val="14"/>
                <w:color w:val="auto"/>
              </w:rPr>
            </w:pPr>
          </w:p>
        </w:tc>
        <w:tc>
          <w:tcPr>
            <w:tcW w:w="2220" w:type="dxa"/>
            <w:vAlign w:val="bottom"/>
            <w:gridSpan w:val="2"/>
          </w:tcPr>
          <w:p>
            <w:pPr>
              <w:jc w:val="right"/>
              <w:ind w:right="165"/>
              <w:spacing w:after="0"/>
              <w:rPr>
                <w:sz w:val="20"/>
                <w:szCs w:val="20"/>
                <w:color w:val="auto"/>
              </w:rPr>
            </w:pPr>
            <w:r>
              <w:rPr>
                <w:rFonts w:ascii="Arial" w:cs="Arial" w:eastAsia="Arial" w:hAnsi="Arial"/>
                <w:sz w:val="14"/>
                <w:szCs w:val="14"/>
                <w:b w:val="1"/>
                <w:bCs w:val="1"/>
                <w:color w:val="706F6F"/>
              </w:rPr>
              <w:t>of Stock that Have Not</w:t>
            </w:r>
          </w:p>
        </w:tc>
        <w:tc>
          <w:tcPr>
            <w:tcW w:w="25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706F6F"/>
              </w:rPr>
              <w:t>Units of Stock that Have Not</w:t>
            </w:r>
          </w:p>
        </w:tc>
        <w:tc>
          <w:tcPr>
            <w:tcW w:w="1800" w:type="dxa"/>
            <w:vAlign w:val="bottom"/>
            <w:gridSpan w:val="2"/>
          </w:tcPr>
          <w:p>
            <w:pPr>
              <w:jc w:val="right"/>
              <w:ind w:right="84"/>
              <w:spacing w:after="0"/>
              <w:rPr>
                <w:sz w:val="20"/>
                <w:szCs w:val="20"/>
                <w:color w:val="auto"/>
              </w:rPr>
            </w:pPr>
            <w:r>
              <w:rPr>
                <w:rFonts w:ascii="Arial" w:cs="Arial" w:eastAsia="Arial" w:hAnsi="Arial"/>
                <w:sz w:val="14"/>
                <w:szCs w:val="14"/>
                <w:b w:val="1"/>
                <w:bCs w:val="1"/>
                <w:color w:val="706F6F"/>
              </w:rPr>
              <w:t>Stock that</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706F6F"/>
              </w:rPr>
              <w:t>Units of</w:t>
            </w:r>
          </w:p>
        </w:tc>
      </w:tr>
      <w:tr>
        <w:trPr>
          <w:trHeight w:val="162"/>
        </w:trPr>
        <w:tc>
          <w:tcPr>
            <w:tcW w:w="2320" w:type="dxa"/>
            <w:vAlign w:val="bottom"/>
          </w:tcPr>
          <w:p>
            <w:pPr>
              <w:spacing w:after="0"/>
              <w:rPr>
                <w:sz w:val="14"/>
                <w:szCs w:val="14"/>
                <w:color w:val="auto"/>
              </w:rPr>
            </w:pPr>
          </w:p>
        </w:tc>
        <w:tc>
          <w:tcPr>
            <w:tcW w:w="222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706F6F"/>
              </w:rPr>
              <w:t>Vested</w:t>
            </w:r>
          </w:p>
        </w:tc>
        <w:tc>
          <w:tcPr>
            <w:tcW w:w="900" w:type="dxa"/>
            <w:vAlign w:val="bottom"/>
          </w:tcPr>
          <w:p>
            <w:pPr>
              <w:spacing w:after="0"/>
              <w:rPr>
                <w:sz w:val="14"/>
                <w:szCs w:val="14"/>
                <w:color w:val="auto"/>
              </w:rPr>
            </w:pPr>
          </w:p>
        </w:tc>
        <w:tc>
          <w:tcPr>
            <w:tcW w:w="1620" w:type="dxa"/>
            <w:vAlign w:val="bottom"/>
          </w:tcPr>
          <w:p>
            <w:pPr>
              <w:jc w:val="right"/>
              <w:ind w:right="308"/>
              <w:spacing w:after="0"/>
              <w:rPr>
                <w:sz w:val="20"/>
                <w:szCs w:val="20"/>
                <w:color w:val="auto"/>
              </w:rPr>
            </w:pPr>
            <w:r>
              <w:rPr>
                <w:rFonts w:ascii="Arial" w:cs="Arial" w:eastAsia="Arial" w:hAnsi="Arial"/>
                <w:sz w:val="14"/>
                <w:szCs w:val="14"/>
                <w:b w:val="1"/>
                <w:bCs w:val="1"/>
                <w:color w:val="706F6F"/>
              </w:rPr>
              <w:t>Vested</w:t>
            </w:r>
          </w:p>
        </w:tc>
        <w:tc>
          <w:tcPr>
            <w:tcW w:w="1800" w:type="dxa"/>
            <w:vAlign w:val="bottom"/>
            <w:gridSpan w:val="2"/>
          </w:tcPr>
          <w:p>
            <w:pPr>
              <w:jc w:val="right"/>
              <w:ind w:right="84"/>
              <w:spacing w:after="0"/>
              <w:rPr>
                <w:sz w:val="20"/>
                <w:szCs w:val="20"/>
                <w:color w:val="auto"/>
              </w:rPr>
            </w:pPr>
            <w:r>
              <w:rPr>
                <w:rFonts w:ascii="Arial" w:cs="Arial" w:eastAsia="Arial" w:hAnsi="Arial"/>
                <w:sz w:val="14"/>
                <w:szCs w:val="14"/>
                <w:b w:val="1"/>
                <w:bCs w:val="1"/>
                <w:color w:val="706F6F"/>
              </w:rPr>
              <w:t>Have Not Vested</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Stock that Have Not</w:t>
            </w:r>
          </w:p>
        </w:tc>
      </w:tr>
      <w:tr>
        <w:trPr>
          <w:trHeight w:val="205"/>
        </w:trPr>
        <w:tc>
          <w:tcPr>
            <w:tcW w:w="23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60" w:type="dxa"/>
            <w:vAlign w:val="bottom"/>
            <w:tcBorders>
              <w:bottom w:val="single" w:sz="8" w:color="006DB6"/>
            </w:tcBorders>
          </w:tcPr>
          <w:p>
            <w:pPr>
              <w:spacing w:after="0"/>
              <w:rPr>
                <w:sz w:val="17"/>
                <w:szCs w:val="17"/>
                <w:color w:val="auto"/>
              </w:rPr>
            </w:pPr>
          </w:p>
        </w:tc>
        <w:tc>
          <w:tcPr>
            <w:tcW w:w="560" w:type="dxa"/>
            <w:vAlign w:val="bottom"/>
            <w:tcBorders>
              <w:bottom w:val="single" w:sz="8" w:color="006DB6"/>
            </w:tcBorders>
          </w:tcPr>
          <w:p>
            <w:pPr>
              <w:jc w:val="right"/>
              <w:ind w:right="165"/>
              <w:spacing w:after="0"/>
              <w:rPr>
                <w:sz w:val="20"/>
                <w:szCs w:val="20"/>
                <w:color w:val="auto"/>
              </w:rPr>
            </w:pPr>
            <w:r>
              <w:rPr>
                <w:rFonts w:ascii="Arial" w:cs="Arial" w:eastAsia="Arial" w:hAnsi="Arial"/>
                <w:sz w:val="14"/>
                <w:szCs w:val="14"/>
                <w:b w:val="1"/>
                <w:bCs w:val="1"/>
                <w:color w:val="706F6F"/>
              </w:rPr>
              <w:t>(#)</w:t>
            </w:r>
          </w:p>
        </w:tc>
        <w:tc>
          <w:tcPr>
            <w:tcW w:w="900" w:type="dxa"/>
            <w:vAlign w:val="bottom"/>
            <w:tcBorders>
              <w:bottom w:val="single" w:sz="8" w:color="006DB6"/>
            </w:tcBorders>
          </w:tcPr>
          <w:p>
            <w:pPr>
              <w:spacing w:after="0"/>
              <w:rPr>
                <w:sz w:val="17"/>
                <w:szCs w:val="17"/>
                <w:color w:val="auto"/>
              </w:rPr>
            </w:pPr>
          </w:p>
        </w:tc>
        <w:tc>
          <w:tcPr>
            <w:tcW w:w="1620" w:type="dxa"/>
            <w:vAlign w:val="bottom"/>
            <w:tcBorders>
              <w:bottom w:val="single" w:sz="8" w:color="006DB6"/>
            </w:tcBorders>
          </w:tcPr>
          <w:p>
            <w:pPr>
              <w:jc w:val="right"/>
              <w:ind w:right="308"/>
              <w:spacing w:after="0"/>
              <w:rPr>
                <w:sz w:val="20"/>
                <w:szCs w:val="20"/>
                <w:color w:val="auto"/>
              </w:rPr>
            </w:pPr>
            <w:r>
              <w:rPr>
                <w:rFonts w:ascii="Arial" w:cs="Arial" w:eastAsia="Arial" w:hAnsi="Arial"/>
                <w:sz w:val="14"/>
                <w:szCs w:val="14"/>
                <w:b w:val="1"/>
                <w:bCs w:val="1"/>
                <w:color w:val="706F6F"/>
              </w:rPr>
              <w:t>($)</w:t>
            </w:r>
          </w:p>
        </w:tc>
        <w:tc>
          <w:tcPr>
            <w:tcW w:w="1280" w:type="dxa"/>
            <w:vAlign w:val="bottom"/>
            <w:tcBorders>
              <w:bottom w:val="single" w:sz="8" w:color="006DB6"/>
            </w:tcBorders>
          </w:tcPr>
          <w:p>
            <w:pPr>
              <w:spacing w:after="0"/>
              <w:rPr>
                <w:sz w:val="17"/>
                <w:szCs w:val="17"/>
                <w:color w:val="auto"/>
              </w:rPr>
            </w:pPr>
          </w:p>
        </w:tc>
        <w:tc>
          <w:tcPr>
            <w:tcW w:w="520" w:type="dxa"/>
            <w:vAlign w:val="bottom"/>
            <w:tcBorders>
              <w:bottom w:val="single" w:sz="8" w:color="006DB6"/>
            </w:tcBorders>
          </w:tcPr>
          <w:p>
            <w:pPr>
              <w:jc w:val="right"/>
              <w:ind w:right="84"/>
              <w:spacing w:after="0"/>
              <w:rPr>
                <w:sz w:val="20"/>
                <w:szCs w:val="20"/>
                <w:color w:val="auto"/>
              </w:rPr>
            </w:pPr>
            <w:r>
              <w:rPr>
                <w:rFonts w:ascii="Arial" w:cs="Arial" w:eastAsia="Arial" w:hAnsi="Arial"/>
                <w:sz w:val="14"/>
                <w:szCs w:val="14"/>
                <w:b w:val="1"/>
                <w:bCs w:val="1"/>
                <w:color w:val="706F6F"/>
              </w:rPr>
              <w:t>(#)</w:t>
            </w:r>
          </w:p>
        </w:tc>
        <w:tc>
          <w:tcPr>
            <w:tcW w:w="620" w:type="dxa"/>
            <w:vAlign w:val="bottom"/>
            <w:tcBorders>
              <w:bottom w:val="single" w:sz="8" w:color="006DB6"/>
            </w:tcBorders>
          </w:tcPr>
          <w:p>
            <w:pPr>
              <w:spacing w:after="0"/>
              <w:rPr>
                <w:sz w:val="17"/>
                <w:szCs w:val="17"/>
                <w:color w:val="auto"/>
              </w:rPr>
            </w:pPr>
          </w:p>
        </w:tc>
        <w:tc>
          <w:tcPr>
            <w:tcW w:w="9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Vested ($)</w:t>
            </w:r>
          </w:p>
        </w:tc>
      </w:tr>
      <w:tr>
        <w:trPr>
          <w:trHeight w:val="239"/>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12,874</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246,795</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52,873</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1,013,575</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63,447</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1,216,279</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48,661</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(2)</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932,831</w:t>
            </w:r>
          </w:p>
        </w:tc>
      </w:tr>
      <w:tr>
        <w:trPr>
          <w:trHeight w:val="210"/>
        </w:trPr>
        <w:tc>
          <w:tcPr>
            <w:tcW w:w="23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126,894</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(4)</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2,432,558</w:t>
            </w:r>
          </w:p>
        </w:tc>
      </w:tr>
      <w:tr>
        <w:trPr>
          <w:trHeight w:val="200"/>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Carolyn J. Stone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44,206</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10,733</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205,752</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14,394</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275,933</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(2)</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167,067</w:t>
            </w: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28,788</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(4)</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551,866</w:t>
            </w:r>
          </w:p>
        </w:tc>
      </w:tr>
      <w:tr>
        <w:trPr>
          <w:trHeight w:val="200"/>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Peter L. McCann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39,509</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7,497</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143,717</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11,212</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214,934</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7,790</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(2)</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149,334</w:t>
            </w:r>
          </w:p>
        </w:tc>
      </w:tr>
      <w:tr>
        <w:trPr>
          <w:trHeight w:val="210"/>
        </w:trPr>
        <w:tc>
          <w:tcPr>
            <w:tcW w:w="23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22,426</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(4)</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429,906</w:t>
            </w:r>
          </w:p>
        </w:tc>
      </w:tr>
      <w:tr>
        <w:trPr>
          <w:trHeight w:val="241"/>
        </w:trPr>
        <w:tc>
          <w:tcPr>
            <w:tcW w:w="2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56,686</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11,283</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216,295</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15,312</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293,531</w:t>
            </w: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11,177</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(2)</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214,263</w:t>
            </w:r>
          </w:p>
        </w:tc>
      </w:tr>
      <w:tr>
        <w:trPr>
          <w:trHeight w:val="206"/>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30,626</w:t>
            </w:r>
          </w:p>
        </w:tc>
        <w:tc>
          <w:tcPr>
            <w:tcW w:w="520" w:type="dxa"/>
            <w:vAlign w:val="bottom"/>
          </w:tcPr>
          <w:p>
            <w:pPr>
              <w:jc w:val="right"/>
              <w:ind w:right="284"/>
              <w:spacing w:after="0"/>
              <w:rPr>
                <w:sz w:val="20"/>
                <w:szCs w:val="20"/>
                <w:color w:val="auto"/>
              </w:rPr>
            </w:pPr>
            <w:r>
              <w:rPr>
                <w:rFonts w:ascii="Arial" w:cs="Arial" w:eastAsia="Arial" w:hAnsi="Arial"/>
                <w:sz w:val="11"/>
                <w:szCs w:val="11"/>
                <w:color w:val="auto"/>
              </w:rPr>
              <w:t>(4)</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587,100</w:t>
            </w:r>
          </w:p>
        </w:tc>
      </w:tr>
    </w:tbl>
    <w:p>
      <w:pPr>
        <w:spacing w:after="0" w:line="323" w:lineRule="exact"/>
        <w:rPr>
          <w:sz w:val="20"/>
          <w:szCs w:val="20"/>
          <w:color w:val="auto"/>
        </w:rPr>
      </w:pPr>
    </w:p>
    <w:p>
      <w:pPr>
        <w:ind w:left="260" w:right="260" w:hanging="252"/>
        <w:spacing w:after="0" w:line="285"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Phantom share units award of February 25, 2019 that vests at the rate of 33.33% per year, with vesting dates of February 25, 2020, February 25, 2021 and February 25, 2022.</w:t>
      </w:r>
    </w:p>
    <w:p>
      <w:pPr>
        <w:spacing w:after="0" w:line="49" w:lineRule="exact"/>
        <w:rPr>
          <w:rFonts w:ascii="Arial" w:cs="Arial" w:eastAsia="Arial" w:hAnsi="Arial"/>
          <w:sz w:val="9"/>
          <w:szCs w:val="9"/>
          <w:color w:val="auto"/>
        </w:rPr>
      </w:pPr>
    </w:p>
    <w:p>
      <w:pPr>
        <w:ind w:left="260" w:right="180" w:hanging="252"/>
        <w:spacing w:after="0" w:line="285"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Performance share award of February 25, 2019, which is reported at 126% level achievement of the relative TSR performance metric. This award vested at the end of the performance period in February 2022 and was achieved at 126% of target.</w:t>
      </w:r>
    </w:p>
    <w:p>
      <w:pPr>
        <w:spacing w:after="0" w:line="49" w:lineRule="exact"/>
        <w:rPr>
          <w:rFonts w:ascii="Arial" w:cs="Arial" w:eastAsia="Arial" w:hAnsi="Arial"/>
          <w:sz w:val="9"/>
          <w:szCs w:val="9"/>
          <w:color w:val="auto"/>
        </w:rPr>
      </w:pPr>
    </w:p>
    <w:p>
      <w:pPr>
        <w:ind w:left="260" w:right="260" w:hanging="252"/>
        <w:spacing w:after="0" w:line="285"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Phantom share units award of February 25, 2020 that vests at the rate of 33.33% per year, with vesting dates of February 25, 2021, February 25, 2022 and February 25, 2023.</w:t>
      </w:r>
    </w:p>
    <w:p>
      <w:pPr>
        <w:spacing w:after="0" w:line="49" w:lineRule="exact"/>
        <w:rPr>
          <w:rFonts w:ascii="Arial" w:cs="Arial" w:eastAsia="Arial" w:hAnsi="Arial"/>
          <w:sz w:val="9"/>
          <w:szCs w:val="9"/>
          <w:color w:val="auto"/>
        </w:rPr>
      </w:pPr>
    </w:p>
    <w:p>
      <w:pPr>
        <w:ind w:left="260" w:right="120" w:hanging="252"/>
        <w:spacing w:after="0" w:line="263"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Performance share award of February 22, 2021 that vests on February 22, 2024, which is reported assuming maximum level achievement of the relative TSR performance metric and the cumulative free cash flow performance hurdle. The maximum level was used as the previous fiscal year’s performance exceeded the target level, thus requiring disclosure of the maximum level.</w:t>
      </w:r>
    </w:p>
    <w:p>
      <w:pPr>
        <w:spacing w:after="0" w:line="64" w:lineRule="exact"/>
        <w:rPr>
          <w:rFonts w:ascii="Arial" w:cs="Arial" w:eastAsia="Arial" w:hAnsi="Arial"/>
          <w:sz w:val="9"/>
          <w:szCs w:val="9"/>
          <w:color w:val="auto"/>
        </w:rPr>
      </w:pPr>
    </w:p>
    <w:p>
      <w:pPr>
        <w:ind w:left="260" w:right="260" w:hanging="252"/>
        <w:spacing w:after="0" w:line="285"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Phantom share units award of February 22, 2021 that vests at the rate of 33.33% per year, with vesting dates of February 22, 2022, February 22, 2023 and February 22, 2024.</w:t>
      </w:r>
    </w:p>
    <w:p>
      <w:pPr>
        <w:spacing w:after="0" w:line="320"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bl>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Shares Vested</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table provides information for our named executive officers for the period from January 1, 2021 to December 31, 2021 regarding the number of our common shares acquired upon the vesting of share awards and the value realized, each before payment of any applicable withholding tax. No NEOs have any options outstanding or have exercised any options in the fiscal year. Reported values for the stock awards were calculated based on the number of share awards vesting multiplied by closing share price on the date of vesting.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00" w:type="dxa"/>
            <w:vAlign w:val="bottom"/>
          </w:tcPr>
          <w:p>
            <w:pPr>
              <w:spacing w:after="0"/>
              <w:rPr>
                <w:sz w:val="17"/>
                <w:szCs w:val="17"/>
                <w:color w:val="auto"/>
              </w:rPr>
            </w:pPr>
          </w:p>
        </w:tc>
        <w:tc>
          <w:tcPr>
            <w:tcW w:w="3960" w:type="dxa"/>
            <w:vAlign w:val="bottom"/>
            <w:tcBorders>
              <w:bottom w:val="single" w:sz="8" w:color="006DB6"/>
            </w:tcBorders>
          </w:tcPr>
          <w:p>
            <w:pPr>
              <w:jc w:val="right"/>
              <w:ind w:right="368"/>
              <w:spacing w:after="0"/>
              <w:rPr>
                <w:sz w:val="20"/>
                <w:szCs w:val="20"/>
                <w:color w:val="auto"/>
              </w:rPr>
            </w:pPr>
            <w:r>
              <w:rPr>
                <w:rFonts w:ascii="Arial" w:cs="Arial" w:eastAsia="Arial" w:hAnsi="Arial"/>
                <w:sz w:val="14"/>
                <w:szCs w:val="14"/>
                <w:b w:val="1"/>
                <w:bCs w:val="1"/>
                <w:color w:val="706F6F"/>
              </w:rPr>
              <w:t>Stock Awards</w:t>
            </w:r>
          </w:p>
        </w:tc>
        <w:tc>
          <w:tcPr>
            <w:tcW w:w="640" w:type="dxa"/>
            <w:vAlign w:val="bottom"/>
            <w:tcBorders>
              <w:bottom w:val="single" w:sz="8" w:color="006DB6"/>
            </w:tcBorders>
          </w:tcPr>
          <w:p>
            <w:pPr>
              <w:spacing w:after="0"/>
              <w:rPr>
                <w:sz w:val="17"/>
                <w:szCs w:val="17"/>
                <w:color w:val="auto"/>
              </w:rPr>
            </w:pPr>
          </w:p>
        </w:tc>
        <w:tc>
          <w:tcPr>
            <w:tcW w:w="1500" w:type="dxa"/>
            <w:vAlign w:val="bottom"/>
            <w:tcBorders>
              <w:bottom w:val="single" w:sz="8" w:color="006DB6"/>
            </w:tcBorders>
          </w:tcPr>
          <w:p>
            <w:pPr>
              <w:spacing w:after="0"/>
              <w:rPr>
                <w:sz w:val="17"/>
                <w:szCs w:val="17"/>
                <w:color w:val="auto"/>
              </w:rPr>
            </w:pPr>
          </w:p>
        </w:tc>
      </w:tr>
      <w:tr>
        <w:trPr>
          <w:trHeight w:val="180"/>
        </w:trPr>
        <w:tc>
          <w:tcPr>
            <w:tcW w:w="5000" w:type="dxa"/>
            <w:vAlign w:val="bottom"/>
          </w:tcPr>
          <w:p>
            <w:pPr>
              <w:spacing w:after="0"/>
              <w:rPr>
                <w:sz w:val="15"/>
                <w:szCs w:val="15"/>
                <w:color w:val="auto"/>
              </w:rPr>
            </w:pPr>
          </w:p>
        </w:tc>
        <w:tc>
          <w:tcPr>
            <w:tcW w:w="3960" w:type="dxa"/>
            <w:vAlign w:val="bottom"/>
          </w:tcPr>
          <w:p>
            <w:pPr>
              <w:jc w:val="right"/>
              <w:ind w:right="1068"/>
              <w:spacing w:after="0"/>
              <w:rPr>
                <w:sz w:val="20"/>
                <w:szCs w:val="20"/>
                <w:color w:val="auto"/>
              </w:rPr>
            </w:pPr>
            <w:r>
              <w:rPr>
                <w:rFonts w:ascii="Arial" w:cs="Arial" w:eastAsia="Arial" w:hAnsi="Arial"/>
                <w:sz w:val="14"/>
                <w:szCs w:val="14"/>
                <w:b w:val="1"/>
                <w:bCs w:val="1"/>
                <w:color w:val="706F6F"/>
              </w:rPr>
              <w:t>Number of Shares</w:t>
            </w: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706F6F"/>
              </w:rPr>
              <w:t>Pre-tax Value</w:t>
            </w:r>
          </w:p>
        </w:tc>
      </w:tr>
      <w:tr>
        <w:trPr>
          <w:trHeight w:val="162"/>
        </w:trPr>
        <w:tc>
          <w:tcPr>
            <w:tcW w:w="5000" w:type="dxa"/>
            <w:vAlign w:val="bottom"/>
          </w:tcPr>
          <w:p>
            <w:pPr>
              <w:spacing w:after="0"/>
              <w:rPr>
                <w:sz w:val="14"/>
                <w:szCs w:val="14"/>
                <w:color w:val="auto"/>
              </w:rPr>
            </w:pPr>
          </w:p>
        </w:tc>
        <w:tc>
          <w:tcPr>
            <w:tcW w:w="3960" w:type="dxa"/>
            <w:vAlign w:val="bottom"/>
          </w:tcPr>
          <w:p>
            <w:pPr>
              <w:jc w:val="right"/>
              <w:ind w:right="1068"/>
              <w:spacing w:after="0"/>
              <w:rPr>
                <w:sz w:val="20"/>
                <w:szCs w:val="20"/>
                <w:color w:val="auto"/>
              </w:rPr>
            </w:pPr>
            <w:r>
              <w:rPr>
                <w:rFonts w:ascii="Arial" w:cs="Arial" w:eastAsia="Arial" w:hAnsi="Arial"/>
                <w:sz w:val="14"/>
                <w:szCs w:val="14"/>
                <w:b w:val="1"/>
                <w:bCs w:val="1"/>
                <w:color w:val="706F6F"/>
              </w:rPr>
              <w:t>Acquired on Vesting</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706F6F"/>
              </w:rPr>
              <w:t>Realized on Vesting</w:t>
            </w:r>
          </w:p>
        </w:tc>
      </w:tr>
      <w:tr>
        <w:trPr>
          <w:trHeight w:val="205"/>
        </w:trPr>
        <w:tc>
          <w:tcPr>
            <w:tcW w:w="50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3960" w:type="dxa"/>
            <w:vAlign w:val="bottom"/>
            <w:tcBorders>
              <w:bottom w:val="single" w:sz="8" w:color="006DB6"/>
            </w:tcBorders>
          </w:tcPr>
          <w:p>
            <w:pPr>
              <w:jc w:val="right"/>
              <w:ind w:right="1068"/>
              <w:spacing w:after="0"/>
              <w:rPr>
                <w:sz w:val="20"/>
                <w:szCs w:val="20"/>
                <w:color w:val="auto"/>
              </w:rPr>
            </w:pPr>
            <w:r>
              <w:rPr>
                <w:rFonts w:ascii="Arial" w:cs="Arial" w:eastAsia="Arial" w:hAnsi="Arial"/>
                <w:sz w:val="14"/>
                <w:szCs w:val="14"/>
                <w:b w:val="1"/>
                <w:bCs w:val="1"/>
                <w:color w:val="706F6F"/>
              </w:rPr>
              <w:t>(#)</w:t>
            </w:r>
          </w:p>
        </w:tc>
        <w:tc>
          <w:tcPr>
            <w:tcW w:w="640" w:type="dxa"/>
            <w:vAlign w:val="bottom"/>
            <w:tcBorders>
              <w:bottom w:val="single" w:sz="8" w:color="006DB6"/>
            </w:tcBorders>
          </w:tcPr>
          <w:p>
            <w:pPr>
              <w:spacing w:after="0"/>
              <w:rPr>
                <w:sz w:val="17"/>
                <w:szCs w:val="17"/>
                <w:color w:val="auto"/>
              </w:rPr>
            </w:pPr>
          </w:p>
        </w:tc>
        <w:tc>
          <w:tcPr>
            <w:tcW w:w="15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r>
      <w:tr>
        <w:trPr>
          <w:trHeight w:val="23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85,280</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1,662,467</w:t>
            </w: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16,933</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330,179</w:t>
            </w: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15,285</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298,735</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3960" w:type="dxa"/>
            <w:vAlign w:val="bottom"/>
          </w:tcPr>
          <w:p>
            <w:pPr>
              <w:jc w:val="right"/>
              <w:ind w:right="1108"/>
              <w:spacing w:after="0"/>
              <w:rPr>
                <w:sz w:val="20"/>
                <w:szCs w:val="20"/>
                <w:color w:val="auto"/>
              </w:rPr>
            </w:pPr>
            <w:r>
              <w:rPr>
                <w:rFonts w:ascii="Arial" w:cs="Arial" w:eastAsia="Arial" w:hAnsi="Arial"/>
                <w:sz w:val="14"/>
                <w:szCs w:val="14"/>
                <w:color w:val="auto"/>
              </w:rPr>
              <w:t>19,576</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381,883</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Non-Qualified Deferred Compensation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Civeo maintains a non-qualified style of plan in Canada in which Mr. Schoening is a participant. The investment alternatives available under the Canadian non-qualified deferred compensation plan during 2021 were the same mutual funds available to all employees under Civeo’s Group RRSP/DPSP Retirement Plan. Selection of these funds are at the discretion of the executive. Payout terms, withdrawals and other distributions are made at the discretion of the executive subject to corresponding plan terms and conditions.</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Detailed below is 2021 activity in the Canadian non-qualified Deferred Compensation Plan for Mr. Schoening. All amounts listed below for Mr. Schoening have been converted to U.S. dollars an exchange rate of $0.7979. Messrs. Dodson and McCann and Ms. Stone did not participate in this plan or any other non-qualified deferred compensation plan during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180" w:type="dxa"/>
            <w:vAlign w:val="bottom"/>
          </w:tcPr>
          <w:p>
            <w:pPr>
              <w:jc w:val="right"/>
              <w:ind w:right="172"/>
              <w:spacing w:after="0"/>
              <w:rPr>
                <w:sz w:val="20"/>
                <w:szCs w:val="20"/>
                <w:color w:val="auto"/>
              </w:rPr>
            </w:pPr>
            <w:r>
              <w:rPr>
                <w:rFonts w:ascii="Arial" w:cs="Arial" w:eastAsia="Arial" w:hAnsi="Arial"/>
                <w:sz w:val="14"/>
                <w:szCs w:val="14"/>
                <w:b w:val="1"/>
                <w:bCs w:val="1"/>
                <w:color w:val="706F6F"/>
              </w:rPr>
              <w:t>Executive</w:t>
            </w:r>
          </w:p>
        </w:tc>
        <w:tc>
          <w:tcPr>
            <w:tcW w:w="1560" w:type="dxa"/>
            <w:vAlign w:val="bottom"/>
          </w:tcPr>
          <w:p>
            <w:pPr>
              <w:jc w:val="right"/>
              <w:ind w:right="152"/>
              <w:spacing w:after="0"/>
              <w:rPr>
                <w:sz w:val="20"/>
                <w:szCs w:val="20"/>
                <w:color w:val="auto"/>
              </w:rPr>
            </w:pPr>
            <w:r>
              <w:rPr>
                <w:rFonts w:ascii="Arial" w:cs="Arial" w:eastAsia="Arial" w:hAnsi="Arial"/>
                <w:sz w:val="14"/>
                <w:szCs w:val="14"/>
                <w:b w:val="1"/>
                <w:bCs w:val="1"/>
                <w:color w:val="706F6F"/>
              </w:rPr>
              <w:t>Registrant</w:t>
            </w:r>
          </w:p>
        </w:tc>
        <w:tc>
          <w:tcPr>
            <w:tcW w:w="186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706F6F"/>
              </w:rPr>
              <w:t>Aggregate Earnings</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Aggregate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Aggregate Balance</w:t>
            </w:r>
          </w:p>
        </w:tc>
      </w:tr>
      <w:tr>
        <w:trPr>
          <w:trHeight w:val="162"/>
        </w:trPr>
        <w:tc>
          <w:tcPr>
            <w:tcW w:w="2320" w:type="dxa"/>
            <w:vAlign w:val="bottom"/>
          </w:tcPr>
          <w:p>
            <w:pPr>
              <w:spacing w:after="0"/>
              <w:rPr>
                <w:sz w:val="14"/>
                <w:szCs w:val="14"/>
                <w:color w:val="auto"/>
              </w:rPr>
            </w:pPr>
          </w:p>
        </w:tc>
        <w:tc>
          <w:tcPr>
            <w:tcW w:w="2180" w:type="dxa"/>
            <w:vAlign w:val="bottom"/>
          </w:tcPr>
          <w:p>
            <w:pPr>
              <w:jc w:val="right"/>
              <w:ind w:right="172"/>
              <w:spacing w:after="0"/>
              <w:rPr>
                <w:sz w:val="20"/>
                <w:szCs w:val="20"/>
                <w:color w:val="auto"/>
              </w:rPr>
            </w:pPr>
            <w:r>
              <w:rPr>
                <w:rFonts w:ascii="Arial" w:cs="Arial" w:eastAsia="Arial" w:hAnsi="Arial"/>
                <w:sz w:val="14"/>
                <w:szCs w:val="14"/>
                <w:b w:val="1"/>
                <w:bCs w:val="1"/>
                <w:color w:val="706F6F"/>
              </w:rPr>
              <w:t>Contributions in</w:t>
            </w:r>
          </w:p>
        </w:tc>
        <w:tc>
          <w:tcPr>
            <w:tcW w:w="1560" w:type="dxa"/>
            <w:vAlign w:val="bottom"/>
          </w:tcPr>
          <w:p>
            <w:pPr>
              <w:jc w:val="right"/>
              <w:ind w:right="152"/>
              <w:spacing w:after="0"/>
              <w:rPr>
                <w:sz w:val="20"/>
                <w:szCs w:val="20"/>
                <w:color w:val="auto"/>
              </w:rPr>
            </w:pPr>
            <w:r>
              <w:rPr>
                <w:rFonts w:ascii="Arial" w:cs="Arial" w:eastAsia="Arial" w:hAnsi="Arial"/>
                <w:sz w:val="14"/>
                <w:szCs w:val="14"/>
                <w:b w:val="1"/>
                <w:bCs w:val="1"/>
                <w:color w:val="706F6F"/>
              </w:rPr>
              <w:t>Contribution in</w:t>
            </w:r>
          </w:p>
        </w:tc>
        <w:tc>
          <w:tcPr>
            <w:tcW w:w="62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706F6F"/>
              </w:rPr>
              <w:t>(Loss) in Last</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Withdrawals/</w:t>
            </w:r>
          </w:p>
        </w:tc>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At Last Fiscal</w:t>
            </w:r>
          </w:p>
        </w:tc>
      </w:tr>
      <w:tr>
        <w:trPr>
          <w:trHeight w:val="160"/>
        </w:trPr>
        <w:tc>
          <w:tcPr>
            <w:tcW w:w="2320" w:type="dxa"/>
            <w:vAlign w:val="bottom"/>
          </w:tcPr>
          <w:p>
            <w:pPr>
              <w:spacing w:after="0"/>
              <w:rPr>
                <w:sz w:val="13"/>
                <w:szCs w:val="13"/>
                <w:color w:val="auto"/>
              </w:rPr>
            </w:pPr>
          </w:p>
        </w:tc>
        <w:tc>
          <w:tcPr>
            <w:tcW w:w="2180" w:type="dxa"/>
            <w:vAlign w:val="bottom"/>
          </w:tcPr>
          <w:p>
            <w:pPr>
              <w:jc w:val="right"/>
              <w:ind w:right="172"/>
              <w:spacing w:after="0" w:line="159" w:lineRule="exact"/>
              <w:rPr>
                <w:sz w:val="20"/>
                <w:szCs w:val="20"/>
                <w:color w:val="auto"/>
              </w:rPr>
            </w:pPr>
            <w:r>
              <w:rPr>
                <w:rFonts w:ascii="Arial" w:cs="Arial" w:eastAsia="Arial" w:hAnsi="Arial"/>
                <w:sz w:val="14"/>
                <w:szCs w:val="14"/>
                <w:b w:val="1"/>
                <w:bCs w:val="1"/>
                <w:color w:val="706F6F"/>
              </w:rPr>
              <w:t>Last Fiscal Year</w:t>
            </w:r>
          </w:p>
        </w:tc>
        <w:tc>
          <w:tcPr>
            <w:tcW w:w="1560" w:type="dxa"/>
            <w:vAlign w:val="bottom"/>
          </w:tcPr>
          <w:p>
            <w:pPr>
              <w:jc w:val="right"/>
              <w:ind w:right="152"/>
              <w:spacing w:after="0" w:line="159" w:lineRule="exact"/>
              <w:rPr>
                <w:sz w:val="20"/>
                <w:szCs w:val="20"/>
                <w:color w:val="auto"/>
              </w:rPr>
            </w:pPr>
            <w:r>
              <w:rPr>
                <w:rFonts w:ascii="Arial" w:cs="Arial" w:eastAsia="Arial" w:hAnsi="Arial"/>
                <w:sz w:val="14"/>
                <w:szCs w:val="14"/>
                <w:b w:val="1"/>
                <w:bCs w:val="1"/>
                <w:color w:val="706F6F"/>
              </w:rPr>
              <w:t>Last Fiscal Year</w:t>
            </w:r>
          </w:p>
        </w:tc>
        <w:tc>
          <w:tcPr>
            <w:tcW w:w="620" w:type="dxa"/>
            <w:vAlign w:val="bottom"/>
          </w:tcPr>
          <w:p>
            <w:pPr>
              <w:spacing w:after="0"/>
              <w:rPr>
                <w:sz w:val="13"/>
                <w:szCs w:val="13"/>
                <w:color w:val="auto"/>
              </w:rPr>
            </w:pPr>
          </w:p>
        </w:tc>
        <w:tc>
          <w:tcPr>
            <w:tcW w:w="1240" w:type="dxa"/>
            <w:vAlign w:val="bottom"/>
          </w:tcPr>
          <w:p>
            <w:pPr>
              <w:jc w:val="right"/>
              <w:ind w:right="213"/>
              <w:spacing w:after="0" w:line="159" w:lineRule="exact"/>
              <w:rPr>
                <w:sz w:val="20"/>
                <w:szCs w:val="20"/>
                <w:color w:val="auto"/>
              </w:rPr>
            </w:pPr>
            <w:r>
              <w:rPr>
                <w:rFonts w:ascii="Arial" w:cs="Arial" w:eastAsia="Arial" w:hAnsi="Arial"/>
                <w:sz w:val="14"/>
                <w:szCs w:val="14"/>
                <w:b w:val="1"/>
                <w:bCs w:val="1"/>
                <w:color w:val="706F6F"/>
              </w:rPr>
              <w:t>Fiscal Year</w:t>
            </w:r>
          </w:p>
        </w:tc>
        <w:tc>
          <w:tcPr>
            <w:tcW w:w="1440" w:type="dxa"/>
            <w:vAlign w:val="bottom"/>
          </w:tcPr>
          <w:p>
            <w:pPr>
              <w:jc w:val="right"/>
              <w:ind w:right="186"/>
              <w:spacing w:after="0" w:line="159" w:lineRule="exact"/>
              <w:rPr>
                <w:sz w:val="20"/>
                <w:szCs w:val="20"/>
                <w:color w:val="auto"/>
              </w:rPr>
            </w:pPr>
            <w:r>
              <w:rPr>
                <w:rFonts w:ascii="Arial" w:cs="Arial" w:eastAsia="Arial" w:hAnsi="Arial"/>
                <w:sz w:val="14"/>
                <w:szCs w:val="14"/>
                <w:b w:val="1"/>
                <w:bCs w:val="1"/>
                <w:color w:val="706F6F"/>
              </w:rPr>
              <w:t>Distributions</w:t>
            </w:r>
          </w:p>
        </w:tc>
        <w:tc>
          <w:tcPr>
            <w:tcW w:w="6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b w:val="1"/>
                <w:bCs w:val="1"/>
                <w:color w:val="706F6F"/>
              </w:rPr>
              <w:t>Year End</w:t>
            </w:r>
          </w:p>
        </w:tc>
      </w:tr>
      <w:tr>
        <w:trPr>
          <w:trHeight w:val="208"/>
        </w:trPr>
        <w:tc>
          <w:tcPr>
            <w:tcW w:w="23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2180" w:type="dxa"/>
            <w:vAlign w:val="bottom"/>
            <w:tcBorders>
              <w:bottom w:val="single" w:sz="8" w:color="006DB6"/>
            </w:tcBorders>
          </w:tcPr>
          <w:p>
            <w:pPr>
              <w:jc w:val="right"/>
              <w:ind w:right="172"/>
              <w:spacing w:after="0" w:line="201"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(1)</w:t>
            </w:r>
          </w:p>
        </w:tc>
        <w:tc>
          <w:tcPr>
            <w:tcW w:w="1560" w:type="dxa"/>
            <w:vAlign w:val="bottom"/>
            <w:tcBorders>
              <w:bottom w:val="single" w:sz="8" w:color="006DB6"/>
            </w:tcBorders>
          </w:tcPr>
          <w:p>
            <w:pPr>
              <w:jc w:val="right"/>
              <w:ind w:right="152"/>
              <w:spacing w:after="0" w:line="201"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(2)</w:t>
            </w:r>
          </w:p>
        </w:tc>
        <w:tc>
          <w:tcPr>
            <w:tcW w:w="620" w:type="dxa"/>
            <w:vAlign w:val="bottom"/>
            <w:tcBorders>
              <w:bottom w:val="single" w:sz="8" w:color="006DB6"/>
            </w:tcBorders>
          </w:tcPr>
          <w:p>
            <w:pPr>
              <w:spacing w:after="0"/>
              <w:rPr>
                <w:sz w:val="18"/>
                <w:szCs w:val="18"/>
                <w:color w:val="auto"/>
              </w:rPr>
            </w:pPr>
          </w:p>
        </w:tc>
        <w:tc>
          <w:tcPr>
            <w:tcW w:w="1240" w:type="dxa"/>
            <w:vAlign w:val="bottom"/>
            <w:tcBorders>
              <w:bottom w:val="single" w:sz="8" w:color="006DB6"/>
            </w:tcBorders>
          </w:tcPr>
          <w:p>
            <w:pPr>
              <w:jc w:val="right"/>
              <w:ind w:right="213"/>
              <w:spacing w:after="0" w:line="201"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(3)</w:t>
            </w:r>
          </w:p>
        </w:tc>
        <w:tc>
          <w:tcPr>
            <w:tcW w:w="1440" w:type="dxa"/>
            <w:vAlign w:val="bottom"/>
            <w:tcBorders>
              <w:bottom w:val="single" w:sz="8" w:color="006DB6"/>
            </w:tcBorders>
          </w:tcPr>
          <w:p>
            <w:pPr>
              <w:jc w:val="right"/>
              <w:ind w:right="186"/>
              <w:spacing w:after="0"/>
              <w:rPr>
                <w:sz w:val="20"/>
                <w:szCs w:val="20"/>
                <w:color w:val="auto"/>
              </w:rPr>
            </w:pPr>
            <w:r>
              <w:rPr>
                <w:rFonts w:ascii="Arial" w:cs="Arial" w:eastAsia="Arial" w:hAnsi="Arial"/>
                <w:sz w:val="14"/>
                <w:szCs w:val="14"/>
                <w:b w:val="1"/>
                <w:bCs w:val="1"/>
                <w:color w:val="706F6F"/>
              </w:rPr>
              <w:t>($)</w:t>
            </w:r>
          </w:p>
        </w:tc>
        <w:tc>
          <w:tcPr>
            <w:tcW w:w="600" w:type="dxa"/>
            <w:vAlign w:val="bottom"/>
            <w:tcBorders>
              <w:bottom w:val="single" w:sz="8" w:color="006DB6"/>
            </w:tcBorders>
          </w:tcPr>
          <w:p>
            <w:pPr>
              <w:spacing w:after="0"/>
              <w:rPr>
                <w:sz w:val="18"/>
                <w:szCs w:val="18"/>
                <w:color w:val="auto"/>
              </w:rPr>
            </w:pPr>
          </w:p>
        </w:tc>
        <w:tc>
          <w:tcPr>
            <w:tcW w:w="1000" w:type="dxa"/>
            <w:vAlign w:val="bottom"/>
            <w:tcBorders>
              <w:bottom w:val="single" w:sz="8" w:color="006DB6"/>
            </w:tcBorders>
          </w:tcPr>
          <w:p>
            <w:pPr>
              <w:jc w:val="right"/>
              <w:spacing w:after="0" w:line="201" w:lineRule="exact"/>
              <w:rPr>
                <w:sz w:val="20"/>
                <w:szCs w:val="20"/>
                <w:color w:val="auto"/>
              </w:rPr>
            </w:pPr>
            <w:r>
              <w:rPr>
                <w:rFonts w:ascii="Arial" w:cs="Arial" w:eastAsia="Arial" w:hAnsi="Arial"/>
                <w:sz w:val="23"/>
                <w:szCs w:val="23"/>
                <w:b w:val="1"/>
                <w:bCs w:val="1"/>
                <w:color w:val="706F6F"/>
                <w:vertAlign w:val="subscript"/>
              </w:rPr>
              <w:t>($)</w:t>
            </w:r>
            <w:r>
              <w:rPr>
                <w:rFonts w:ascii="Arial" w:cs="Arial" w:eastAsia="Arial" w:hAnsi="Arial"/>
                <w:sz w:val="8"/>
                <w:szCs w:val="8"/>
                <w:b w:val="1"/>
                <w:bCs w:val="1"/>
                <w:color w:val="706F6F"/>
              </w:rPr>
              <w:t>(4)</w:t>
            </w:r>
          </w:p>
        </w:tc>
      </w:tr>
      <w:tr>
        <w:trPr>
          <w:trHeight w:val="23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21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color w:val="auto"/>
              </w:rPr>
              <w:t>$   32,698</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color w:val="auto"/>
              </w:rPr>
              <w:t>$   24,847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color w:val="auto"/>
              </w:rPr>
              <w:t>52,469</w:t>
            </w:r>
          </w:p>
        </w:tc>
        <w:tc>
          <w:tcPr>
            <w:tcW w:w="144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color w:val="auto"/>
              </w:rPr>
              <w:t>320,111</w:t>
            </w:r>
          </w:p>
        </w:tc>
      </w:tr>
    </w:tbl>
    <w:p>
      <w:pPr>
        <w:spacing w:after="0" w:line="85" w:lineRule="exact"/>
        <w:rPr>
          <w:sz w:val="20"/>
          <w:szCs w:val="20"/>
          <w:color w:val="auto"/>
        </w:rPr>
      </w:pPr>
    </w:p>
    <w:p>
      <w:pPr>
        <w:ind w:left="260" w:right="600" w:hanging="252"/>
        <w:spacing w:after="0" w:line="222"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All contribution amounts for the last fiscal year reported in this table are also included in the “Salary” and “Non-Equity Incentive Plan Compensation” columns in the Summary Compensation Table for 2021.</w:t>
      </w:r>
    </w:p>
    <w:p>
      <w:pPr>
        <w:spacing w:after="0" w:line="12"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The $24,847 reported for Mr. Schoening in this column is also included in the “All Other Compensation” column of the Summary Compensation Table for 2021.</w:t>
      </w:r>
    </w:p>
    <w:p>
      <w:pPr>
        <w:spacing w:after="0" w:line="53" w:lineRule="exact"/>
        <w:rPr>
          <w:rFonts w:ascii="Arial" w:cs="Arial" w:eastAsia="Arial" w:hAnsi="Arial"/>
          <w:sz w:val="19"/>
          <w:szCs w:val="19"/>
          <w:color w:val="auto"/>
          <w:vertAlign w:val="superscript"/>
        </w:rPr>
      </w:pPr>
    </w:p>
    <w:p>
      <w:pPr>
        <w:ind w:left="260" w:right="200" w:hanging="252"/>
        <w:spacing w:after="0" w:line="264" w:lineRule="auto"/>
        <w:tabs>
          <w:tab w:leader="none" w:pos="264" w:val="left"/>
        </w:tabs>
        <w:numPr>
          <w:ilvl w:val="0"/>
          <w:numId w:val="49"/>
        </w:numPr>
        <w:rPr>
          <w:rFonts w:ascii="Arial" w:cs="Arial" w:eastAsia="Arial" w:hAnsi="Arial"/>
          <w:sz w:val="9"/>
          <w:szCs w:val="9"/>
          <w:color w:val="auto"/>
        </w:rPr>
      </w:pPr>
      <w:r>
        <w:rPr>
          <w:rFonts w:ascii="Arial" w:cs="Arial" w:eastAsia="Arial" w:hAnsi="Arial"/>
          <w:sz w:val="14"/>
          <w:szCs w:val="14"/>
          <w:color w:val="auto"/>
        </w:rPr>
        <w:t>This column represents net unrealized appreciation, loss, dividends and distributions for Mr. Schoening for mutual fund investments for 2021 associated with investments held in the Deferred Compensation Plan and is not reported in the Summary Compensation Table as such amount is not above-market.</w:t>
      </w:r>
    </w:p>
    <w:p>
      <w:pPr>
        <w:spacing w:after="0" w:line="8" w:lineRule="exact"/>
        <w:rPr>
          <w:rFonts w:ascii="Arial" w:cs="Arial" w:eastAsia="Arial" w:hAnsi="Arial"/>
          <w:sz w:val="9"/>
          <w:szCs w:val="9"/>
          <w:color w:val="auto"/>
        </w:rPr>
      </w:pPr>
    </w:p>
    <w:p>
      <w:pPr>
        <w:ind w:left="280" w:hanging="272"/>
        <w:spacing w:after="0"/>
        <w:tabs>
          <w:tab w:leader="none" w:pos="28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$143,752 of the aggregate balance was reported for Mr. Schoening previously as compensation in our “Summary Compensation Table” in prior years’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373380</wp:posOffset>
            </wp:positionV>
            <wp:extent cx="394335" cy="1968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220"/>
          </w:cols>
          <w:pgMar w:left="320" w:top="125"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Potential Payments upon Termination or Change of Control</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table below reflects the amount of compensation that would be payable to Messrs. Dodson, Schoening, McCann and Ms. Stone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be payable to Messrs. Dodson and McCann in the event of a qualified termination not in connection with a “Change of Control” (as defined in their Executive Agreements). Mr. Schoening’s and Ms. Stone’s Change of Control Agreements do not provide for any severance benefits on a termination prior to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The amounts shown in the table assume that such qualified termination was effective as of December 31, 2021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7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“Change of Control” includes (i) any person acquiring beneficial ownership of 35% or more of the combined voting power of our capital stock, (ii) 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Equity Awards</w:t>
      </w:r>
    </w:p>
    <w:p>
      <w:pPr>
        <w:spacing w:after="0" w:line="12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share unit, restricted stock award, phantom unit award, and deferred share agreements provide that awards would become fully vested on (i) the date a Change of Control occurs or (ii) the termination of an employee’s employment due to his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bl>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Quantification of Payments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Shown in the table below are potential payments upon the assumed (i) involuntary not for Cause termination of the named executive officer by Civeo on December 31, 2021, other than during the 24-month period following a Change of Control ("NFC" in table below), (ii) involuntary not for Cause termination or termination by the named executive officer for “Good Reason,” in either case, during the 24-month period (for Mr. Dodson) or 18-month period (in the case of Messrs. McCann or Schoening or Ms. Stone) following a Change of Control, occurring as of December 31, 2021 ("CIC"in the table below), or (iii) termination as a result of death, disability, or qualifying retirement on December 31, 2021, ("DDR" in the table below). None of Mr. Dodson’s potential payments as of December 31, 2021 would trigger a gross-up payment for excise taxes that would be reimbursed under his Executive Agreement.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00" w:type="dxa"/>
            <w:vAlign w:val="bottom"/>
          </w:tcPr>
          <w:p>
            <w:pPr>
              <w:spacing w:after="0"/>
              <w:rPr>
                <w:sz w:val="17"/>
                <w:szCs w:val="17"/>
                <w:color w:val="auto"/>
              </w:rPr>
            </w:pPr>
          </w:p>
        </w:tc>
        <w:tc>
          <w:tcPr>
            <w:tcW w:w="340" w:type="dxa"/>
            <w:vAlign w:val="bottom"/>
            <w:tcBorders>
              <w:bottom w:val="single" w:sz="8" w:color="006DB6"/>
            </w:tcBorders>
          </w:tcPr>
          <w:p>
            <w:pPr>
              <w:spacing w:after="0"/>
              <w:rPr>
                <w:sz w:val="17"/>
                <w:szCs w:val="17"/>
                <w:color w:val="auto"/>
              </w:rPr>
            </w:pPr>
          </w:p>
        </w:tc>
        <w:tc>
          <w:tcPr>
            <w:tcW w:w="920" w:type="dxa"/>
            <w:vAlign w:val="bottom"/>
            <w:tcBorders>
              <w:bottom w:val="single" w:sz="8" w:color="006DB6"/>
            </w:tcBorders>
          </w:tcPr>
          <w:p>
            <w:pPr>
              <w:spacing w:after="0"/>
              <w:rPr>
                <w:sz w:val="17"/>
                <w:szCs w:val="17"/>
                <w:color w:val="auto"/>
              </w:rPr>
            </w:pPr>
          </w:p>
        </w:tc>
        <w:tc>
          <w:tcPr>
            <w:tcW w:w="1380" w:type="dxa"/>
            <w:vAlign w:val="bottom"/>
            <w:tcBorders>
              <w:bottom w:val="single" w:sz="8" w:color="006DB6"/>
            </w:tcBorders>
            <w:gridSpan w:val="2"/>
          </w:tcPr>
          <w:p>
            <w:pPr>
              <w:jc w:val="center"/>
              <w:ind w:right="40"/>
              <w:spacing w:after="0"/>
              <w:rPr>
                <w:sz w:val="20"/>
                <w:szCs w:val="20"/>
                <w:color w:val="auto"/>
              </w:rPr>
            </w:pPr>
            <w:r>
              <w:rPr>
                <w:rFonts w:ascii="Arial" w:cs="Arial" w:eastAsia="Arial" w:hAnsi="Arial"/>
                <w:sz w:val="14"/>
                <w:szCs w:val="14"/>
                <w:b w:val="1"/>
                <w:bCs w:val="1"/>
                <w:color w:val="706F6F"/>
              </w:rPr>
              <w:t>Bradley J. Dodson</w:t>
            </w:r>
          </w:p>
        </w:tc>
        <w:tc>
          <w:tcPr>
            <w:tcW w:w="240" w:type="dxa"/>
            <w:vAlign w:val="bottom"/>
            <w:tcBorders>
              <w:bottom w:val="single" w:sz="8" w:color="006DB6"/>
            </w:tcBorders>
          </w:tcPr>
          <w:p>
            <w:pPr>
              <w:spacing w:after="0"/>
              <w:rPr>
                <w:sz w:val="17"/>
                <w:szCs w:val="17"/>
                <w:color w:val="auto"/>
              </w:rPr>
            </w:pPr>
          </w:p>
        </w:tc>
        <w:tc>
          <w:tcPr>
            <w:tcW w:w="900" w:type="dxa"/>
            <w:vAlign w:val="bottom"/>
            <w:tcBorders>
              <w:bottom w:val="single" w:sz="8" w:color="006DB6"/>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6DB6"/>
            </w:tcBorders>
          </w:tcPr>
          <w:p>
            <w:pPr>
              <w:spacing w:after="0"/>
              <w:rPr>
                <w:sz w:val="17"/>
                <w:szCs w:val="17"/>
                <w:color w:val="auto"/>
              </w:rPr>
            </w:pPr>
          </w:p>
        </w:tc>
        <w:tc>
          <w:tcPr>
            <w:tcW w:w="900" w:type="dxa"/>
            <w:vAlign w:val="bottom"/>
            <w:tcBorders>
              <w:bottom w:val="single" w:sz="8" w:color="006DB6"/>
            </w:tcBorders>
          </w:tcPr>
          <w:p>
            <w:pPr>
              <w:spacing w:after="0"/>
              <w:rPr>
                <w:sz w:val="17"/>
                <w:szCs w:val="17"/>
                <w:color w:val="auto"/>
              </w:rPr>
            </w:pPr>
          </w:p>
        </w:tc>
        <w:tc>
          <w:tcPr>
            <w:tcW w:w="1340" w:type="dxa"/>
            <w:vAlign w:val="bottom"/>
            <w:tcBorders>
              <w:bottom w:val="single" w:sz="8" w:color="006DB6"/>
            </w:tcBorders>
            <w:gridSpan w:val="2"/>
          </w:tcPr>
          <w:p>
            <w:pPr>
              <w:jc w:val="right"/>
              <w:ind w:right="40"/>
              <w:spacing w:after="0"/>
              <w:rPr>
                <w:sz w:val="20"/>
                <w:szCs w:val="20"/>
                <w:color w:val="auto"/>
              </w:rPr>
            </w:pPr>
            <w:r>
              <w:rPr>
                <w:rFonts w:ascii="Arial" w:cs="Arial" w:eastAsia="Arial" w:hAnsi="Arial"/>
                <w:sz w:val="14"/>
                <w:szCs w:val="14"/>
                <w:b w:val="1"/>
                <w:bCs w:val="1"/>
                <w:color w:val="706F6F"/>
              </w:rPr>
              <w:t>Carolyn J. Stone</w:t>
            </w:r>
          </w:p>
        </w:tc>
        <w:tc>
          <w:tcPr>
            <w:tcW w:w="240" w:type="dxa"/>
            <w:vAlign w:val="bottom"/>
            <w:tcBorders>
              <w:bottom w:val="single" w:sz="8" w:color="006DB6"/>
            </w:tcBorders>
          </w:tcPr>
          <w:p>
            <w:pPr>
              <w:spacing w:after="0"/>
              <w:rPr>
                <w:sz w:val="17"/>
                <w:szCs w:val="17"/>
                <w:color w:val="auto"/>
              </w:rPr>
            </w:pPr>
          </w:p>
        </w:tc>
        <w:tc>
          <w:tcPr>
            <w:tcW w:w="900" w:type="dxa"/>
            <w:vAlign w:val="bottom"/>
            <w:tcBorders>
              <w:bottom w:val="single" w:sz="8" w:color="006DB6"/>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006DB6"/>
            </w:tcBorders>
          </w:tcPr>
          <w:p>
            <w:pPr>
              <w:spacing w:after="0"/>
              <w:rPr>
                <w:sz w:val="19"/>
                <w:szCs w:val="19"/>
                <w:color w:val="auto"/>
              </w:rPr>
            </w:pPr>
          </w:p>
        </w:tc>
        <w:tc>
          <w:tcPr>
            <w:tcW w:w="340" w:type="dxa"/>
            <w:vAlign w:val="bottom"/>
            <w:tcBorders>
              <w:bottom w:val="single" w:sz="8" w:color="006DB6"/>
            </w:tcBorders>
          </w:tcPr>
          <w:p>
            <w:pPr>
              <w:spacing w:after="0"/>
              <w:rPr>
                <w:sz w:val="19"/>
                <w:szCs w:val="19"/>
                <w:color w:val="auto"/>
              </w:rPr>
            </w:pPr>
          </w:p>
        </w:tc>
        <w:tc>
          <w:tcPr>
            <w:tcW w:w="920" w:type="dxa"/>
            <w:vAlign w:val="bottom"/>
            <w:tcBorders>
              <w:bottom w:val="single" w:sz="8" w:color="006DB6"/>
            </w:tcBorders>
          </w:tcPr>
          <w:p>
            <w:pPr>
              <w:jc w:val="right"/>
              <w:ind w:right="401"/>
              <w:spacing w:after="0"/>
              <w:rPr>
                <w:sz w:val="20"/>
                <w:szCs w:val="20"/>
                <w:color w:val="auto"/>
              </w:rPr>
            </w:pPr>
            <w:r>
              <w:rPr>
                <w:rFonts w:ascii="Arial" w:cs="Arial" w:eastAsia="Arial" w:hAnsi="Arial"/>
                <w:sz w:val="14"/>
                <w:szCs w:val="14"/>
                <w:b w:val="1"/>
                <w:bCs w:val="1"/>
                <w:color w:val="706F6F"/>
              </w:rPr>
              <w:t>NFC</w:t>
            </w:r>
          </w:p>
        </w:tc>
        <w:tc>
          <w:tcPr>
            <w:tcW w:w="320" w:type="dxa"/>
            <w:vAlign w:val="bottom"/>
            <w:tcBorders>
              <w:bottom w:val="single" w:sz="8" w:color="006DB6"/>
            </w:tcBorders>
          </w:tcPr>
          <w:p>
            <w:pPr>
              <w:spacing w:after="0"/>
              <w:rPr>
                <w:sz w:val="19"/>
                <w:szCs w:val="19"/>
                <w:color w:val="auto"/>
              </w:rPr>
            </w:pPr>
          </w:p>
        </w:tc>
        <w:tc>
          <w:tcPr>
            <w:tcW w:w="1060" w:type="dxa"/>
            <w:vAlign w:val="bottom"/>
            <w:tcBorders>
              <w:bottom w:val="single" w:sz="8" w:color="006DB6"/>
            </w:tcBorders>
          </w:tcPr>
          <w:p>
            <w:pPr>
              <w:jc w:val="center"/>
              <w:ind w:right="360"/>
              <w:spacing w:after="0"/>
              <w:rPr>
                <w:sz w:val="20"/>
                <w:szCs w:val="20"/>
                <w:color w:val="auto"/>
              </w:rPr>
            </w:pPr>
            <w:r>
              <w:rPr>
                <w:rFonts w:ascii="Arial" w:cs="Arial" w:eastAsia="Arial" w:hAnsi="Arial"/>
                <w:sz w:val="14"/>
                <w:szCs w:val="14"/>
                <w:b w:val="1"/>
                <w:bCs w:val="1"/>
                <w:color w:val="706F6F"/>
              </w:rPr>
              <w:t>CIC</w:t>
            </w:r>
          </w:p>
        </w:tc>
        <w:tc>
          <w:tcPr>
            <w:tcW w:w="240" w:type="dxa"/>
            <w:vAlign w:val="bottom"/>
            <w:tcBorders>
              <w:bottom w:val="single" w:sz="8" w:color="006DB6"/>
            </w:tcBorders>
          </w:tcPr>
          <w:p>
            <w:pPr>
              <w:spacing w:after="0"/>
              <w:rPr>
                <w:sz w:val="19"/>
                <w:szCs w:val="19"/>
                <w:color w:val="auto"/>
              </w:rPr>
            </w:pPr>
          </w:p>
        </w:tc>
        <w:tc>
          <w:tcPr>
            <w:tcW w:w="980" w:type="dxa"/>
            <w:vAlign w:val="bottom"/>
            <w:tcBorders>
              <w:bottom w:val="single" w:sz="8" w:color="006DB6"/>
            </w:tcBorders>
            <w:gridSpan w:val="2"/>
          </w:tcPr>
          <w:p>
            <w:pPr>
              <w:ind w:left="100"/>
              <w:spacing w:after="0"/>
              <w:rPr>
                <w:sz w:val="20"/>
                <w:szCs w:val="20"/>
                <w:color w:val="auto"/>
              </w:rPr>
            </w:pPr>
            <w:r>
              <w:rPr>
                <w:rFonts w:ascii="Arial" w:cs="Arial" w:eastAsia="Arial" w:hAnsi="Arial"/>
                <w:sz w:val="14"/>
                <w:szCs w:val="14"/>
                <w:b w:val="1"/>
                <w:bCs w:val="1"/>
                <w:color w:val="706F6F"/>
              </w:rPr>
              <w:t>DDR</w:t>
            </w:r>
          </w:p>
        </w:tc>
        <w:tc>
          <w:tcPr>
            <w:tcW w:w="28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tcPr>
          <w:p>
            <w:pPr>
              <w:jc w:val="right"/>
              <w:ind w:right="360"/>
              <w:spacing w:after="0"/>
              <w:rPr>
                <w:sz w:val="20"/>
                <w:szCs w:val="20"/>
                <w:color w:val="auto"/>
              </w:rPr>
            </w:pPr>
            <w:r>
              <w:rPr>
                <w:rFonts w:ascii="Arial" w:cs="Arial" w:eastAsia="Arial" w:hAnsi="Arial"/>
                <w:sz w:val="14"/>
                <w:szCs w:val="14"/>
                <w:b w:val="1"/>
                <w:bCs w:val="1"/>
                <w:color w:val="706F6F"/>
              </w:rPr>
              <w:t>NFC</w:t>
            </w:r>
          </w:p>
        </w:tc>
        <w:tc>
          <w:tcPr>
            <w:tcW w:w="340" w:type="dxa"/>
            <w:vAlign w:val="bottom"/>
            <w:tcBorders>
              <w:bottom w:val="single" w:sz="8" w:color="006DB6"/>
            </w:tcBorders>
          </w:tcPr>
          <w:p>
            <w:pPr>
              <w:spacing w:after="0"/>
              <w:rPr>
                <w:sz w:val="19"/>
                <w:szCs w:val="19"/>
                <w:color w:val="auto"/>
              </w:rPr>
            </w:pPr>
          </w:p>
        </w:tc>
        <w:tc>
          <w:tcPr>
            <w:tcW w:w="1000" w:type="dxa"/>
            <w:vAlign w:val="bottom"/>
            <w:tcBorders>
              <w:bottom w:val="single" w:sz="8" w:color="006DB6"/>
            </w:tcBorders>
          </w:tcPr>
          <w:p>
            <w:pPr>
              <w:jc w:val="right"/>
              <w:ind w:right="440"/>
              <w:spacing w:after="0"/>
              <w:rPr>
                <w:sz w:val="20"/>
                <w:szCs w:val="20"/>
                <w:color w:val="auto"/>
              </w:rPr>
            </w:pPr>
            <w:r>
              <w:rPr>
                <w:rFonts w:ascii="Arial" w:cs="Arial" w:eastAsia="Arial" w:hAnsi="Arial"/>
                <w:sz w:val="14"/>
                <w:szCs w:val="14"/>
                <w:b w:val="1"/>
                <w:bCs w:val="1"/>
                <w:color w:val="706F6F"/>
              </w:rPr>
              <w:t xml:space="preserve">CIC </w:t>
            </w:r>
            <w:r>
              <w:rPr>
                <w:rFonts w:ascii="Arial" w:cs="Arial" w:eastAsia="Arial" w:hAnsi="Arial"/>
                <w:sz w:val="18"/>
                <w:szCs w:val="18"/>
                <w:b w:val="1"/>
                <w:bCs w:val="1"/>
                <w:color w:val="706F6F"/>
                <w:vertAlign w:val="superscript"/>
              </w:rPr>
              <w:t>(7)</w:t>
            </w:r>
          </w:p>
        </w:tc>
        <w:tc>
          <w:tcPr>
            <w:tcW w:w="24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tcPr>
          <w:p>
            <w:pPr>
              <w:ind w:left="120"/>
              <w:spacing w:after="0"/>
              <w:rPr>
                <w:sz w:val="20"/>
                <w:szCs w:val="20"/>
                <w:color w:val="auto"/>
              </w:rPr>
            </w:pPr>
            <w:r>
              <w:rPr>
                <w:rFonts w:ascii="Arial" w:cs="Arial" w:eastAsia="Arial" w:hAnsi="Arial"/>
                <w:sz w:val="14"/>
                <w:szCs w:val="14"/>
                <w:b w:val="1"/>
                <w:bCs w:val="1"/>
                <w:color w:val="706F6F"/>
              </w:rPr>
              <w:t>DDR</w:t>
            </w:r>
          </w:p>
        </w:tc>
        <w:tc>
          <w:tcPr>
            <w:tcW w:w="0" w:type="dxa"/>
            <w:vAlign w:val="bottom"/>
          </w:tcPr>
          <w:p>
            <w:pPr>
              <w:spacing w:after="0"/>
              <w:rPr>
                <w:sz w:val="1"/>
                <w:szCs w:val="1"/>
                <w:color w:val="auto"/>
              </w:rPr>
            </w:pPr>
          </w:p>
        </w:tc>
      </w:tr>
      <w:tr>
        <w:trPr>
          <w:trHeight w:val="23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and Payments due on Separation</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1,500,000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3,000,000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1,097,250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4,433,270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4,433,270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4,433,270</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934,416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934,416</w:t>
            </w:r>
          </w:p>
        </w:tc>
        <w:tc>
          <w:tcPr>
            <w:tcW w:w="0" w:type="dxa"/>
            <w:vAlign w:val="bottom"/>
          </w:tcPr>
          <w:p>
            <w:pPr>
              <w:spacing w:after="0"/>
              <w:rPr>
                <w:sz w:val="1"/>
                <w:szCs w:val="1"/>
                <w:color w:val="auto"/>
              </w:rPr>
            </w:pPr>
          </w:p>
        </w:tc>
      </w:tr>
      <w:tr>
        <w:trPr>
          <w:trHeight w:val="385"/>
        </w:trPr>
        <w:tc>
          <w:tcPr>
            <w:tcW w:w="3700" w:type="dxa"/>
            <w:vAlign w:val="bottom"/>
          </w:tcPr>
          <w:p>
            <w:pPr>
              <w:ind w:left="300"/>
              <w:spacing w:after="0"/>
              <w:rPr>
                <w:sz w:val="20"/>
                <w:szCs w:val="20"/>
                <w:color w:val="auto"/>
              </w:rPr>
            </w:pPr>
            <w:r>
              <w:rPr>
                <w:rFonts w:ascii="Arial" w:cs="Arial" w:eastAsia="Arial" w:hAnsi="Arial"/>
                <w:sz w:val="16"/>
                <w:szCs w:val="16"/>
                <w:color w:val="auto"/>
              </w:rPr>
              <w:t>Restricted Cash Award</w:t>
            </w:r>
            <w:r>
              <w:rPr>
                <w:rFonts w:ascii="Arial" w:cs="Arial" w:eastAsia="Arial" w:hAnsi="Arial"/>
                <w:sz w:val="21"/>
                <w:szCs w:val="21"/>
                <w:color w:val="auto"/>
                <w:vertAlign w:val="superscript"/>
              </w:rPr>
              <w:t>(6)</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1,256,251</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20"/>
              <w:spacing w:after="0"/>
              <w:rPr>
                <w:sz w:val="20"/>
                <w:szCs w:val="20"/>
                <w:color w:val="auto"/>
              </w:rPr>
            </w:pPr>
            <w:r>
              <w:rPr>
                <w:rFonts w:ascii="Arial" w:cs="Arial" w:eastAsia="Arial" w:hAnsi="Arial"/>
                <w:sz w:val="16"/>
                <w:szCs w:val="16"/>
                <w:color w:val="auto"/>
              </w:rPr>
              <w:t>1,256,251</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1,256,251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255,000</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255,000</w:t>
            </w:r>
          </w:p>
        </w:tc>
        <w:tc>
          <w:tcPr>
            <w:tcW w:w="0" w:type="dxa"/>
            <w:vAlign w:val="bottom"/>
          </w:tcPr>
          <w:p>
            <w:pPr>
              <w:spacing w:after="0"/>
              <w:rPr>
                <w:sz w:val="1"/>
                <w:szCs w:val="1"/>
                <w:color w:val="auto"/>
              </w:rPr>
            </w:pPr>
          </w:p>
        </w:tc>
      </w:tr>
      <w:tr>
        <w:trPr>
          <w:trHeight w:val="61"/>
        </w:trPr>
        <w:tc>
          <w:tcPr>
            <w:tcW w:w="37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50,533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75,800</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50,533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112,500</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57,000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7,240,054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8,877,821</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5,689,521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2,394,199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1,189,416</w:t>
            </w:r>
          </w:p>
        </w:tc>
        <w:tc>
          <w:tcPr>
            <w:tcW w:w="0" w:type="dxa"/>
            <w:vAlign w:val="bottom"/>
          </w:tcPr>
          <w:p>
            <w:pPr>
              <w:spacing w:after="0"/>
              <w:rPr>
                <w:sz w:val="1"/>
                <w:szCs w:val="1"/>
                <w:color w:val="auto"/>
              </w:rPr>
            </w:pPr>
          </w:p>
        </w:tc>
      </w:tr>
      <w:tr>
        <w:trPr>
          <w:trHeight w:val="466"/>
        </w:trPr>
        <w:tc>
          <w:tcPr>
            <w:tcW w:w="3700" w:type="dxa"/>
            <w:vAlign w:val="bottom"/>
          </w:tcPr>
          <w:p>
            <w:pPr>
              <w:spacing w:after="0"/>
              <w:rPr>
                <w:sz w:val="24"/>
                <w:szCs w:val="24"/>
                <w:color w:val="auto"/>
              </w:rPr>
            </w:pPr>
          </w:p>
        </w:tc>
        <w:tc>
          <w:tcPr>
            <w:tcW w:w="340" w:type="dxa"/>
            <w:vAlign w:val="bottom"/>
            <w:tcBorders>
              <w:bottom w:val="single" w:sz="8" w:color="006DB6"/>
            </w:tcBorders>
          </w:tcPr>
          <w:p>
            <w:pPr>
              <w:spacing w:after="0"/>
              <w:rPr>
                <w:sz w:val="24"/>
                <w:szCs w:val="24"/>
                <w:color w:val="auto"/>
              </w:rPr>
            </w:pPr>
          </w:p>
        </w:tc>
        <w:tc>
          <w:tcPr>
            <w:tcW w:w="2300" w:type="dxa"/>
            <w:vAlign w:val="bottom"/>
            <w:tcBorders>
              <w:bottom w:val="single" w:sz="8" w:color="006DB6"/>
            </w:tcBorders>
            <w:gridSpan w:val="3"/>
          </w:tcPr>
          <w:p>
            <w:pPr>
              <w:jc w:val="center"/>
              <w:ind w:left="721"/>
              <w:spacing w:after="0"/>
              <w:rPr>
                <w:sz w:val="20"/>
                <w:szCs w:val="20"/>
                <w:color w:val="auto"/>
              </w:rPr>
            </w:pPr>
            <w:r>
              <w:rPr>
                <w:rFonts w:ascii="Arial" w:cs="Arial" w:eastAsia="Arial" w:hAnsi="Arial"/>
                <w:sz w:val="14"/>
                <w:szCs w:val="14"/>
                <w:b w:val="1"/>
                <w:bCs w:val="1"/>
                <w:color w:val="706F6F"/>
                <w:w w:val="99"/>
              </w:rPr>
              <w:t>Allan D. Schoening</w:t>
            </w:r>
            <w:r>
              <w:rPr>
                <w:rFonts w:ascii="Arial" w:cs="Arial" w:eastAsia="Arial" w:hAnsi="Arial"/>
                <w:sz w:val="18"/>
                <w:szCs w:val="18"/>
                <w:b w:val="1"/>
                <w:bCs w:val="1"/>
                <w:color w:val="706F6F"/>
                <w:w w:val="99"/>
                <w:vertAlign w:val="superscript"/>
              </w:rPr>
              <w:t>(5)</w:t>
            </w:r>
          </w:p>
        </w:tc>
        <w:tc>
          <w:tcPr>
            <w:tcW w:w="240" w:type="dxa"/>
            <w:vAlign w:val="bottom"/>
            <w:tcBorders>
              <w:bottom w:val="single" w:sz="8" w:color="006DB6"/>
            </w:tcBorders>
          </w:tcPr>
          <w:p>
            <w:pPr>
              <w:spacing w:after="0"/>
              <w:rPr>
                <w:sz w:val="24"/>
                <w:szCs w:val="24"/>
                <w:color w:val="auto"/>
              </w:rPr>
            </w:pPr>
          </w:p>
        </w:tc>
        <w:tc>
          <w:tcPr>
            <w:tcW w:w="900" w:type="dxa"/>
            <w:vAlign w:val="bottom"/>
            <w:tcBorders>
              <w:bottom w:val="single" w:sz="8" w:color="006DB6"/>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6DB6"/>
            </w:tcBorders>
          </w:tcPr>
          <w:p>
            <w:pPr>
              <w:spacing w:after="0"/>
              <w:rPr>
                <w:sz w:val="24"/>
                <w:szCs w:val="24"/>
                <w:color w:val="auto"/>
              </w:rPr>
            </w:pPr>
          </w:p>
        </w:tc>
        <w:tc>
          <w:tcPr>
            <w:tcW w:w="900" w:type="dxa"/>
            <w:vAlign w:val="bottom"/>
            <w:tcBorders>
              <w:bottom w:val="single" w:sz="8" w:color="006DB6"/>
            </w:tcBorders>
          </w:tcPr>
          <w:p>
            <w:pPr>
              <w:spacing w:after="0"/>
              <w:rPr>
                <w:sz w:val="24"/>
                <w:szCs w:val="24"/>
                <w:color w:val="auto"/>
              </w:rPr>
            </w:pPr>
          </w:p>
        </w:tc>
        <w:tc>
          <w:tcPr>
            <w:tcW w:w="1340" w:type="dxa"/>
            <w:vAlign w:val="bottom"/>
            <w:tcBorders>
              <w:bottom w:val="single" w:sz="8" w:color="006DB6"/>
            </w:tcBorders>
            <w:gridSpan w:val="2"/>
          </w:tcPr>
          <w:p>
            <w:pPr>
              <w:jc w:val="right"/>
              <w:spacing w:after="0"/>
              <w:rPr>
                <w:sz w:val="20"/>
                <w:szCs w:val="20"/>
                <w:color w:val="auto"/>
              </w:rPr>
            </w:pPr>
            <w:r>
              <w:rPr>
                <w:rFonts w:ascii="Arial" w:cs="Arial" w:eastAsia="Arial" w:hAnsi="Arial"/>
                <w:sz w:val="14"/>
                <w:szCs w:val="14"/>
                <w:b w:val="1"/>
                <w:bCs w:val="1"/>
                <w:color w:val="706F6F"/>
              </w:rPr>
              <w:t>Peter L. McCann</w:t>
            </w:r>
            <w:r>
              <w:rPr>
                <w:rFonts w:ascii="Arial" w:cs="Arial" w:eastAsia="Arial" w:hAnsi="Arial"/>
                <w:sz w:val="18"/>
                <w:szCs w:val="18"/>
                <w:b w:val="1"/>
                <w:bCs w:val="1"/>
                <w:color w:val="706F6F"/>
                <w:vertAlign w:val="superscript"/>
              </w:rPr>
              <w:t>(4)</w:t>
            </w:r>
          </w:p>
        </w:tc>
        <w:tc>
          <w:tcPr>
            <w:tcW w:w="240" w:type="dxa"/>
            <w:vAlign w:val="bottom"/>
            <w:tcBorders>
              <w:bottom w:val="single" w:sz="8" w:color="006DB6"/>
            </w:tcBorders>
          </w:tcPr>
          <w:p>
            <w:pPr>
              <w:spacing w:after="0"/>
              <w:rPr>
                <w:sz w:val="24"/>
                <w:szCs w:val="24"/>
                <w:color w:val="auto"/>
              </w:rPr>
            </w:pPr>
          </w:p>
        </w:tc>
        <w:tc>
          <w:tcPr>
            <w:tcW w:w="900" w:type="dxa"/>
            <w:vAlign w:val="bottom"/>
            <w:tcBorders>
              <w:bottom w:val="single" w:sz="8" w:color="006DB6"/>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006DB6"/>
            </w:tcBorders>
          </w:tcPr>
          <w:p>
            <w:pPr>
              <w:spacing w:after="0"/>
              <w:rPr>
                <w:sz w:val="19"/>
                <w:szCs w:val="19"/>
                <w:color w:val="auto"/>
              </w:rPr>
            </w:pPr>
          </w:p>
        </w:tc>
        <w:tc>
          <w:tcPr>
            <w:tcW w:w="340" w:type="dxa"/>
            <w:vAlign w:val="bottom"/>
            <w:tcBorders>
              <w:bottom w:val="single" w:sz="8" w:color="006DB6"/>
            </w:tcBorders>
          </w:tcPr>
          <w:p>
            <w:pPr>
              <w:spacing w:after="0"/>
              <w:rPr>
                <w:sz w:val="19"/>
                <w:szCs w:val="19"/>
                <w:color w:val="auto"/>
              </w:rPr>
            </w:pPr>
          </w:p>
        </w:tc>
        <w:tc>
          <w:tcPr>
            <w:tcW w:w="920" w:type="dxa"/>
            <w:vAlign w:val="bottom"/>
            <w:tcBorders>
              <w:bottom w:val="single" w:sz="8" w:color="006DB6"/>
            </w:tcBorders>
          </w:tcPr>
          <w:p>
            <w:pPr>
              <w:jc w:val="right"/>
              <w:ind w:right="261"/>
              <w:spacing w:after="0"/>
              <w:rPr>
                <w:sz w:val="20"/>
                <w:szCs w:val="20"/>
                <w:color w:val="auto"/>
              </w:rPr>
            </w:pPr>
            <w:r>
              <w:rPr>
                <w:rFonts w:ascii="Arial" w:cs="Arial" w:eastAsia="Arial" w:hAnsi="Arial"/>
                <w:sz w:val="14"/>
                <w:szCs w:val="14"/>
                <w:b w:val="1"/>
                <w:bCs w:val="1"/>
                <w:color w:val="706F6F"/>
              </w:rPr>
              <w:t>NFC</w:t>
            </w:r>
          </w:p>
        </w:tc>
        <w:tc>
          <w:tcPr>
            <w:tcW w:w="320" w:type="dxa"/>
            <w:vAlign w:val="bottom"/>
            <w:tcBorders>
              <w:bottom w:val="single" w:sz="8" w:color="006DB6"/>
            </w:tcBorders>
          </w:tcPr>
          <w:p>
            <w:pPr>
              <w:spacing w:after="0"/>
              <w:rPr>
                <w:sz w:val="19"/>
                <w:szCs w:val="19"/>
                <w:color w:val="auto"/>
              </w:rPr>
            </w:pPr>
          </w:p>
        </w:tc>
        <w:tc>
          <w:tcPr>
            <w:tcW w:w="1060" w:type="dxa"/>
            <w:vAlign w:val="bottom"/>
            <w:tcBorders>
              <w:bottom w:val="single" w:sz="8" w:color="006DB6"/>
            </w:tcBorders>
          </w:tcPr>
          <w:p>
            <w:pPr>
              <w:jc w:val="right"/>
              <w:ind w:right="420"/>
              <w:spacing w:after="0"/>
              <w:rPr>
                <w:sz w:val="20"/>
                <w:szCs w:val="20"/>
                <w:color w:val="auto"/>
              </w:rPr>
            </w:pPr>
            <w:r>
              <w:rPr>
                <w:rFonts w:ascii="Arial" w:cs="Arial" w:eastAsia="Arial" w:hAnsi="Arial"/>
                <w:sz w:val="14"/>
                <w:szCs w:val="14"/>
                <w:b w:val="1"/>
                <w:bCs w:val="1"/>
                <w:color w:val="706F6F"/>
              </w:rPr>
              <w:t>CIC</w:t>
            </w:r>
          </w:p>
        </w:tc>
        <w:tc>
          <w:tcPr>
            <w:tcW w:w="240" w:type="dxa"/>
            <w:vAlign w:val="bottom"/>
            <w:tcBorders>
              <w:bottom w:val="single" w:sz="8" w:color="006DB6"/>
            </w:tcBorders>
          </w:tcPr>
          <w:p>
            <w:pPr>
              <w:spacing w:after="0"/>
              <w:rPr>
                <w:sz w:val="19"/>
                <w:szCs w:val="19"/>
                <w:color w:val="auto"/>
              </w:rPr>
            </w:pPr>
          </w:p>
        </w:tc>
        <w:tc>
          <w:tcPr>
            <w:tcW w:w="980" w:type="dxa"/>
            <w:vAlign w:val="bottom"/>
            <w:tcBorders>
              <w:bottom w:val="single" w:sz="8" w:color="006DB6"/>
            </w:tcBorders>
            <w:gridSpan w:val="2"/>
          </w:tcPr>
          <w:p>
            <w:pPr>
              <w:ind w:left="240"/>
              <w:spacing w:after="0"/>
              <w:rPr>
                <w:sz w:val="20"/>
                <w:szCs w:val="20"/>
                <w:color w:val="auto"/>
              </w:rPr>
            </w:pPr>
            <w:r>
              <w:rPr>
                <w:rFonts w:ascii="Arial" w:cs="Arial" w:eastAsia="Arial" w:hAnsi="Arial"/>
                <w:sz w:val="14"/>
                <w:szCs w:val="14"/>
                <w:b w:val="1"/>
                <w:bCs w:val="1"/>
                <w:color w:val="706F6F"/>
              </w:rPr>
              <w:t>DDR</w:t>
            </w:r>
          </w:p>
        </w:tc>
        <w:tc>
          <w:tcPr>
            <w:tcW w:w="28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tcPr>
          <w:p>
            <w:pPr>
              <w:jc w:val="right"/>
              <w:ind w:right="360"/>
              <w:spacing w:after="0"/>
              <w:rPr>
                <w:sz w:val="20"/>
                <w:szCs w:val="20"/>
                <w:color w:val="auto"/>
              </w:rPr>
            </w:pPr>
            <w:r>
              <w:rPr>
                <w:rFonts w:ascii="Arial" w:cs="Arial" w:eastAsia="Arial" w:hAnsi="Arial"/>
                <w:sz w:val="14"/>
                <w:szCs w:val="14"/>
                <w:b w:val="1"/>
                <w:bCs w:val="1"/>
                <w:color w:val="706F6F"/>
              </w:rPr>
              <w:t>NFC</w:t>
            </w:r>
          </w:p>
        </w:tc>
        <w:tc>
          <w:tcPr>
            <w:tcW w:w="340" w:type="dxa"/>
            <w:vAlign w:val="bottom"/>
            <w:tcBorders>
              <w:bottom w:val="single" w:sz="8" w:color="006DB6"/>
            </w:tcBorders>
          </w:tcPr>
          <w:p>
            <w:pPr>
              <w:spacing w:after="0"/>
              <w:rPr>
                <w:sz w:val="19"/>
                <w:szCs w:val="19"/>
                <w:color w:val="auto"/>
              </w:rPr>
            </w:pPr>
          </w:p>
        </w:tc>
        <w:tc>
          <w:tcPr>
            <w:tcW w:w="1000" w:type="dxa"/>
            <w:vAlign w:val="bottom"/>
            <w:tcBorders>
              <w:bottom w:val="single" w:sz="8" w:color="006DB6"/>
            </w:tcBorders>
          </w:tcPr>
          <w:p>
            <w:pPr>
              <w:jc w:val="right"/>
              <w:ind w:right="520"/>
              <w:spacing w:after="0"/>
              <w:rPr>
                <w:sz w:val="20"/>
                <w:szCs w:val="20"/>
                <w:color w:val="auto"/>
              </w:rPr>
            </w:pPr>
            <w:r>
              <w:rPr>
                <w:rFonts w:ascii="Arial" w:cs="Arial" w:eastAsia="Arial" w:hAnsi="Arial"/>
                <w:sz w:val="14"/>
                <w:szCs w:val="14"/>
                <w:b w:val="1"/>
                <w:bCs w:val="1"/>
                <w:color w:val="706F6F"/>
              </w:rPr>
              <w:t>CIC</w:t>
            </w:r>
          </w:p>
        </w:tc>
        <w:tc>
          <w:tcPr>
            <w:tcW w:w="24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tcPr>
          <w:p>
            <w:pPr>
              <w:ind w:left="120"/>
              <w:spacing w:after="0"/>
              <w:rPr>
                <w:sz w:val="20"/>
                <w:szCs w:val="20"/>
                <w:color w:val="auto"/>
              </w:rPr>
            </w:pPr>
            <w:r>
              <w:rPr>
                <w:rFonts w:ascii="Arial" w:cs="Arial" w:eastAsia="Arial" w:hAnsi="Arial"/>
                <w:sz w:val="14"/>
                <w:szCs w:val="14"/>
                <w:b w:val="1"/>
                <w:bCs w:val="1"/>
                <w:color w:val="706F6F"/>
              </w:rPr>
              <w:t>DDR</w:t>
            </w:r>
          </w:p>
        </w:tc>
        <w:tc>
          <w:tcPr>
            <w:tcW w:w="0" w:type="dxa"/>
            <w:vAlign w:val="bottom"/>
          </w:tcPr>
          <w:p>
            <w:pPr>
              <w:spacing w:after="0"/>
              <w:rPr>
                <w:sz w:val="1"/>
                <w:szCs w:val="1"/>
                <w:color w:val="auto"/>
              </w:rPr>
            </w:pPr>
          </w:p>
        </w:tc>
      </w:tr>
      <w:tr>
        <w:trPr>
          <w:trHeight w:val="23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1,342,866</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558,137</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1,116,275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1,030,112</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1,030,112</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301,532</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731,633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731,633</w:t>
            </w:r>
          </w:p>
        </w:tc>
        <w:tc>
          <w:tcPr>
            <w:tcW w:w="0" w:type="dxa"/>
            <w:vAlign w:val="bottom"/>
          </w:tcPr>
          <w:p>
            <w:pPr>
              <w:spacing w:after="0"/>
              <w:rPr>
                <w:sz w:val="1"/>
                <w:szCs w:val="1"/>
                <w:color w:val="auto"/>
              </w:rPr>
            </w:pPr>
          </w:p>
        </w:tc>
      </w:tr>
      <w:tr>
        <w:trPr>
          <w:trHeight w:val="385"/>
        </w:trPr>
        <w:tc>
          <w:tcPr>
            <w:tcW w:w="3700" w:type="dxa"/>
            <w:vAlign w:val="bottom"/>
          </w:tcPr>
          <w:p>
            <w:pPr>
              <w:ind w:left="300"/>
              <w:spacing w:after="0"/>
              <w:rPr>
                <w:sz w:val="20"/>
                <w:szCs w:val="20"/>
                <w:color w:val="auto"/>
              </w:rPr>
            </w:pPr>
            <w:r>
              <w:rPr>
                <w:rFonts w:ascii="Arial" w:cs="Arial" w:eastAsia="Arial" w:hAnsi="Arial"/>
                <w:sz w:val="16"/>
                <w:szCs w:val="16"/>
                <w:color w:val="auto"/>
              </w:rPr>
              <w:t>Restricted Cash Award</w:t>
            </w:r>
            <w:r>
              <w:rPr>
                <w:rFonts w:ascii="Arial" w:cs="Arial" w:eastAsia="Arial" w:hAnsi="Arial"/>
                <w:sz w:val="21"/>
                <w:szCs w:val="21"/>
                <w:color w:val="auto"/>
                <w:vertAlign w:val="superscript"/>
              </w:rPr>
              <w:t>(6)</w:t>
            </w:r>
          </w:p>
        </w:tc>
        <w:tc>
          <w:tcPr>
            <w:tcW w:w="3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20"/>
              <w:spacing w:after="0"/>
              <w:rPr>
                <w:sz w:val="20"/>
                <w:szCs w:val="20"/>
                <w:color w:val="auto"/>
              </w:rPr>
            </w:pPr>
            <w:r>
              <w:rPr>
                <w:rFonts w:ascii="Arial" w:cs="Arial" w:eastAsia="Arial" w:hAnsi="Arial"/>
                <w:sz w:val="16"/>
                <w:szCs w:val="16"/>
                <w:color w:val="auto"/>
              </w:rPr>
              <w:t>268,079</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268,079</w:t>
            </w:r>
          </w:p>
        </w:tc>
        <w:tc>
          <w:tcPr>
            <w:tcW w:w="8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178,133</w:t>
            </w:r>
          </w:p>
        </w:tc>
        <w:tc>
          <w:tcPr>
            <w:tcW w:w="3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178,133</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178,133</w:t>
            </w:r>
          </w:p>
        </w:tc>
        <w:tc>
          <w:tcPr>
            <w:tcW w:w="0" w:type="dxa"/>
            <w:vAlign w:val="bottom"/>
          </w:tcPr>
          <w:p>
            <w:pPr>
              <w:spacing w:after="0"/>
              <w:rPr>
                <w:sz w:val="1"/>
                <w:szCs w:val="1"/>
                <w:color w:val="auto"/>
              </w:rPr>
            </w:pPr>
          </w:p>
        </w:tc>
      </w:tr>
      <w:tr>
        <w:trPr>
          <w:trHeight w:val="61"/>
        </w:trPr>
        <w:tc>
          <w:tcPr>
            <w:tcW w:w="37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2,438</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61,039</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50,740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2,704,534</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1,298,191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1,037,802</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2,076,781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909,766</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60" w:hanging="252"/>
        <w:spacing w:after="0" w:line="234"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Reflects the value of unvested options, restricted stock awards, restricted stock units, phantom units and deferred share awards as of December 31, 2021 that would be accelerated as a result of the separation event based on Civeo’s share price of $19.17, which was the closing market price of Civeo’s common shares on December 31, 2021. For performance shares, the payout is assumed at target level.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 or disability, in each case, occurring on December 31, 2021. The treatment of Performance Share Awards during a Change of Control is described more fully under “Compensation Program Components—Performance Share Award Program”.</w:t>
      </w:r>
    </w:p>
    <w:p>
      <w:pPr>
        <w:spacing w:after="0" w:line="82" w:lineRule="exact"/>
        <w:rPr>
          <w:rFonts w:ascii="Arial" w:cs="Arial" w:eastAsia="Arial" w:hAnsi="Arial"/>
          <w:sz w:val="19"/>
          <w:szCs w:val="19"/>
          <w:color w:val="auto"/>
          <w:vertAlign w:val="superscript"/>
        </w:rPr>
      </w:pPr>
    </w:p>
    <w:p>
      <w:pPr>
        <w:ind w:left="26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Reflects the estimated lump-sum present value of all future premiums which would be paid on behalf of the named executive officer under Civeo’s health and welfare benefit plans for the applicable continuation period specified in both Executive and Change of Control Agreements.</w:t>
      </w:r>
    </w:p>
    <w:p>
      <w:pPr>
        <w:spacing w:after="0" w:line="52"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Reflects the maximum amount of outplacement assistance that would be provided for the named executive officer pursuant to the Executive Agreement.</w:t>
      </w:r>
    </w:p>
    <w:p>
      <w:pPr>
        <w:spacing w:after="0" w:line="79" w:lineRule="exact"/>
        <w:rPr>
          <w:rFonts w:ascii="Arial" w:cs="Arial" w:eastAsia="Arial" w:hAnsi="Arial"/>
          <w:sz w:val="19"/>
          <w:szCs w:val="19"/>
          <w:color w:val="auto"/>
          <w:vertAlign w:val="superscript"/>
        </w:rPr>
      </w:pPr>
    </w:p>
    <w:p>
      <w:pPr>
        <w:ind w:left="260" w:right="54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Cash Severance Amounts and Outplacement Assistance for Mr. McCann would be made in Australian dollars and are reflected in this table in U.S. dollars using the average exchange rate for 2021 of $0.7517.</w:t>
      </w:r>
    </w:p>
    <w:p>
      <w:pPr>
        <w:spacing w:after="0" w:line="80" w:lineRule="exact"/>
        <w:rPr>
          <w:rFonts w:ascii="Arial" w:cs="Arial" w:eastAsia="Arial" w:hAnsi="Arial"/>
          <w:sz w:val="19"/>
          <w:szCs w:val="19"/>
          <w:color w:val="auto"/>
          <w:vertAlign w:val="superscript"/>
        </w:rPr>
      </w:pPr>
    </w:p>
    <w:p>
      <w:pPr>
        <w:ind w:left="260" w:right="12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Cash Severance Amounts, Health and Welfare Benefits and Outplacement Assistance for Mr. Schoening would be made in Canadian dollars and are reflected in this table in U.S. dollars using the average exchange rate for 2021 of $0.7979.</w:t>
      </w:r>
    </w:p>
    <w:p>
      <w:pPr>
        <w:spacing w:after="0" w:line="52"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Reflects value of unvested 2020 annual cash retainer award that would be accelerated and paid as a result of the separation event.</w:t>
      </w:r>
    </w:p>
    <w:p>
      <w:pPr>
        <w:spacing w:after="0" w:line="79" w:lineRule="exact"/>
        <w:rPr>
          <w:rFonts w:ascii="Arial" w:cs="Arial" w:eastAsia="Arial" w:hAnsi="Arial"/>
          <w:sz w:val="19"/>
          <w:szCs w:val="19"/>
          <w:color w:val="auto"/>
          <w:vertAlign w:val="superscript"/>
        </w:rPr>
      </w:pPr>
    </w:p>
    <w:p>
      <w:pPr>
        <w:ind w:left="26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On April 4, 2022, Ms. Stone's Change in Control multiple was changed to 2.0 times from 1.75 for cash severance. Under the revised agreement, the Change in Control cash severance would be $1,254,000.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597535</wp:posOffset>
            </wp:positionV>
            <wp:extent cx="394335" cy="1974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220"/>
          </w:cols>
          <w:pgMar w:left="320" w:top="125" w:right="35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Ratio Disclosure</w:t>
      </w:r>
    </w:p>
    <w:p>
      <w:pPr>
        <w:spacing w:after="0" w:line="200" w:lineRule="exact"/>
        <w:rPr>
          <w:sz w:val="20"/>
          <w:szCs w:val="20"/>
          <w:color w:val="auto"/>
        </w:rPr>
      </w:pPr>
    </w:p>
    <w:p>
      <w:pPr>
        <w:spacing w:after="0" w:line="28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2021 annual total compensation of our median compensated employee was $61,217. Mr. Dodson’s 2021 annual total compensation was $5,058,691 and the ratio of these two amounts was 83:1.</w:t>
      </w:r>
    </w:p>
    <w:p>
      <w:pPr>
        <w:spacing w:after="0" w:line="4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7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payroll and employment records and the methodology described below. We identified the median-compensated employee from our employee population as of December 31, 2021 using base salary or wages and overtime paid during fiscal 2021, which we annualized for any permanent employee who was not employed for the entire year.</w:t>
      </w:r>
    </w:p>
    <w:p>
      <w:pPr>
        <w:spacing w:after="0" w:line="200" w:lineRule="exact"/>
        <w:rPr>
          <w:sz w:val="20"/>
          <w:szCs w:val="20"/>
          <w:color w:val="auto"/>
        </w:rPr>
      </w:pPr>
    </w:p>
    <w:p>
      <w:pPr>
        <w:spacing w:after="0" w:line="368"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bl>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45"/>
          <w:szCs w:val="45"/>
          <w:b w:val="1"/>
          <w:bCs w:val="1"/>
          <w:color w:val="006DB6"/>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557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3</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Ratification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E&amp;Y to audit the consolidated financial statements of Civeo for the year ending December 31, 2022 and the internal control over financial reporting of Civeo at December 31, 2022. E&amp;Y has audited Civeo’s, or its predecessor’s, as applicable, consolidated financial statements beginning with the year ended December 31, 2010 through the year ended December 31, 2021. Our board of directors is asking shareholders to ratify the appointment of E&amp;Y as Civeo’s auditors for the year ending December 31, 2022 and until the next annual general meeting of shareholders and to authorize the directors, acting through the Audit Committee, to determine the remuneration to be paid to E&amp;Y for 2022. If the appointment is not ratified, the Audit Committee will consider whether it is appropriate to appoint another independent registered public accounting firm for 2023. Even if the selection is ratified, the Audit Committee in its discretion may appoint a different independent registered public accounting firm at any time during the year.</w:t>
      </w:r>
    </w:p>
    <w:p>
      <w:pPr>
        <w:spacing w:after="0" w:line="7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28, 2022.</w:t>
      </w:r>
    </w:p>
    <w:p>
      <w:pPr>
        <w:spacing w:after="0" w:line="7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7886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323" w:lineRule="exact"/>
        <w:rPr>
          <w:sz w:val="20"/>
          <w:szCs w:val="20"/>
          <w:color w:val="auto"/>
        </w:rPr>
      </w:pPr>
    </w:p>
    <w:p>
      <w:pPr>
        <w:ind w:left="160" w:right="160"/>
        <w:spacing w:after="0" w:line="259" w:lineRule="auto"/>
        <w:rPr>
          <w:sz w:val="20"/>
          <w:szCs w:val="20"/>
          <w:color w:val="auto"/>
        </w:rPr>
      </w:pPr>
      <w:r>
        <w:rPr>
          <w:rFonts w:ascii="Arial" w:cs="Arial" w:eastAsia="Arial" w:hAnsi="Arial"/>
          <w:sz w:val="16"/>
          <w:szCs w:val="16"/>
          <w:color w:val="auto"/>
        </w:rPr>
        <w:t xml:space="preserve">The board of directors recommends that shareholders vote “ </w:t>
      </w:r>
      <w:r>
        <w:rPr>
          <w:rFonts w:ascii="Arial" w:cs="Arial" w:eastAsia="Arial" w:hAnsi="Arial"/>
          <w:sz w:val="16"/>
          <w:szCs w:val="16"/>
          <w:b w:val="1"/>
          <w:bCs w:val="1"/>
          <w:color w:val="006DB6"/>
        </w:rPr>
        <w:t>FOR</w:t>
      </w:r>
      <w:r>
        <w:rPr>
          <w:rFonts w:ascii="Arial" w:cs="Arial" w:eastAsia="Arial" w:hAnsi="Arial"/>
          <w:sz w:val="16"/>
          <w:szCs w:val="16"/>
          <w:color w:val="auto"/>
        </w:rPr>
        <w:t>” the ratification of the appointment of E&amp;Y as Civeo’s independent registered public accounting firm for the year ending December 31, 2022 and until the next annual general meeting of shareholders and the authorization of the directors of Civeo, acting through the Audit Committee, to determine the remuneration to be paid to E&amp;Y for 2022. The persons named in the accompanying proxy intend to vote such proxy in favor of this proposal, unless authority to vote for this proposal is withheld.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E&amp;Y for 2021 and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Borders>
              <w:bottom w:val="single" w:sz="8" w:color="006DB6"/>
            </w:tcBorders>
          </w:tcPr>
          <w:p>
            <w:pPr>
              <w:spacing w:after="0"/>
              <w:rPr>
                <w:sz w:val="17"/>
                <w:szCs w:val="17"/>
                <w:color w:val="auto"/>
              </w:rPr>
            </w:pPr>
          </w:p>
        </w:tc>
        <w:tc>
          <w:tcPr>
            <w:tcW w:w="260" w:type="dxa"/>
            <w:vAlign w:val="bottom"/>
            <w:tcBorders>
              <w:bottom w:val="single" w:sz="8" w:color="006DB6"/>
            </w:tcBorders>
          </w:tcPr>
          <w:p>
            <w:pPr>
              <w:spacing w:after="0"/>
              <w:rPr>
                <w:sz w:val="17"/>
                <w:szCs w:val="17"/>
                <w:color w:val="auto"/>
              </w:rPr>
            </w:pPr>
          </w:p>
        </w:tc>
        <w:tc>
          <w:tcPr>
            <w:tcW w:w="64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2021</w:t>
            </w:r>
          </w:p>
        </w:tc>
        <w:tc>
          <w:tcPr>
            <w:tcW w:w="1120" w:type="dxa"/>
            <w:vAlign w:val="bottom"/>
            <w:tcBorders>
              <w:bottom w:val="single" w:sz="8" w:color="006DB6"/>
            </w:tcBorders>
            <w:gridSpan w:val="2"/>
          </w:tcPr>
          <w:p>
            <w:pPr>
              <w:ind w:left="400"/>
              <w:spacing w:after="0"/>
              <w:rPr>
                <w:sz w:val="20"/>
                <w:szCs w:val="20"/>
                <w:color w:val="auto"/>
              </w:rPr>
            </w:pPr>
            <w:r>
              <w:rPr>
                <w:rFonts w:ascii="Arial" w:cs="Arial" w:eastAsia="Arial" w:hAnsi="Arial"/>
                <w:sz w:val="14"/>
                <w:szCs w:val="14"/>
                <w:b w:val="1"/>
                <w:bCs w:val="1"/>
                <w:color w:val="706F6F"/>
              </w:rPr>
              <w:t>2020</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1,650</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1,655</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891540</wp:posOffset>
            </wp:positionV>
            <wp:extent cx="394335" cy="196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240"/>
          </w:cols>
          <w:pgMar w:left="320" w:top="96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 Fees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Audit fees consist primarily of the audit and quarterly reviews of the consolidated financial statements, audits of subsidiaries, statutory 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Audit-Related Fees</w:t>
      </w:r>
    </w:p>
    <w:p>
      <w:pPr>
        <w:spacing w:after="0" w:line="13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Fees for audit-related services are fees paid for assurance and related services that are reasonably related to the performance of the audit or review of our financial statements not reported above under “Audit Fees” and principally include due diligence in connection with acquisitions, accounting consultations and audits in connections with acquisitions, and internal control reviews.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Tax Fees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Tax fees include professional services provided for tax compliance, tax advice and tax planning, except those rendered in connection with the audit.</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All Other Fees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for access to an accounting research tool.</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Pre-Approval Policy</w:t>
      </w:r>
    </w:p>
    <w:p>
      <w:pPr>
        <w:spacing w:after="0" w:line="13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2021 and 2020 were pre-approved in accordance with our pre-approval policy. None of the services related to the Audit-Related Fees, Tax Fees or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to ensure compliance with independence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 Report</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200" w:lineRule="exact"/>
        <w:rPr>
          <w:sz w:val="20"/>
          <w:szCs w:val="20"/>
          <w:color w:val="auto"/>
        </w:rPr>
      </w:pPr>
    </w:p>
    <w:p>
      <w:pPr>
        <w:spacing w:after="0" w:line="388"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bl>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During 2021, and earlier in 2022 in preparation for the filing with the SEC of Civeo’s Annual Report on Form 10-K for the year ended December 31, 2021,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97"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reviewed and discussed (1) the audited annual financial statements and quarterly financial statements, (2) related periodic reports filed with the SEC and</w:t>
      </w:r>
    </w:p>
    <w:p>
      <w:pPr>
        <w:spacing w:after="0" w:line="21" w:lineRule="exact"/>
        <w:rPr>
          <w:rFonts w:ascii="Arial" w:cs="Arial" w:eastAsia="Arial" w:hAnsi="Arial"/>
          <w:sz w:val="16"/>
          <w:szCs w:val="16"/>
          <w:color w:val="006DB6"/>
        </w:rPr>
      </w:pPr>
    </w:p>
    <w:p>
      <w:pPr>
        <w:ind w:left="200"/>
        <w:spacing w:after="0"/>
        <w:rPr>
          <w:rFonts w:ascii="Arial" w:cs="Arial" w:eastAsia="Arial" w:hAnsi="Arial"/>
          <w:sz w:val="16"/>
          <w:szCs w:val="16"/>
          <w:color w:val="006DB6"/>
        </w:rPr>
      </w:pPr>
      <w:r>
        <w:rPr>
          <w:rFonts w:ascii="Arial" w:cs="Arial" w:eastAsia="Arial" w:hAnsi="Arial"/>
          <w:sz w:val="16"/>
          <w:szCs w:val="16"/>
          <w:color w:val="auto"/>
        </w:rPr>
        <w:t>(3) quarterly earnings press releases with management and E&amp;Y;</w:t>
      </w:r>
    </w:p>
    <w:p>
      <w:pPr>
        <w:spacing w:after="0" w:line="56" w:lineRule="exact"/>
        <w:rPr>
          <w:rFonts w:ascii="Arial" w:cs="Arial" w:eastAsia="Arial" w:hAnsi="Arial"/>
          <w:sz w:val="16"/>
          <w:szCs w:val="16"/>
          <w:color w:val="006DB6"/>
        </w:rPr>
      </w:pPr>
    </w:p>
    <w:p>
      <w:pPr>
        <w:ind w:left="180" w:hanging="172"/>
        <w:spacing w:after="0"/>
        <w:tabs>
          <w:tab w:leader="none" w:pos="18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reviewed the overall scope and plans for the audit and the results of E&amp;Y’s examinations;</w:t>
      </w:r>
    </w:p>
    <w:p>
      <w:pPr>
        <w:spacing w:after="0" w:line="86" w:lineRule="exact"/>
        <w:rPr>
          <w:rFonts w:ascii="Arial" w:cs="Arial" w:eastAsia="Arial" w:hAnsi="Arial"/>
          <w:sz w:val="16"/>
          <w:szCs w:val="16"/>
          <w:color w:val="006DB6"/>
        </w:rPr>
      </w:pPr>
    </w:p>
    <w:p>
      <w:pPr>
        <w:ind w:left="200" w:right="280" w:hanging="192"/>
        <w:spacing w:after="0" w:line="266" w:lineRule="auto"/>
        <w:tabs>
          <w:tab w:leader="none" w:pos="17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met with management periodically during the year to consider the adequacy of Civeo’s internal controls, including Civeo’s internal control over financial reporting and the quality of its financial reporting, and discussed these matters with E&amp;Y and with appropriate Company financial and compliance personnel;</w:t>
      </w:r>
    </w:p>
    <w:p>
      <w:pPr>
        <w:spacing w:after="0" w:line="22" w:lineRule="exact"/>
        <w:rPr>
          <w:rFonts w:ascii="Arial" w:cs="Arial" w:eastAsia="Arial" w:hAnsi="Arial"/>
          <w:sz w:val="16"/>
          <w:szCs w:val="16"/>
          <w:color w:val="006DB6"/>
        </w:rPr>
      </w:pPr>
    </w:p>
    <w:p>
      <w:pPr>
        <w:ind w:left="200" w:right="660" w:hanging="192"/>
        <w:spacing w:after="0" w:line="286" w:lineRule="auto"/>
        <w:tabs>
          <w:tab w:leader="none" w:pos="17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discussed with Civeo’s senior management and E&amp;Y the process used for Civeo’s Chief Executive Officer and Chief Financial Officer to make the certifications required by the SEC and the Sarbanes-Oxley Act of 2002 in connection with the Form 10-K and other periodic filings with the SEC;</w:t>
      </w:r>
    </w:p>
    <w:p>
      <w:pPr>
        <w:spacing w:after="0" w:line="7" w:lineRule="exact"/>
        <w:rPr>
          <w:rFonts w:ascii="Arial" w:cs="Arial" w:eastAsia="Arial" w:hAnsi="Arial"/>
          <w:sz w:val="16"/>
          <w:szCs w:val="16"/>
          <w:color w:val="006DB6"/>
        </w:rPr>
      </w:pPr>
    </w:p>
    <w:p>
      <w:pPr>
        <w:ind w:left="200" w:right="360" w:hanging="192"/>
        <w:spacing w:after="0" w:line="286" w:lineRule="auto"/>
        <w:tabs>
          <w:tab w:leader="none" w:pos="17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received the written disclosures and the letter from E&amp;Y required by applicable requirements of the PCAOB regarding E&amp;Y’s communications with the Audit Committee concerning independence;</w:t>
      </w:r>
    </w:p>
    <w:p>
      <w:pPr>
        <w:spacing w:after="0" w:line="20" w:lineRule="exact"/>
        <w:rPr>
          <w:rFonts w:ascii="Arial" w:cs="Arial" w:eastAsia="Arial" w:hAnsi="Arial"/>
          <w:sz w:val="16"/>
          <w:szCs w:val="16"/>
          <w:color w:val="006DB6"/>
        </w:rPr>
      </w:pPr>
    </w:p>
    <w:p>
      <w:pPr>
        <w:ind w:left="200" w:right="20" w:hanging="192"/>
        <w:spacing w:after="0" w:line="259" w:lineRule="auto"/>
        <w:tabs>
          <w:tab w:leader="none" w:pos="17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(4) the matters required to be discussed by the PCAOB and the SEC, and (5) any issues deemed significant by E&amp;Y, including critical audit matters addressed during the audit;</w:t>
      </w:r>
    </w:p>
    <w:p>
      <w:pPr>
        <w:spacing w:after="0" w:line="29" w:lineRule="exact"/>
        <w:rPr>
          <w:rFonts w:ascii="Arial" w:cs="Arial" w:eastAsia="Arial" w:hAnsi="Arial"/>
          <w:sz w:val="16"/>
          <w:szCs w:val="16"/>
          <w:color w:val="006DB6"/>
        </w:rPr>
      </w:pPr>
    </w:p>
    <w:p>
      <w:pPr>
        <w:ind w:left="200" w:right="100" w:hanging="192"/>
        <w:spacing w:after="0" w:line="266" w:lineRule="auto"/>
        <w:tabs>
          <w:tab w:leader="none" w:pos="17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2021 for filing with the SEC; and</w:t>
      </w:r>
    </w:p>
    <w:p>
      <w:pPr>
        <w:spacing w:after="0" w:line="22" w:lineRule="exact"/>
        <w:rPr>
          <w:rFonts w:ascii="Arial" w:cs="Arial" w:eastAsia="Arial" w:hAnsi="Arial"/>
          <w:sz w:val="16"/>
          <w:szCs w:val="16"/>
          <w:color w:val="006DB6"/>
        </w:rPr>
      </w:pPr>
    </w:p>
    <w:p>
      <w:pPr>
        <w:ind w:left="200" w:right="40" w:hanging="192"/>
        <w:spacing w:after="0" w:line="266" w:lineRule="auto"/>
        <w:tabs>
          <w:tab w:leader="none" w:pos="170" w:val="left"/>
        </w:tabs>
        <w:numPr>
          <w:ilvl w:val="0"/>
          <w:numId w:val="51"/>
        </w:numPr>
        <w:rPr>
          <w:rFonts w:ascii="Arial" w:cs="Arial" w:eastAsia="Arial" w:hAnsi="Arial"/>
          <w:sz w:val="16"/>
          <w:szCs w:val="16"/>
          <w:color w:val="006DB6"/>
        </w:rPr>
      </w:pPr>
      <w:r>
        <w:rPr>
          <w:rFonts w:ascii="Arial" w:cs="Arial" w:eastAsia="Arial" w:hAnsi="Arial"/>
          <w:sz w:val="16"/>
          <w:szCs w:val="16"/>
          <w:color w:val="auto"/>
        </w:rPr>
        <w:t>determined that the non-audit services provided to Civeo by E&amp;Y (discussed above under the "Audit Fee Disclosure"), are compatible with maintaining the independence of the independent auditors. The Audit Committee’s pre-approval policies and procedures are discussed above under the Pre-Approval Policy.</w:t>
      </w:r>
    </w:p>
    <w:p>
      <w:pPr>
        <w:spacing w:after="0" w:line="6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2021 and on the representations of the independent auditors included in their report on Civeo’s financial statements.</w:t>
      </w:r>
    </w:p>
    <w:p>
      <w:pPr>
        <w:spacing w:after="0" w:line="7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7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as amended (the "Exchange Act"), except to the extent that Civeo specifically incorporates it by reference into a document filed under the Securities Act of 1933, as amended, or the Exchange Act.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i w:val="1"/>
          <w:iCs w:val="1"/>
          <w:color w:val="006DB6"/>
        </w:rPr>
        <w:t>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 Ronald Blankenship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Jay K. Grewal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259080</wp:posOffset>
            </wp:positionV>
            <wp:extent cx="394335" cy="1968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240"/>
          </w:cols>
          <w:pgMar w:left="320" w:top="125" w:right="339" w:bottom="1440" w:gutter="0" w:footer="0" w:header="0"/>
        </w:sectPr>
      </w:pPr>
    </w:p>
    <w:bookmarkStart w:id="64" w:name="page65"/>
    <w:bookmarkEnd w:id="64"/>
    <w:p>
      <w:pPr>
        <w:ind w:right="980"/>
        <w:spacing w:after="0" w:line="292" w:lineRule="auto"/>
        <w:rPr>
          <w:sz w:val="20"/>
          <w:szCs w:val="20"/>
          <w:color w:val="auto"/>
        </w:rPr>
      </w:pPr>
      <w:r>
        <w:rPr>
          <w:rFonts w:ascii="Arial" w:cs="Arial" w:eastAsia="Arial" w:hAnsi="Arial"/>
          <w:sz w:val="45"/>
          <w:szCs w:val="45"/>
          <w:b w:val="1"/>
          <w:bCs w:val="1"/>
          <w:color w:val="006DB6"/>
        </w:rPr>
        <w:t>Security Ownership of Management and Certain Beneficial Owners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known to Civeo with respect to the beneficial ownership of Civeo’s shares as of March 29, 2022 by:</w:t>
      </w:r>
    </w:p>
    <w:p>
      <w:pPr>
        <w:spacing w:after="0" w:line="113"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6"/>
          <w:szCs w:val="16"/>
          <w:color w:val="006DB6"/>
        </w:rPr>
      </w:pPr>
      <w:r>
        <w:rPr>
          <w:rFonts w:ascii="Arial" w:cs="Arial" w:eastAsia="Arial" w:hAnsi="Arial"/>
          <w:sz w:val="16"/>
          <w:szCs w:val="16"/>
          <w:color w:val="auto"/>
        </w:rPr>
        <w:t>each shareholder known by Civeo to own more than 5% of Civeo’s outstanding shares;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52"/>
        </w:numPr>
        <w:rPr>
          <w:rFonts w:ascii="Arial" w:cs="Arial" w:eastAsia="Arial" w:hAnsi="Arial"/>
          <w:sz w:val="16"/>
          <w:szCs w:val="16"/>
          <w:color w:val="006DB6"/>
        </w:rPr>
      </w:pPr>
      <w:r>
        <w:rPr>
          <w:rFonts w:ascii="Arial" w:cs="Arial" w:eastAsia="Arial" w:hAnsi="Arial"/>
          <w:sz w:val="16"/>
          <w:szCs w:val="16"/>
          <w:color w:val="auto"/>
        </w:rPr>
        <w:t>each of Civeo’s current directors;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52"/>
        </w:numPr>
        <w:rPr>
          <w:rFonts w:ascii="Arial" w:cs="Arial" w:eastAsia="Arial" w:hAnsi="Arial"/>
          <w:sz w:val="16"/>
          <w:szCs w:val="16"/>
          <w:color w:val="006DB6"/>
        </w:rPr>
      </w:pPr>
      <w:r>
        <w:rPr>
          <w:rFonts w:ascii="Arial" w:cs="Arial" w:eastAsia="Arial" w:hAnsi="Arial"/>
          <w:sz w:val="16"/>
          <w:szCs w:val="16"/>
          <w:color w:val="auto"/>
        </w:rPr>
        <w:t>each of Civeo’s named executive officers;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52"/>
        </w:numPr>
        <w:rPr>
          <w:rFonts w:ascii="Arial" w:cs="Arial" w:eastAsia="Arial" w:hAnsi="Arial"/>
          <w:sz w:val="16"/>
          <w:szCs w:val="16"/>
          <w:color w:val="006DB6"/>
        </w:rPr>
      </w:pPr>
      <w:r>
        <w:rPr>
          <w:rFonts w:ascii="Arial" w:cs="Arial" w:eastAsia="Arial" w:hAnsi="Arial"/>
          <w:sz w:val="16"/>
          <w:szCs w:val="16"/>
          <w:color w:val="auto"/>
        </w:rPr>
        <w:t>all of Civeo’s current directors and executive officers as a group.</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and that could be issued upon conversion of preferred shares of Civeo within 60 days of March 29, 2022 are considered outstanding. These shares, however, are not considered outstanding as of March 29, 2022 when computing the percentage ownership of each other person.</w:t>
      </w:r>
    </w:p>
    <w:p>
      <w:pPr>
        <w:spacing w:after="0" w:line="58"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70706F"/>
        </w:rPr>
        <w:t>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23495</wp:posOffset>
            </wp:positionV>
            <wp:extent cx="199707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70706F"/>
        </w:rPr>
        <w:t>Name and Address of Beneficial Owners</w:t>
      </w:r>
      <w:r>
        <w:rPr>
          <w:rFonts w:ascii="Arial" w:cs="Arial" w:eastAsia="Arial" w:hAnsi="Arial"/>
          <w:sz w:val="18"/>
          <w:szCs w:val="18"/>
          <w:b w:val="1"/>
          <w:bCs w:val="1"/>
          <w:color w:val="70706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Lance Torgerson</w:t>
      </w:r>
      <w:r>
        <w:rPr>
          <w:rFonts w:ascii="Arial" w:cs="Arial" w:eastAsia="Arial" w:hAnsi="Arial"/>
          <w:sz w:val="21"/>
          <w:szCs w:val="21"/>
          <w:b w:val="1"/>
          <w:bCs w:val="1"/>
          <w:color w:val="006DB6"/>
          <w:vertAlign w:val="superscript"/>
        </w:rPr>
        <w:t>(3)</w:t>
      </w:r>
    </w:p>
    <w:p>
      <w:pPr>
        <w:ind w:left="360"/>
        <w:spacing w:after="0"/>
        <w:rPr>
          <w:sz w:val="20"/>
          <w:szCs w:val="20"/>
          <w:color w:val="auto"/>
        </w:rPr>
      </w:pPr>
      <w:r>
        <w:rPr>
          <w:rFonts w:ascii="Arial" w:cs="Arial" w:eastAsia="Arial" w:hAnsi="Arial"/>
          <w:sz w:val="16"/>
          <w:szCs w:val="16"/>
          <w:color w:val="auto"/>
        </w:rPr>
        <w:t>9645 45 Avenue NW</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Edmonton, Alberta T6E 5Z8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Horizon Kinetics LLC</w:t>
      </w:r>
      <w:r>
        <w:rPr>
          <w:rFonts w:ascii="Arial" w:cs="Arial" w:eastAsia="Arial" w:hAnsi="Arial"/>
          <w:sz w:val="21"/>
          <w:szCs w:val="21"/>
          <w:b w:val="1"/>
          <w:bCs w:val="1"/>
          <w:color w:val="006DB6"/>
          <w:vertAlign w:val="superscript"/>
        </w:rPr>
        <w:t>(4)</w:t>
      </w:r>
    </w:p>
    <w:p>
      <w:pPr>
        <w:ind w:left="360"/>
        <w:spacing w:after="0"/>
        <w:rPr>
          <w:sz w:val="20"/>
          <w:szCs w:val="20"/>
          <w:color w:val="auto"/>
        </w:rPr>
      </w:pPr>
      <w:r>
        <w:rPr>
          <w:rFonts w:ascii="Arial" w:cs="Arial" w:eastAsia="Arial" w:hAnsi="Arial"/>
          <w:sz w:val="16"/>
          <w:szCs w:val="16"/>
          <w:color w:val="auto"/>
        </w:rPr>
        <w:t>470 Park Avenue South, 4th Floor South</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New York, NY 10016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70706F"/>
        </w:rPr>
        <w:t>Common</w:t>
      </w:r>
    </w:p>
    <w:p>
      <w:pPr>
        <w:jc w:val="both"/>
        <w:ind w:left="300"/>
        <w:spacing w:after="0"/>
        <w:tabs>
          <w:tab w:leader="none" w:pos="1520" w:val="left"/>
        </w:tabs>
        <w:rPr>
          <w:sz w:val="20"/>
          <w:szCs w:val="20"/>
          <w:color w:val="auto"/>
        </w:rPr>
      </w:pPr>
      <w:r>
        <w:rPr>
          <w:rFonts w:ascii="Arial" w:cs="Arial" w:eastAsia="Arial" w:hAnsi="Arial"/>
          <w:sz w:val="14"/>
          <w:szCs w:val="14"/>
          <w:b w:val="1"/>
          <w:bCs w:val="1"/>
          <w:color w:val="70706F"/>
        </w:rPr>
        <w:t>Shares</w:t>
      </w:r>
      <w:r>
        <w:rPr>
          <w:sz w:val="20"/>
          <w:szCs w:val="20"/>
          <w:color w:val="auto"/>
        </w:rPr>
        <w:tab/>
      </w:r>
      <w:r>
        <w:rPr>
          <w:rFonts w:ascii="Arial" w:cs="Arial" w:eastAsia="Arial" w:hAnsi="Arial"/>
          <w:sz w:val="14"/>
          <w:szCs w:val="14"/>
          <w:b w:val="1"/>
          <w:bCs w:val="1"/>
          <w:color w:val="70706F"/>
        </w:rPr>
        <w:t>Percentage</w:t>
      </w:r>
      <w:r>
        <w:rPr>
          <w:rFonts w:ascii="Arial" w:cs="Arial" w:eastAsia="Arial" w:hAnsi="Arial"/>
          <w:sz w:val="18"/>
          <w:szCs w:val="18"/>
          <w:b w:val="1"/>
          <w:bCs w:val="1"/>
          <w:color w:val="70706F"/>
          <w:vertAlign w:val="superscript"/>
        </w:rPr>
        <w:t>(2)</w:t>
      </w:r>
    </w:p>
    <w:p>
      <w:pPr>
        <w:spacing w:after="0" w:line="39"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4,183,378</w:t>
      </w:r>
      <w:r>
        <w:rPr>
          <w:sz w:val="20"/>
          <w:szCs w:val="20"/>
          <w:color w:val="auto"/>
        </w:rPr>
        <w:tab/>
      </w:r>
      <w:r>
        <w:rPr>
          <w:rFonts w:ascii="Arial" w:cs="Arial" w:eastAsia="Arial" w:hAnsi="Arial"/>
          <w:sz w:val="16"/>
          <w:szCs w:val="16"/>
          <w:color w:val="auto"/>
        </w:rPr>
        <w:t>25.1 %</w:t>
      </w:r>
    </w:p>
    <w:p>
      <w:pPr>
        <w:spacing w:after="0" w:line="200" w:lineRule="exact"/>
        <w:rPr>
          <w:sz w:val="20"/>
          <w:szCs w:val="20"/>
          <w:color w:val="auto"/>
        </w:rPr>
      </w:pPr>
    </w:p>
    <w:p>
      <w:pPr>
        <w:spacing w:after="0" w:line="305"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3,488,642</w:t>
      </w:r>
      <w:r>
        <w:rPr>
          <w:sz w:val="20"/>
          <w:szCs w:val="20"/>
          <w:color w:val="auto"/>
        </w:rPr>
        <w:tab/>
      </w:r>
      <w:r>
        <w:rPr>
          <w:rFonts w:ascii="Arial" w:cs="Arial" w:eastAsia="Arial" w:hAnsi="Arial"/>
          <w:sz w:val="16"/>
          <w:szCs w:val="16"/>
          <w:color w:val="auto"/>
        </w:rPr>
        <w:t>24.6 %</w:t>
      </w:r>
    </w:p>
    <w:p>
      <w:pPr>
        <w:spacing w:after="0" w:line="465" w:lineRule="exact"/>
        <w:rPr>
          <w:sz w:val="20"/>
          <w:szCs w:val="20"/>
          <w:color w:val="auto"/>
        </w:rPr>
      </w:pPr>
    </w:p>
    <w:p>
      <w:pPr>
        <w:sectPr>
          <w:pgSz w:w="11900" w:h="16838" w:orient="portrait"/>
          <w:cols w:equalWidth="0" w:num="2">
            <w:col w:w="8080" w:space="720"/>
            <w:col w:w="2440"/>
          </w:cols>
          <w:pgMar w:left="320" w:top="969"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6800" w:type="dxa"/>
            <w:vAlign w:val="bottom"/>
          </w:tcPr>
          <w:p>
            <w:pPr>
              <w:ind w:left="20"/>
              <w:spacing w:after="0"/>
              <w:rPr>
                <w:sz w:val="20"/>
                <w:szCs w:val="20"/>
                <w:color w:val="auto"/>
              </w:rPr>
            </w:pPr>
            <w:r>
              <w:rPr>
                <w:rFonts w:ascii="Arial" w:cs="Arial" w:eastAsia="Arial" w:hAnsi="Arial"/>
                <w:sz w:val="16"/>
                <w:szCs w:val="16"/>
                <w:b w:val="1"/>
                <w:bCs w:val="1"/>
                <w:color w:val="006DB6"/>
              </w:rPr>
              <w:t>FMR LLC</w:t>
            </w:r>
            <w:r>
              <w:rPr>
                <w:rFonts w:ascii="Arial" w:cs="Arial" w:eastAsia="Arial" w:hAnsi="Arial"/>
                <w:sz w:val="21"/>
                <w:szCs w:val="21"/>
                <w:b w:val="1"/>
                <w:bCs w:val="1"/>
                <w:color w:val="006DB6"/>
                <w:vertAlign w:val="superscript"/>
              </w:rPr>
              <w:t>(5)</w:t>
            </w:r>
          </w:p>
        </w:tc>
        <w:tc>
          <w:tcPr>
            <w:tcW w:w="3320" w:type="dxa"/>
            <w:vAlign w:val="bottom"/>
          </w:tcPr>
          <w:p>
            <w:pPr>
              <w:jc w:val="right"/>
              <w:ind w:right="519"/>
              <w:spacing w:after="0"/>
              <w:rPr>
                <w:sz w:val="20"/>
                <w:szCs w:val="20"/>
                <w:color w:val="auto"/>
              </w:rPr>
            </w:pPr>
            <w:r>
              <w:rPr>
                <w:rFonts w:ascii="Arial" w:cs="Arial" w:eastAsia="Arial" w:hAnsi="Arial"/>
                <w:sz w:val="16"/>
                <w:szCs w:val="16"/>
                <w:color w:val="auto"/>
              </w:rPr>
              <w:t>1,425,832</w:t>
            </w:r>
          </w:p>
        </w:tc>
        <w:tc>
          <w:tcPr>
            <w:tcW w:w="112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189"/>
        </w:trPr>
        <w:tc>
          <w:tcPr>
            <w:tcW w:w="6800" w:type="dxa"/>
            <w:vAlign w:val="bottom"/>
          </w:tcPr>
          <w:p>
            <w:pPr>
              <w:ind w:left="360"/>
              <w:spacing w:after="0"/>
              <w:rPr>
                <w:sz w:val="20"/>
                <w:szCs w:val="20"/>
                <w:color w:val="auto"/>
              </w:rPr>
            </w:pPr>
            <w:r>
              <w:rPr>
                <w:rFonts w:ascii="Arial" w:cs="Arial" w:eastAsia="Arial" w:hAnsi="Arial"/>
                <w:sz w:val="16"/>
                <w:szCs w:val="16"/>
                <w:color w:val="auto"/>
              </w:rPr>
              <w:t>245 Summer Street</w:t>
            </w:r>
          </w:p>
        </w:tc>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Boston, MA 02210</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9"/>
        </w:trPr>
        <w:tc>
          <w:tcPr>
            <w:tcW w:w="68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6800" w:type="dxa"/>
            <w:vAlign w:val="bottom"/>
          </w:tcPr>
          <w:p>
            <w:pPr>
              <w:ind w:left="20"/>
              <w:spacing w:after="0" w:line="223" w:lineRule="exact"/>
              <w:rPr>
                <w:sz w:val="20"/>
                <w:szCs w:val="20"/>
                <w:color w:val="auto"/>
              </w:rPr>
            </w:pPr>
            <w:r>
              <w:rPr>
                <w:rFonts w:ascii="Arial" w:cs="Arial" w:eastAsia="Arial" w:hAnsi="Arial"/>
                <w:sz w:val="16"/>
                <w:szCs w:val="16"/>
                <w:b w:val="1"/>
                <w:bCs w:val="1"/>
                <w:color w:val="006DB6"/>
              </w:rPr>
              <w:t>Prescott Group Capital Management L.L.C.</w:t>
            </w:r>
            <w:r>
              <w:rPr>
                <w:rFonts w:ascii="Arial" w:cs="Arial" w:eastAsia="Arial" w:hAnsi="Arial"/>
                <w:sz w:val="21"/>
                <w:szCs w:val="21"/>
                <w:b w:val="1"/>
                <w:bCs w:val="1"/>
                <w:color w:val="006DB6"/>
                <w:vertAlign w:val="superscript"/>
              </w:rPr>
              <w:t>(7)</w:t>
            </w:r>
          </w:p>
        </w:tc>
        <w:tc>
          <w:tcPr>
            <w:tcW w:w="3320" w:type="dxa"/>
            <w:vAlign w:val="bottom"/>
          </w:tcPr>
          <w:p>
            <w:pPr>
              <w:jc w:val="right"/>
              <w:ind w:right="519"/>
              <w:spacing w:after="0"/>
              <w:rPr>
                <w:sz w:val="20"/>
                <w:szCs w:val="20"/>
                <w:color w:val="auto"/>
              </w:rPr>
            </w:pPr>
            <w:r>
              <w:rPr>
                <w:rFonts w:ascii="Arial" w:cs="Arial" w:eastAsia="Arial" w:hAnsi="Arial"/>
                <w:sz w:val="16"/>
                <w:szCs w:val="16"/>
                <w:color w:val="auto"/>
              </w:rPr>
              <w:t>787,481</w:t>
            </w:r>
          </w:p>
        </w:tc>
        <w:tc>
          <w:tcPr>
            <w:tcW w:w="112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189"/>
        </w:trPr>
        <w:tc>
          <w:tcPr>
            <w:tcW w:w="6800" w:type="dxa"/>
            <w:vAlign w:val="bottom"/>
          </w:tcPr>
          <w:p>
            <w:pPr>
              <w:ind w:left="360"/>
              <w:spacing w:after="0"/>
              <w:rPr>
                <w:sz w:val="20"/>
                <w:szCs w:val="20"/>
                <w:color w:val="auto"/>
              </w:rPr>
            </w:pPr>
            <w:r>
              <w:rPr>
                <w:rFonts w:ascii="Arial" w:cs="Arial" w:eastAsia="Arial" w:hAnsi="Arial"/>
                <w:sz w:val="16"/>
                <w:szCs w:val="16"/>
                <w:color w:val="auto"/>
              </w:rPr>
              <w:t>1924 South Utica</w:t>
            </w:r>
          </w:p>
        </w:tc>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Tulsa, OK 74104</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9"/>
        </w:trPr>
        <w:tc>
          <w:tcPr>
            <w:tcW w:w="68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6800" w:type="dxa"/>
            <w:vAlign w:val="bottom"/>
          </w:tcPr>
          <w:p>
            <w:pPr>
              <w:ind w:left="20"/>
              <w:spacing w:after="0" w:line="223" w:lineRule="exact"/>
              <w:rPr>
                <w:sz w:val="20"/>
                <w:szCs w:val="20"/>
                <w:color w:val="auto"/>
              </w:rPr>
            </w:pPr>
            <w:r>
              <w:rPr>
                <w:rFonts w:ascii="Arial" w:cs="Arial" w:eastAsia="Arial" w:hAnsi="Arial"/>
                <w:sz w:val="16"/>
                <w:szCs w:val="16"/>
                <w:b w:val="1"/>
                <w:bCs w:val="1"/>
                <w:color w:val="006DB6"/>
              </w:rPr>
              <w:t>Renaissance Technologies LLC</w:t>
            </w:r>
            <w:r>
              <w:rPr>
                <w:rFonts w:ascii="Arial" w:cs="Arial" w:eastAsia="Arial" w:hAnsi="Arial"/>
                <w:sz w:val="21"/>
                <w:szCs w:val="21"/>
                <w:b w:val="1"/>
                <w:bCs w:val="1"/>
                <w:color w:val="006DB6"/>
                <w:vertAlign w:val="superscript"/>
              </w:rPr>
              <w:t>(6)</w:t>
            </w:r>
          </w:p>
        </w:tc>
        <w:tc>
          <w:tcPr>
            <w:tcW w:w="3320" w:type="dxa"/>
            <w:vAlign w:val="bottom"/>
          </w:tcPr>
          <w:p>
            <w:pPr>
              <w:jc w:val="right"/>
              <w:ind w:right="519"/>
              <w:spacing w:after="0"/>
              <w:rPr>
                <w:sz w:val="20"/>
                <w:szCs w:val="20"/>
                <w:color w:val="auto"/>
              </w:rPr>
            </w:pPr>
            <w:r>
              <w:rPr>
                <w:rFonts w:ascii="Arial" w:cs="Arial" w:eastAsia="Arial" w:hAnsi="Arial"/>
                <w:sz w:val="16"/>
                <w:szCs w:val="16"/>
                <w:color w:val="auto"/>
              </w:rPr>
              <w:t>724,648</w:t>
            </w:r>
          </w:p>
        </w:tc>
        <w:tc>
          <w:tcPr>
            <w:tcW w:w="112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189"/>
        </w:trPr>
        <w:tc>
          <w:tcPr>
            <w:tcW w:w="6800" w:type="dxa"/>
            <w:vAlign w:val="bottom"/>
          </w:tcPr>
          <w:p>
            <w:pPr>
              <w:ind w:left="360"/>
              <w:spacing w:after="0"/>
              <w:rPr>
                <w:sz w:val="20"/>
                <w:szCs w:val="20"/>
                <w:color w:val="auto"/>
              </w:rPr>
            </w:pPr>
            <w:r>
              <w:rPr>
                <w:rFonts w:ascii="Arial" w:cs="Arial" w:eastAsia="Arial" w:hAnsi="Arial"/>
                <w:sz w:val="16"/>
                <w:szCs w:val="16"/>
                <w:color w:val="auto"/>
              </w:rPr>
              <w:t>800 Third Avenue</w:t>
            </w:r>
          </w:p>
        </w:tc>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New York, NY 10022</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9"/>
        </w:trPr>
        <w:tc>
          <w:tcPr>
            <w:tcW w:w="68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36,848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4"/>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190,119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r>
      <w:tr>
        <w:trPr>
          <w:trHeight w:val="23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34,512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39,738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22,421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28,924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5,610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90,293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5,610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29,867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28,965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20,982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4"/>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current directors and executive officers as a group (12 persons)</w:t>
            </w:r>
          </w:p>
        </w:tc>
        <w:tc>
          <w:tcPr>
            <w:tcW w:w="3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533,889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r>
    </w:tbl>
    <w:p>
      <w:pPr>
        <w:spacing w:after="0" w:line="165"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Less than one percent.</w:t>
      </w:r>
    </w:p>
    <w:p>
      <w:pPr>
        <w:sectPr>
          <w:pgSz w:w="11900" w:h="16838" w:orient="portrait"/>
          <w:cols w:equalWidth="0" w:num="1">
            <w:col w:w="11240"/>
          </w:cols>
          <w:pgMar w:left="320" w:top="969" w:right="339" w:bottom="1440" w:gutter="0" w:footer="0" w:header="0"/>
          <w:type w:val="continuous"/>
        </w:sectPr>
      </w:pPr>
    </w:p>
    <w:p>
      <w:pPr>
        <w:spacing w:after="0" w:line="309"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61</w:t>
      </w:r>
    </w:p>
    <w:p>
      <w:pPr>
        <w:sectPr>
          <w:pgSz w:w="11900" w:h="16838" w:orient="portrait"/>
          <w:cols w:equalWidth="0" w:num="1">
            <w:col w:w="11240"/>
          </w:cols>
          <w:pgMar w:left="320" w:top="969"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color w:val="006DB6"/>
        </w:rPr>
        <w:t>Security Ownership of Management and Certain Beneficial Owners</w:t>
      </w:r>
    </w:p>
    <w:p>
      <w:pPr>
        <w:spacing w:after="0" w:line="200" w:lineRule="exact"/>
        <w:rPr>
          <w:sz w:val="20"/>
          <w:szCs w:val="20"/>
          <w:color w:val="auto"/>
        </w:rPr>
      </w:pPr>
    </w:p>
    <w:p>
      <w:pPr>
        <w:spacing w:after="0" w:line="349"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Unless otherwise indicated, the address of each beneficial owner is c/o Civeo Corporation, Three Allen Center, 333 Clay Street, Suite 4980, Houston, Texas 77002.</w:t>
      </w:r>
    </w:p>
    <w:p>
      <w:pPr>
        <w:spacing w:after="0" w:line="79" w:lineRule="exact"/>
        <w:rPr>
          <w:rFonts w:ascii="Arial" w:cs="Arial" w:eastAsia="Arial" w:hAnsi="Arial"/>
          <w:sz w:val="19"/>
          <w:szCs w:val="19"/>
          <w:color w:val="auto"/>
          <w:vertAlign w:val="superscript"/>
        </w:rPr>
      </w:pPr>
    </w:p>
    <w:p>
      <w:pPr>
        <w:ind w:left="260" w:right="140" w:hanging="252"/>
        <w:spacing w:after="0" w:line="228" w:lineRule="auto"/>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Based on total shares outstanding of 14,185,269 as of March 29, 2022 and the number of shares that could be issued upon the exercise of outstanding options held by a person that are currently exercisable, or that could be issued upon conversion of preferred shares of Civeo within 60 days of March 29, 2022, provided, however, that such shares are not considered outstanding as of March 29, 2022 when computing the percentage ownership of each other person.</w:t>
      </w:r>
    </w:p>
    <w:p>
      <w:pPr>
        <w:spacing w:after="0" w:line="80" w:lineRule="exact"/>
        <w:rPr>
          <w:rFonts w:ascii="Arial" w:cs="Arial" w:eastAsia="Arial" w:hAnsi="Arial"/>
          <w:sz w:val="19"/>
          <w:szCs w:val="19"/>
          <w:color w:val="auto"/>
          <w:vertAlign w:val="superscript"/>
        </w:rPr>
      </w:pPr>
    </w:p>
    <w:p>
      <w:pPr>
        <w:ind w:left="260" w:hanging="252"/>
        <w:spacing w:after="0" w:line="238" w:lineRule="auto"/>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Based on a Schedule 13D/A filed pursuant to the Exchange Act on February 11, 2022, Torgerson Family Trust may be deemed to have shared power to vote or to direct the vote and shared power to dispose or to direct the disposition of an aggregate of 1,295,574 shares held directly by Torgerson Family Trust. 989677 Alberta Ltd. may be deemed to have shared power to vote or to direct the vote and shared power to dispose or to direct the disposition of an aggregate of 427,231 shares held directly by 989677 Alberta Ltd. As direct owner of all of the voting shares of 989677 Alberta Ltd., Svenco Investments Ltd. may be deemed to have shared power to vote or to direct the vote and shared power to dispose or to direct the disposition of an aggregate of 427,231 shares held directly by 989677 Alberta Ltd. As one of three cotrustees of Torgerson Family Trust, Lance Torgerson may be deemed to have shared power to vote or to direct the vote and shared power to dispose or to direct the disposition of an aggregate of 1,722,805 shares held by Torgerson Family Trust. As sole director and indirect beneficial owner of all of the voting shares of 989677 Alberta Ltd., Lance Torgerson may be deemed to have shared power to vote or to direct the vote and shared power to dispose or to direct the disposition of an aggregate of 427,231 shares held directly by 989677 Alberta Ltd. As one of three co-trustees of Torgerson Family Trust, Tammy Torgerson may be deemed to have shared power to vote or to direct the vote and shared power to dispose or to direct the disposition of an aggregate of 1,722,805 shares held directly by Torgerson Family Trust.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427,231 shares held directly by 989677 Alberta Ltd. Tammy Torgerson disclaims beneficial ownership, voting power, and power to dispose of the 427,231 shares held directly by 989677 Alberta Ltd. and indirectly by her spouse, Lance Torgerson. As one of three co-trustees of Torgerson Family Trust, Richard Torgerson may be deemed to have shared power to vote or to direct the vote and shared power to dispose or to direct the disposition of an aggregate of 1,295,574 shares held directly by Torgerson Family Trust. Richard Torgerson disclaims beneficial ownership, voting power, and power to dispose of the 1,295,574 shares held directly by Torgerson Family Trust. Includes 2,460,573 common shares issuable upon conversion of 9,679 Class A Series 1 preferred shares held by Torgerson Family Trust, which may be converted at the option of the holder at any time after April 2, 2020.</w:t>
      </w:r>
    </w:p>
    <w:p>
      <w:pPr>
        <w:spacing w:after="0" w:line="50" w:lineRule="exact"/>
        <w:rPr>
          <w:rFonts w:ascii="Arial" w:cs="Arial" w:eastAsia="Arial" w:hAnsi="Arial"/>
          <w:sz w:val="19"/>
          <w:szCs w:val="19"/>
          <w:color w:val="auto"/>
          <w:vertAlign w:val="superscript"/>
        </w:rPr>
      </w:pPr>
    </w:p>
    <w:p>
      <w:pPr>
        <w:ind w:left="260" w:right="420" w:hanging="252"/>
        <w:spacing w:after="0" w:line="285" w:lineRule="auto"/>
        <w:tabs>
          <w:tab w:leader="none" w:pos="264" w:val="left"/>
        </w:tabs>
        <w:numPr>
          <w:ilvl w:val="0"/>
          <w:numId w:val="54"/>
        </w:numPr>
        <w:rPr>
          <w:rFonts w:ascii="Arial" w:cs="Arial" w:eastAsia="Arial" w:hAnsi="Arial"/>
          <w:sz w:val="9"/>
          <w:szCs w:val="9"/>
          <w:color w:val="auto"/>
        </w:rPr>
      </w:pPr>
      <w:r>
        <w:rPr>
          <w:rFonts w:ascii="Arial" w:cs="Arial" w:eastAsia="Arial" w:hAnsi="Arial"/>
          <w:sz w:val="14"/>
          <w:szCs w:val="14"/>
          <w:color w:val="auto"/>
        </w:rPr>
        <w:t>Based on a Schedule 13G/A filed pursuant to the Exchange Act on January 26, 2022, Horizon Kinetics Asset Management LLC has beneficial ownership of 3,488,642 shares and sole voting and dispositive power over those shares.</w:t>
      </w:r>
    </w:p>
    <w:p>
      <w:pPr>
        <w:spacing w:after="0" w:line="22" w:lineRule="exact"/>
        <w:rPr>
          <w:rFonts w:ascii="Arial" w:cs="Arial" w:eastAsia="Arial" w:hAnsi="Arial"/>
          <w:sz w:val="9"/>
          <w:szCs w:val="9"/>
          <w:color w:val="auto"/>
        </w:rPr>
      </w:pPr>
    </w:p>
    <w:p>
      <w:pPr>
        <w:ind w:left="260" w:right="20" w:hanging="252"/>
        <w:spacing w:after="0"/>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pursuant to the Exchange Act on February 5, 2021, FMR LLC has beneficial ownership of 1,425,832 shares, the sole power to vote or direct the vote of 149,340 shares, and the sole power to dispose or direct the disposition of 1,425,832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our common shares outstanding; (ii) Abigail P. Johnson is a Director, Chairman and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does not reflect shares, if any, beneficially owned by certain subsidiaries, affiliates or other companies whose beneficial ownership of shares is disaggregated from that of FMR LLC in accordance with SEC Release No. 34-39538 (January 12, 1998).</w:t>
      </w:r>
    </w:p>
    <w:p>
      <w:pPr>
        <w:spacing w:after="0" w:line="184" w:lineRule="exact"/>
        <w:rPr>
          <w:rFonts w:ascii="Arial" w:cs="Arial" w:eastAsia="Arial" w:hAnsi="Arial"/>
          <w:sz w:val="19"/>
          <w:szCs w:val="19"/>
          <w:color w:val="auto"/>
          <w:vertAlign w:val="superscript"/>
        </w:rPr>
      </w:pPr>
    </w:p>
    <w:p>
      <w:pPr>
        <w:jc w:val="both"/>
        <w:ind w:left="260" w:right="60" w:hanging="252"/>
        <w:spacing w:after="0" w:line="228" w:lineRule="auto"/>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pursuant to the Exchange Act on February 11, 2022, Renaissance Technologies LLC (“RT LLC”) and Renaissance Technologies Holdings Corporation, which owns a majority interest in RT LLC, have beneficial ownership of 724,648 shares, and the sole power to vote or to direct the vote of 646,232 shares, the sole power to dispose or to direct the disposition of 724,648 shares and the shared power to dispose or to direct the disposition of zero shares.</w:t>
      </w:r>
    </w:p>
    <w:p>
      <w:pPr>
        <w:spacing w:after="0" w:line="40" w:lineRule="exact"/>
        <w:rPr>
          <w:rFonts w:ascii="Arial" w:cs="Arial" w:eastAsia="Arial" w:hAnsi="Arial"/>
          <w:sz w:val="19"/>
          <w:szCs w:val="19"/>
          <w:color w:val="auto"/>
          <w:vertAlign w:val="superscript"/>
        </w:rPr>
      </w:pPr>
    </w:p>
    <w:p>
      <w:pPr>
        <w:ind w:left="260" w:right="20" w:hanging="252"/>
        <w:spacing w:after="0" w:line="250" w:lineRule="auto"/>
        <w:tabs>
          <w:tab w:leader="none" w:pos="264" w:val="left"/>
        </w:tabs>
        <w:numPr>
          <w:ilvl w:val="0"/>
          <w:numId w:val="54"/>
        </w:numPr>
        <w:rPr>
          <w:rFonts w:ascii="Arial" w:cs="Arial" w:eastAsia="Arial" w:hAnsi="Arial"/>
          <w:sz w:val="9"/>
          <w:szCs w:val="9"/>
          <w:color w:val="auto"/>
        </w:rPr>
      </w:pPr>
      <w:r>
        <w:rPr>
          <w:rFonts w:ascii="Arial" w:cs="Arial" w:eastAsia="Arial" w:hAnsi="Arial"/>
          <w:sz w:val="14"/>
          <w:szCs w:val="14"/>
          <w:color w:val="auto"/>
        </w:rPr>
        <w:t>Based on a Schedule 13G filed pursuant to the Exchange Act on February 9, 2022, Prescott Group Capital Management L.L.C. ("Prescott Capital"), Prescott Group Aggressive Small Cap, L.P. ("Prescott Small Cap"), Prescott Group Aggressive Small Cap II, L.P. (together with Prescott Small Cap, the "Small Cap Funds"), Prescott Group Aggressive Small Cap Master Fund, G.P. ("Master Fund"), and Mr. Phil Frohlich, the principal of Prescott Capital, have beneficial ownership of 787,481 shares. Prescott Capital serves as the general partner and investment manager of the Small Cap Funds and may direct the Small Cap Funds, the general partners of the Master Fund, to direct the vote and disposition of the 787,481 shares held by the Master Fund. As the principal of Prescott Capital, Mr. Frolich may direct the vote and disposition of the 787,481 shares held by the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155575</wp:posOffset>
            </wp:positionV>
            <wp:extent cx="394335" cy="1968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240"/>
          </w:cols>
          <w:pgMar w:left="320" w:top="233" w:right="339" w:bottom="1440" w:gutter="0" w:footer="0" w:header="0"/>
        </w:sectPr>
      </w:pPr>
    </w:p>
    <w:bookmarkStart w:id="66" w:name="page67"/>
    <w:bookmarkEnd w:id="66"/>
    <w:p>
      <w:pPr>
        <w:spacing w:after="0"/>
        <w:rPr>
          <w:sz w:val="20"/>
          <w:szCs w:val="20"/>
          <w:color w:val="auto"/>
        </w:rPr>
      </w:pPr>
      <w:r>
        <w:rPr>
          <w:rFonts w:ascii="Arial" w:cs="Arial" w:eastAsia="Arial" w:hAnsi="Arial"/>
          <w:sz w:val="45"/>
          <w:szCs w:val="45"/>
          <w:b w:val="1"/>
          <w:bCs w:val="1"/>
          <w:color w:val="006DB6"/>
        </w:rPr>
        <w:t>Additional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General Information about the Annual General Meeting</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Why am I receiving this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During the annual general meeting, you will be asked to vote on several proposals, including:</w:t>
      </w:r>
    </w:p>
    <w:p>
      <w:pPr>
        <w:spacing w:after="0" w:line="113"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the election of three persons as Class II members of Civeo’s board of directors: Richard A. Navarre, Martin A. Lambert, and Constance B. Moore;</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the approval, on an advisory basis, of the compensation of Civeo’s named executive officers;</w:t>
      </w:r>
    </w:p>
    <w:p>
      <w:pPr>
        <w:spacing w:after="0" w:line="113" w:lineRule="exact"/>
        <w:rPr>
          <w:rFonts w:ascii="Arial" w:cs="Arial" w:eastAsia="Arial" w:hAnsi="Arial"/>
          <w:sz w:val="16"/>
          <w:szCs w:val="16"/>
          <w:color w:val="006DB6"/>
        </w:rPr>
      </w:pPr>
    </w:p>
    <w:p>
      <w:pPr>
        <w:ind w:left="200" w:right="120" w:hanging="192"/>
        <w:spacing w:after="0" w:line="266" w:lineRule="auto"/>
        <w:tabs>
          <w:tab w:leader="none" w:pos="17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Civeo’s independent registered public accounting firm for the year ending December 31, 2022 and until the next annual general meeting of shareholders and the authorization of the directors, acting through the Audit Committee, to determine the remuneration to be paid to Ernst &amp; Young LLP for 2022; and</w:t>
      </w:r>
    </w:p>
    <w:p>
      <w:pPr>
        <w:spacing w:after="0" w:line="63" w:lineRule="exact"/>
        <w:rPr>
          <w:rFonts w:ascii="Arial" w:cs="Arial" w:eastAsia="Arial" w:hAnsi="Arial"/>
          <w:sz w:val="16"/>
          <w:szCs w:val="16"/>
          <w:color w:val="auto"/>
        </w:rPr>
      </w:pPr>
    </w:p>
    <w:p>
      <w:pPr>
        <w:ind w:left="180" w:hanging="172"/>
        <w:spacing w:after="0"/>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knows of no matters, other than those stated in this proxy statement, to be presented for consideration at the annual general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1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Your vote is important and we encourage you to vote as soon as possible. Even if you plan to attend the annual general meeting, we recommend that you vote your shares prior to the meeting so that your vote will be counted if you later decide not to attend.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of shareholders is required to approve the proposals at the annual general meeting?</w:t>
      </w:r>
    </w:p>
    <w:p>
      <w:pPr>
        <w:spacing w:after="0" w:line="113"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the Director Proposal and the Auditor Proposal, you may vote either “FOR” or “WITHHOLD.” A plurality of the votes cast by shareholders at the</w:t>
      </w:r>
    </w:p>
    <w:p>
      <w:pPr>
        <w:spacing w:after="0" w:line="21" w:lineRule="exact"/>
        <w:rPr>
          <w:rFonts w:ascii="Arial" w:cs="Arial" w:eastAsia="Arial" w:hAnsi="Arial"/>
          <w:sz w:val="16"/>
          <w:szCs w:val="16"/>
          <w:color w:val="auto"/>
        </w:rPr>
      </w:pPr>
    </w:p>
    <w:p>
      <w:pPr>
        <w:ind w:right="140"/>
        <w:spacing w:after="0" w:line="250" w:lineRule="auto"/>
        <w:rPr>
          <w:rFonts w:ascii="Arial" w:cs="Arial" w:eastAsia="Arial" w:hAnsi="Arial"/>
          <w:sz w:val="16"/>
          <w:szCs w:val="16"/>
          <w:color w:val="auto"/>
        </w:rPr>
      </w:pPr>
      <w:r>
        <w:rPr>
          <w:rFonts w:ascii="Arial" w:cs="Arial" w:eastAsia="Arial" w:hAnsi="Arial"/>
          <w:sz w:val="16"/>
          <w:szCs w:val="16"/>
          <w:color w:val="auto"/>
        </w:rPr>
        <w:t>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Environmental, Social, Governance and Nominating Committee following certification of the shareholder vote. For more information, please read “Management-Director Resignation Policy.”</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the Say-on-Pay Proposal, you may vote “FOR”, “AGAINST” or “ABSTAIN”. To approve the Say-on-Pay Proposal, the votes cast in favor of the proposal must exceed the votes cast against the proposal.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does the board of directors recommend?</w:t>
      </w:r>
    </w:p>
    <w:p>
      <w:pPr>
        <w:spacing w:after="0" w:line="113" w:lineRule="exact"/>
        <w:rPr>
          <w:sz w:val="20"/>
          <w:szCs w:val="20"/>
          <w:color w:val="auto"/>
        </w:rPr>
      </w:pPr>
    </w:p>
    <w:p>
      <w:pPr>
        <w:ind w:right="680" w:firstLine="8"/>
        <w:spacing w:after="0" w:line="286" w:lineRule="auto"/>
        <w:tabs>
          <w:tab w:leader="none" w:pos="19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board of directors recommends shareholders of Civeo vote “FOR” each of the director nominees named in the Director Proposal, the Auditor Proposal and the Say-on-Pay Proposal.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When and where will the annual general meeting be held?</w:t>
      </w:r>
    </w:p>
    <w:p>
      <w:pPr>
        <w:spacing w:after="0" w:line="113" w:lineRule="exact"/>
        <w:rPr>
          <w:sz w:val="20"/>
          <w:szCs w:val="20"/>
          <w:color w:val="auto"/>
        </w:rPr>
      </w:pPr>
    </w:p>
    <w:p>
      <w:pPr>
        <w:jc w:val="both"/>
        <w:ind w:right="340" w:firstLine="8"/>
        <w:spacing w:after="0" w:line="266" w:lineRule="auto"/>
        <w:tabs>
          <w:tab w:leader="none" w:pos="1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annual general meeting will be held at the Baldwin Hotel, 400 Dallas Street, Houston, Texas 77002 on May 18, 2022 at 9:00 a.m., local time. For directions to be able to attend the meeting, please review the information included in the notice or contact our Corporate Secretary at Civeo Corporation, Three Allen Center, 333 Clay Street, Suite 4980, Houston, TX 77002.</w:t>
      </w:r>
    </w:p>
    <w:p>
      <w:pPr>
        <w:spacing w:after="0" w:line="6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are actively monitoring the public health and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time and/or location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bl>
    <w:p>
      <w:pPr>
        <w:sectPr>
          <w:pgSz w:w="11900" w:h="16838" w:orient="portrait"/>
          <w:cols w:equalWidth="0" w:num="1">
            <w:col w:w="11240"/>
          </w:cols>
          <w:pgMar w:left="320" w:top="969"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Do I need to bring documentation to attend the meeting?</w:t>
      </w:r>
    </w:p>
    <w:p>
      <w:pPr>
        <w:spacing w:after="0" w:line="113" w:lineRule="exact"/>
        <w:rPr>
          <w:sz w:val="20"/>
          <w:szCs w:val="20"/>
          <w:color w:val="auto"/>
        </w:rPr>
      </w:pPr>
    </w:p>
    <w:p>
      <w:pPr>
        <w:ind w:right="60" w:firstLine="8"/>
        <w:spacing w:after="0" w:line="254" w:lineRule="auto"/>
        <w:tabs>
          <w:tab w:leader="none" w:pos="1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Yes. Shareholders of record attending the annual general meeting should be prepared to present government-issued photo identification for admission. Shareholders owning Civeo common shares through a broker, bank or other nominee should be prepared to present government-issued photo identification and evidence of share ownership as of March 29, 2022, such as an account statement, voting instructions card issued by the broker, bank or other nominee for admission into the annual general meeting. Check-in at the annual general meeting will begin at 8:30 a.m., and you should plan to allow ample time for check-in procedures. Seating at the annual general meeting is limited and admission is on a first-come, first-served basis. Cameras, cell phones, recording equipment and other electronic devices will not be permitted at the annual general meeting.</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appoint my proxy?</w:t>
      </w:r>
    </w:p>
    <w:p>
      <w:pPr>
        <w:spacing w:after="0" w:line="113" w:lineRule="exact"/>
        <w:rPr>
          <w:sz w:val="20"/>
          <w:szCs w:val="20"/>
          <w:color w:val="auto"/>
        </w:rPr>
      </w:pPr>
    </w:p>
    <w:p>
      <w:pPr>
        <w:ind w:right="280" w:firstLine="8"/>
        <w:spacing w:after="0" w:line="256" w:lineRule="auto"/>
        <w:tabs>
          <w:tab w:leader="none" w:pos="1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Shareholders who wish to appoint a third party proxyholder to represent them at the meeting </w:t>
      </w:r>
      <w:r>
        <w:rPr>
          <w:rFonts w:ascii="Arial" w:cs="Arial" w:eastAsia="Arial" w:hAnsi="Arial"/>
          <w:sz w:val="16"/>
          <w:szCs w:val="16"/>
          <w:b w:val="1"/>
          <w:bCs w:val="1"/>
          <w:color w:val="auto"/>
        </w:rPr>
        <w:t>must submit their proxy or voting instruction form (if</w:t>
      </w:r>
      <w:r>
        <w:rPr>
          <w:rFonts w:ascii="Arial" w:cs="Arial" w:eastAsia="Arial" w:hAnsi="Arial"/>
          <w:sz w:val="16"/>
          <w:szCs w:val="16"/>
          <w:color w:val="auto"/>
        </w:rPr>
        <w:t xml:space="preserve"> </w:t>
      </w:r>
      <w:r>
        <w:rPr>
          <w:rFonts w:ascii="Arial" w:cs="Arial" w:eastAsia="Arial" w:hAnsi="Arial"/>
          <w:sz w:val="16"/>
          <w:szCs w:val="16"/>
          <w:b w:val="1"/>
          <w:bCs w:val="1"/>
          <w:color w:val="auto"/>
        </w:rPr>
        <w:t>applicable) prior to registering their proxyholder. Registering your proxyholder is an additional step once you have submitted your proxy or voting instruction form. Failure to register the proxyholder will result in the proxyholder not receiving a control number to participate in the meeting</w:t>
      </w:r>
      <w:r>
        <w:rPr>
          <w:rFonts w:ascii="Arial" w:cs="Arial" w:eastAsia="Arial" w:hAnsi="Arial"/>
          <w:sz w:val="16"/>
          <w:szCs w:val="16"/>
          <w:color w:val="auto"/>
        </w:rPr>
        <w:t>. To register a proxyholder, shareholders MUST write in the appointee's name on the proxy card enclosed in your packet and return via US mail</w:t>
      </w:r>
      <w:r>
        <w:rPr>
          <w:rFonts w:ascii="Arial" w:cs="Arial" w:eastAsia="Arial" w:hAnsi="Arial"/>
          <w:sz w:val="16"/>
          <w:szCs w:val="16"/>
          <w:b w:val="1"/>
          <w:bCs w:val="1"/>
          <w:color w:val="auto"/>
        </w:rPr>
        <w:t xml:space="preserve"> </w:t>
      </w:r>
      <w:r>
        <w:rPr>
          <w:rFonts w:ascii="Arial" w:cs="Arial" w:eastAsia="Arial" w:hAnsi="Arial"/>
          <w:sz w:val="16"/>
          <w:szCs w:val="16"/>
          <w:color w:val="auto"/>
        </w:rPr>
        <w:t>using the enclosed envelope.</w:t>
      </w:r>
    </w:p>
    <w:p>
      <w:pPr>
        <w:spacing w:after="0" w:line="7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proxy must be received by Broadridge no later than May 17, 2022 at 11:59 p.m., Eastern Time. If a shareholder who has submitted a proxy attends the meeting and has accepted the terms and conditions when entering the meeting, any votes cast by such shareholder on a ballot will be counted and the submitted proxy will be disregarded.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entitled to vote during the annual general meeting?</w:t>
      </w:r>
    </w:p>
    <w:p>
      <w:pPr>
        <w:spacing w:after="0" w:line="113" w:lineRule="exact"/>
        <w:rPr>
          <w:sz w:val="20"/>
          <w:szCs w:val="20"/>
          <w:color w:val="auto"/>
        </w:rPr>
      </w:pPr>
    </w:p>
    <w:p>
      <w:pPr>
        <w:ind w:right="220" w:firstLine="8"/>
        <w:spacing w:after="0" w:line="266" w:lineRule="auto"/>
        <w:tabs>
          <w:tab w:leader="none" w:pos="1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have fixed March 29, 2022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many votes do I have?</w:t>
      </w:r>
    </w:p>
    <w:p>
      <w:pPr>
        <w:spacing w:after="0" w:line="113" w:lineRule="exact"/>
        <w:rPr>
          <w:sz w:val="20"/>
          <w:szCs w:val="20"/>
          <w:color w:val="auto"/>
        </w:rPr>
      </w:pPr>
    </w:p>
    <w:p>
      <w:pPr>
        <w:ind w:right="100" w:firstLine="8"/>
        <w:spacing w:after="0" w:line="286" w:lineRule="auto"/>
        <w:tabs>
          <w:tab w:leader="none" w:pos="198" w:val="left"/>
        </w:tabs>
        <w:numPr>
          <w:ilvl w:val="0"/>
          <w:numId w:val="62"/>
        </w:numPr>
        <w:rPr>
          <w:rFonts w:ascii="Arial" w:cs="Arial" w:eastAsia="Arial" w:hAnsi="Arial"/>
          <w:sz w:val="16"/>
          <w:szCs w:val="16"/>
          <w:color w:val="auto"/>
        </w:rPr>
      </w:pPr>
      <w:r>
        <w:rPr>
          <w:rFonts w:ascii="Arial" w:cs="Arial" w:eastAsia="Arial" w:hAnsi="Arial"/>
          <w:sz w:val="16"/>
          <w:szCs w:val="16"/>
          <w:color w:val="auto"/>
        </w:rPr>
        <w:t>You are entitled to one vote for each share you owned as of the close of business, U.S. Eastern Time, on the record date. As of the close of business on the record date, there were approximately 14,185,269 Civeo common shares outstanding.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do I vote?</w:t>
      </w:r>
    </w:p>
    <w:p>
      <w:pPr>
        <w:spacing w:after="0" w:line="113" w:lineRule="exact"/>
        <w:rPr>
          <w:sz w:val="20"/>
          <w:szCs w:val="20"/>
          <w:color w:val="auto"/>
        </w:rPr>
      </w:pPr>
    </w:p>
    <w:p>
      <w:pPr>
        <w:ind w:firstLine="8"/>
        <w:spacing w:after="0" w:line="266" w:lineRule="auto"/>
        <w:tabs>
          <w:tab w:leader="none" w:pos="1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U.S. Eastern Time, on March 29, 2022, the record date for the annual general meeting, you may vote in person by attending the annual general meeting or, to ensure your shares are represented at the annual general meeting, you may authorize a proxy to vote by:</w:t>
      </w:r>
    </w:p>
    <w:p>
      <w:pPr>
        <w:spacing w:after="0" w:line="63"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accessing the Internet website specified on your proxy card;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calling the toll-free number specified on your proxy card; or</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signing and returning your proxy card in the postage-paid envelope provided.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proxy card is being sent with this proxy statement to each shareholder of record as of the record date for the annual general meeting.</w:t>
      </w:r>
    </w:p>
    <w:p>
      <w:pPr>
        <w:spacing w:after="0" w:line="11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If my shares are held in “street name” by my nominee, when will my nominee vote shares for me?</w:t>
      </w:r>
    </w:p>
    <w:p>
      <w:pPr>
        <w:spacing w:after="0" w:line="113" w:lineRule="exact"/>
        <w:rPr>
          <w:sz w:val="20"/>
          <w:szCs w:val="20"/>
          <w:color w:val="auto"/>
        </w:rPr>
      </w:pPr>
    </w:p>
    <w:p>
      <w:pPr>
        <w:ind w:right="120" w:firstLine="8"/>
        <w:spacing w:after="0" w:line="253" w:lineRule="auto"/>
        <w:tabs>
          <w:tab w:leader="none" w:pos="198"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the annual general meeting, if you are a beneficial owner whose shares are held by a bank, broker or other nominee of record, your bank, broker or other nominee of record has discretionary voting authority under NYSE rules to vote your shares on the Auditor Proposal, even if it has not received voting instructions from you. However, such nominee does not have discretionary authority to vote on the Director Proposal or the Say-on-Pay Proposal without instructions from you, in which case a broker non-vote will result and your shares will not be voted on those matters and will have no effect on the outcome of these votes. In these cases, the bank, broker or other nominee can include your shares as being present at the annual general meeting for purposes of determining the presence of a quorum but will not be able to vote on these matters for which specific authorization is required under the rules of the NYSE. Your nominee can give you directions on how to instruct the voting of your shares. We encourage you to instruct your nominee how to vote your shares.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Are shareholders able to exercise appraisal rights?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Appraisal rights are not available to shareholders in connection with any of the proposals.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Can I change my vote after I grant my proxy?</w:t>
      </w:r>
    </w:p>
    <w:p>
      <w:pPr>
        <w:spacing w:after="0" w:line="113" w:lineRule="exact"/>
        <w:rPr>
          <w:sz w:val="20"/>
          <w:szCs w:val="20"/>
          <w:color w:val="auto"/>
        </w:rPr>
      </w:pPr>
    </w:p>
    <w:p>
      <w:pPr>
        <w:ind w:right="540" w:firstLine="8"/>
        <w:spacing w:after="0" w:line="286" w:lineRule="auto"/>
        <w:tabs>
          <w:tab w:leader="none" w:pos="1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Yes. You can change your vote at any time before your proxy is voted at the annual general meeting. In addition to revocation in any other manner permitted by law, you can revoke your proxy in one of the following ways:</w:t>
      </w:r>
    </w:p>
    <w:p>
      <w:pPr>
        <w:spacing w:after="0" w:line="48"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6"/>
          <w:szCs w:val="16"/>
          <w:color w:val="006DB6"/>
        </w:rPr>
      </w:pPr>
      <w:r>
        <w:rPr>
          <w:rFonts w:ascii="Arial" w:cs="Arial" w:eastAsia="Arial" w:hAnsi="Arial"/>
          <w:sz w:val="16"/>
          <w:szCs w:val="16"/>
          <w:color w:val="auto"/>
        </w:rPr>
        <w:t>filing a written revocation with the Secretary prior to the voting of such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149225</wp:posOffset>
            </wp:positionV>
            <wp:extent cx="394335" cy="1968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200"/>
          </w:cols>
          <w:pgMar w:left="320" w:top="233" w:right="37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006DB6"/>
        </w:rPr>
      </w:pPr>
      <w:r>
        <w:rPr>
          <w:rFonts w:ascii="Arial" w:cs="Arial" w:eastAsia="Arial" w:hAnsi="Arial"/>
          <w:sz w:val="16"/>
          <w:szCs w:val="16"/>
          <w:color w:val="auto"/>
        </w:rPr>
        <w:t>giving a duly executed proxy bearing a later date; or</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68"/>
        </w:numPr>
        <w:rPr>
          <w:rFonts w:ascii="Arial" w:cs="Arial" w:eastAsia="Arial" w:hAnsi="Arial"/>
          <w:sz w:val="16"/>
          <w:szCs w:val="16"/>
          <w:color w:val="006DB6"/>
        </w:rPr>
      </w:pPr>
      <w:r>
        <w:rPr>
          <w:rFonts w:ascii="Arial" w:cs="Arial" w:eastAsia="Arial" w:hAnsi="Arial"/>
          <w:sz w:val="16"/>
          <w:szCs w:val="16"/>
          <w:color w:val="auto"/>
        </w:rPr>
        <w:t>attending the annual general meeting and voting in person.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Your attendance during the annual general meeting will not itself revoke your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have instructed a broker to vote your shares, you must follow the procedure provided by your broker to change those instructions.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fail to vote or I abstain from voting?</w:t>
      </w:r>
    </w:p>
    <w:p>
      <w:pPr>
        <w:spacing w:after="0" w:line="113" w:lineRule="exact"/>
        <w:rPr>
          <w:sz w:val="20"/>
          <w:szCs w:val="20"/>
          <w:color w:val="auto"/>
        </w:rPr>
      </w:pPr>
    </w:p>
    <w:p>
      <w:pPr>
        <w:ind w:right="40" w:firstLine="8"/>
        <w:spacing w:after="0" w:line="266" w:lineRule="auto"/>
        <w:tabs>
          <w:tab w:leader="none" w:pos="198"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Under applicable local law, if you are a shareholder of Civeo and (1) are present in person or by proxy at the annual general meeting and mark your proxy or voting instructions to abstain, (2) are not present in person or by proxy at the annual general meeting and do not respond by proxy or (3) fail to instruct your broker, bank or other nominee to vote, this will have no effect on the Say-on-Pay Proposal.</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If you are a shareholder of Civeo and are present in person or by proxy at the annual general meeting and mark your proxy or voting instructions to withhold, this will have the effect of a vote withheld from the Director Proposal. If you are a shareholder of Civeo and are present in person or by proxy at the annual general meeting and mark your proxy or voting instructions to withhold, this will have no effect on the Auditor Proposal. If you are a shareholder of Civeo and are not present in person at the annual general meeting and do not respond by proxy, this will have no effect on the Director Proposal or the Auditor Proposal.</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return my proxy card without indicating how to vote?</w:t>
      </w:r>
    </w:p>
    <w:p>
      <w:pPr>
        <w:spacing w:after="0" w:line="113" w:lineRule="exact"/>
        <w:rPr>
          <w:sz w:val="20"/>
          <w:szCs w:val="20"/>
          <w:color w:val="auto"/>
        </w:rPr>
      </w:pPr>
    </w:p>
    <w:p>
      <w:pPr>
        <w:ind w:right="180" w:firstLine="8"/>
        <w:spacing w:after="0" w:line="286" w:lineRule="auto"/>
        <w:tabs>
          <w:tab w:leader="none" w:pos="198"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is the quorum requirement for the annual general meeting?</w:t>
      </w:r>
    </w:p>
    <w:p>
      <w:pPr>
        <w:spacing w:after="0" w:line="113" w:lineRule="exact"/>
        <w:rPr>
          <w:sz w:val="20"/>
          <w:szCs w:val="20"/>
          <w:color w:val="auto"/>
        </w:rPr>
      </w:pPr>
    </w:p>
    <w:p>
      <w:pPr>
        <w:ind w:right="20" w:firstLine="8"/>
        <w:spacing w:after="0" w:line="259" w:lineRule="auto"/>
        <w:tabs>
          <w:tab w:leader="none" w:pos="1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soliciting my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Proxies are being solicited by our board of directors for use at the annual general meeting and any adjournment or postponement thereof.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paying for the cost of this proxy solicitation?</w:t>
      </w:r>
    </w:p>
    <w:p>
      <w:pPr>
        <w:spacing w:after="0" w:line="113" w:lineRule="exact"/>
        <w:rPr>
          <w:sz w:val="20"/>
          <w:szCs w:val="20"/>
          <w:color w:val="auto"/>
        </w:rPr>
      </w:pPr>
    </w:p>
    <w:p>
      <w:pPr>
        <w:ind w:right="600" w:firstLine="8"/>
        <w:spacing w:after="0" w:line="286" w:lineRule="auto"/>
        <w:tabs>
          <w:tab w:leader="none" w:pos="198"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4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In addition to soliciting proxies by mail, our board of directors, our officers and employees, or our transfer agent, may solicit proxies on our behalf by telephone and we have engaged a proxy solicitor to solicit proxies on our behalf by telephone and by other means. We expect the cost of Okapi Partners LLC, our proxy solicitor, to be approximately $9,000. Broadridge will serve as the inspector of election for the annual general meeting.</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Future Shareholder Proposals</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To be included in the proxy materials for the 2023 annual general meeting of shareholders under SEC Rule 14a-8, shareholder proposals that are submitted for presentation at that annual general meeting and are otherwise eligible for inclusion in the proxy statement must be received by us no later than December 8, 2022. In addition to satisfying the deadlines in the advance notice provisions of our articles, a shareholder who intends to solicit proxies in support of proposals submitted under these advance notice provisions must provide the notice required under Rule 14a-19 to Civeo no later than March 18, 2023.</w:t>
      </w:r>
    </w:p>
    <w:p>
      <w:pPr>
        <w:spacing w:after="0" w:line="26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2023 annual general meeting of shareholders, notice will have to be received by us no later than January 18, 2023.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w:t>
      </w:r>
    </w:p>
    <w:p>
      <w:pPr>
        <w:spacing w:after="0" w:line="356"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bl>
    <w:p>
      <w:pPr>
        <w:sectPr>
          <w:pgSz w:w="11900" w:h="16838" w:orient="portrait"/>
          <w:cols w:equalWidth="0" w:num="1">
            <w:col w:w="11240"/>
          </w:cols>
          <w:pgMar w:left="320" w:top="233"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Proxies granted in connection with that annual general meeting may confer discretionary authority to vote on any shareholder proposal if notice of the proposal is not received by us in accordance with the advance notice requirements of our articles discussed above. It is suggested that proponents submit their proposals by certified mail, return receipt requested.</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advance notice provision deadlines set forth above are applicable other than pursuant to (i) a valid proposal made by or at the discretion or request of one or more “qualified stockholders” made pursuant to the provisions of the British Columbia B</w:t>
      </w:r>
      <w:r>
        <w:rPr>
          <w:rFonts w:ascii="Arial" w:cs="Arial" w:eastAsia="Arial" w:hAnsi="Arial"/>
          <w:sz w:val="16"/>
          <w:szCs w:val="16"/>
          <w:i w:val="1"/>
          <w:iCs w:val="1"/>
          <w:color w:val="auto"/>
        </w:rPr>
        <w:t>usiness Corporations Act</w:t>
      </w:r>
      <w:r>
        <w:rPr>
          <w:rFonts w:ascii="Arial" w:cs="Arial" w:eastAsia="Arial" w:hAnsi="Arial"/>
          <w:sz w:val="16"/>
          <w:szCs w:val="16"/>
          <w:color w:val="auto"/>
        </w:rPr>
        <w:t xml:space="preserve">; and (ii) a requisition of a meeting made pursuant to the provisions of the British Columbia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297815</wp:posOffset>
            </wp:positionV>
            <wp:extent cx="394335" cy="1974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020"/>
          </w:cols>
          <w:pgMar w:left="320" w:top="233" w:right="55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SEC permits a single proxy statement and annual report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receive only one proxy statement and annual report unless any shareholder at that address has given the broker contrary instructions. However, if any such beneficial shareholder residing at such an address wishes to receive a separate proxy statement and annual report in the future, or if any such beneficial shareholder that elected to continue to receive separate proxy materials wishes to receive a single copy of the proxy statement and annual report in the future, that shareholder should contact their broker or send a request to our Corporate Secretary, Civeo Corporation, Three Allen Center, 333 Clay Street, Suite 4980, Houston, Texas 77002, (713) 510-2400.</w:t>
      </w:r>
    </w:p>
    <w:p>
      <w:pPr>
        <w:spacing w:after="0" w:line="74"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We will deliver, without charge, promptly upon written or oral request to the Corporate Secretary at the contact information above, a separate copy of this proxy statement and Annual Report on Form 10-K for the fiscal year ended December 31, 2021.</w:t>
      </w:r>
    </w:p>
    <w:p>
      <w:pPr>
        <w:spacing w:after="0" w:line="200" w:lineRule="exact"/>
        <w:rPr>
          <w:sz w:val="20"/>
          <w:szCs w:val="20"/>
          <w:color w:val="auto"/>
        </w:rPr>
      </w:pPr>
    </w:p>
    <w:p>
      <w:pPr>
        <w:spacing w:after="0" w:line="337"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bl>
    <w:p>
      <w:pPr>
        <w:sectPr>
          <w:pgSz w:w="11900" w:h="16838" w:orient="portrait"/>
          <w:cols w:equalWidth="0" w:num="1">
            <w:col w:w="11240"/>
          </w:cols>
          <w:pgMar w:left="320" w:top="233" w:right="339" w:bottom="1440" w:gutter="0" w:footer="0" w:header="0"/>
        </w:sectPr>
      </w:pPr>
    </w:p>
    <w:bookmarkStart w:id="71" w:name="page72"/>
    <w:bookmarkEnd w:id="71"/>
    <w:p>
      <w:pPr>
        <w:spacing w:after="0"/>
        <w:rPr>
          <w:sz w:val="20"/>
          <w:szCs w:val="20"/>
          <w:color w:val="auto"/>
        </w:rPr>
      </w:pPr>
      <w:r>
        <w:rPr>
          <w:rFonts w:ascii="Arial" w:cs="Arial" w:eastAsia="Arial" w:hAnsi="Arial"/>
          <w:sz w:val="45"/>
          <w:szCs w:val="45"/>
          <w:b w:val="1"/>
          <w:bCs w:val="1"/>
          <w:color w:val="006DB6"/>
        </w:rPr>
        <w:t>Appendix</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Non-GAAP Reconciliations</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term Consolidated Adjusted Operating Cash Flow is a non-GAAP financial measure that is defined as net cash flows provided by operating activities adjusted to exclude and/or include certain other unusual or non-operating items. Adjustments to Consolidated Operating Cash Flow under the AICP also reflect one-time, unanticipated financial events incurred following approval of the respective year's budget, including unbudgeted variability in stock-based compensation expense, changes in foreign exchange rates and certain other unbudgeted cash flows (approved by the board of directors). Consolidated Adjusted Operating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Consolidated Adjusted Operating Cash Flow may not be comparable to other similarly titled measures of other companies. Civeo has included Consolidated Adjusted Operating Cash Flow as a supplemental disclosure because its management believes that Consolidated Adjusted Operating Cash Flow provides useful information regarding the cash flow generating ability of its business relative to its capital expenditure and debt service obligations. Civeo uses Consolidated Adjusted Operating Cash Flow to compare and to understand, manage, make operating decisions and evaluate Civeo's business. During 2021, Consolidated Adjusted Operating Cash Flow was also used as a financial metric under the AICP, given the Company's current focus on generating cash flow and reducing leverage.</w:t>
      </w:r>
    </w:p>
    <w:p>
      <w:pPr>
        <w:spacing w:after="0" w:line="319"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following table sets forth a reconciliation of Consolidated Adjusted Operating Cash Flow to Net Cash Flows Provided by Operating Activities, which is the most directly comparable measure of financial performance calculated under generally accepted accounting principles (in millions) (unaudited) for the year ended December 31, 2021:</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43"/>
        </w:trPr>
        <w:tc>
          <w:tcPr>
            <w:tcW w:w="5360" w:type="dxa"/>
            <w:vAlign w:val="bottom"/>
          </w:tcPr>
          <w:p>
            <w:pPr>
              <w:ind w:left="220"/>
              <w:spacing w:after="0"/>
              <w:rPr>
                <w:sz w:val="20"/>
                <w:szCs w:val="20"/>
                <w:color w:val="auto"/>
              </w:rPr>
            </w:pPr>
            <w:r>
              <w:rPr>
                <w:rFonts w:ascii="Arial" w:cs="Arial" w:eastAsia="Arial" w:hAnsi="Arial"/>
                <w:sz w:val="16"/>
                <w:szCs w:val="16"/>
                <w:color w:val="auto"/>
              </w:rPr>
              <w:t>Unbudgeted changes in foreign exchange rates</w:t>
            </w:r>
          </w:p>
        </w:tc>
        <w:tc>
          <w:tcPr>
            <w:tcW w:w="8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43"/>
        </w:trPr>
        <w:tc>
          <w:tcPr>
            <w:tcW w:w="5360" w:type="dxa"/>
            <w:vAlign w:val="bottom"/>
          </w:tcPr>
          <w:p>
            <w:pPr>
              <w:ind w:left="220"/>
              <w:spacing w:after="0"/>
              <w:rPr>
                <w:sz w:val="20"/>
                <w:szCs w:val="20"/>
                <w:color w:val="auto"/>
              </w:rPr>
            </w:pPr>
            <w:r>
              <w:rPr>
                <w:rFonts w:ascii="Arial" w:cs="Arial" w:eastAsia="Arial" w:hAnsi="Arial"/>
                <w:sz w:val="16"/>
                <w:szCs w:val="16"/>
                <w:color w:val="auto"/>
              </w:rPr>
              <w:t>Unbudgeted variability in stock-based compensation expense</w:t>
            </w:r>
          </w:p>
        </w:tc>
        <w:tc>
          <w:tcPr>
            <w:tcW w:w="8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43"/>
        </w:trPr>
        <w:tc>
          <w:tcPr>
            <w:tcW w:w="5360" w:type="dxa"/>
            <w:vAlign w:val="bottom"/>
          </w:tcPr>
          <w:p>
            <w:pPr>
              <w:ind w:left="220"/>
              <w:spacing w:after="0"/>
              <w:rPr>
                <w:sz w:val="20"/>
                <w:szCs w:val="20"/>
                <w:color w:val="auto"/>
              </w:rPr>
            </w:pPr>
            <w:r>
              <w:rPr>
                <w:rFonts w:ascii="Arial" w:cs="Arial" w:eastAsia="Arial" w:hAnsi="Arial"/>
                <w:sz w:val="16"/>
                <w:szCs w:val="16"/>
                <w:color w:val="auto"/>
              </w:rPr>
              <w:t>Unbudgeted movements in working capital</w:t>
            </w:r>
          </w:p>
        </w:tc>
        <w:tc>
          <w:tcPr>
            <w:tcW w:w="8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2"/>
        </w:trPr>
        <w:tc>
          <w:tcPr>
            <w:tcW w:w="5360" w:type="dxa"/>
            <w:vAlign w:val="bottom"/>
          </w:tcPr>
          <w:p>
            <w:pPr>
              <w:ind w:left="220"/>
              <w:spacing w:after="0"/>
              <w:rPr>
                <w:sz w:val="20"/>
                <w:szCs w:val="20"/>
                <w:color w:val="auto"/>
              </w:rPr>
            </w:pPr>
            <w:r>
              <w:rPr>
                <w:rFonts w:ascii="Arial" w:cs="Arial" w:eastAsia="Arial" w:hAnsi="Arial"/>
                <w:sz w:val="16"/>
                <w:szCs w:val="16"/>
                <w:color w:val="auto"/>
              </w:rPr>
              <w:t>Unbudgeted proceeds from sale of West Permian Lodge</w:t>
            </w:r>
          </w:p>
        </w:tc>
        <w:tc>
          <w:tcPr>
            <w:tcW w:w="8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43"/>
        </w:trPr>
        <w:tc>
          <w:tcPr>
            <w:tcW w:w="5360" w:type="dxa"/>
            <w:vAlign w:val="bottom"/>
          </w:tcPr>
          <w:p>
            <w:pPr>
              <w:spacing w:after="0"/>
              <w:rPr>
                <w:sz w:val="20"/>
                <w:szCs w:val="20"/>
                <w:color w:val="auto"/>
              </w:rPr>
            </w:pPr>
            <w:r>
              <w:rPr>
                <w:rFonts w:ascii="Arial" w:cs="Arial" w:eastAsia="Arial" w:hAnsi="Arial"/>
                <w:sz w:val="16"/>
                <w:szCs w:val="16"/>
                <w:color w:val="auto"/>
              </w:rPr>
              <w:t>Consolidated Adjusted Operating Cash Flow</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0"/>
        </w:trPr>
        <w:tc>
          <w:tcPr>
            <w:tcW w:w="5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AICP EBITDA is a non-GAAP financial measure that is defined as EBITDA adjusted to exclude certain other unusual or non-operating items. Adjustments to EBITDA under the AICP also reflect one-time, unanticipated financial events incurred following approval of the respective year's budget, including unbudgeted variability in stock-based compensation expense, changes in foreign exchange rates and certain other unbudgeted costs (approved by the board of directors). The AICP adjustments to EBITDA in 2021 were consistent with past practices. EBITDA and AICP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AICP EBITDA may not be comparable to other similarly titled measures of other companies. Civeo has included EBITDA and AICP EBITDA as supplemental disclosures because its management believes that EBITDA and AICP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AICP EBITDA to compare and to monitor the performance of its business segments to other comparable public companies and as a benchmark for the award of incentive compensation under its annual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500380</wp:posOffset>
            </wp:positionV>
            <wp:extent cx="394335" cy="1968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220"/>
          </w:cols>
          <w:pgMar w:left="320" w:top="969"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372"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The following table sets forth a reconciliation of EBITDA and AICP EBITDA to net loss attributable to Civeo Corporation, which is the most directly comparable measure of financial performance calculated under generally accepted accounting principles (in millions) (unaudited):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706F6F"/>
              </w:rPr>
              <w:t>12 Months Ended December 31,</w:t>
            </w:r>
          </w:p>
        </w:tc>
      </w:tr>
      <w:tr>
        <w:trPr>
          <w:trHeight w:val="225"/>
        </w:trPr>
        <w:tc>
          <w:tcPr>
            <w:tcW w:w="5900" w:type="dxa"/>
            <w:vAlign w:val="bottom"/>
          </w:tcPr>
          <w:p>
            <w:pPr>
              <w:spacing w:after="0"/>
              <w:rPr>
                <w:sz w:val="19"/>
                <w:szCs w:val="19"/>
                <w:color w:val="auto"/>
              </w:rPr>
            </w:pPr>
          </w:p>
        </w:tc>
        <w:tc>
          <w:tcPr>
            <w:tcW w:w="320" w:type="dxa"/>
            <w:vAlign w:val="bottom"/>
            <w:tcBorders>
              <w:bottom w:val="single" w:sz="8" w:color="006DB6"/>
            </w:tcBorders>
          </w:tcPr>
          <w:p>
            <w:pPr>
              <w:spacing w:after="0"/>
              <w:rPr>
                <w:sz w:val="19"/>
                <w:szCs w:val="19"/>
                <w:color w:val="auto"/>
              </w:rPr>
            </w:pPr>
          </w:p>
        </w:tc>
        <w:tc>
          <w:tcPr>
            <w:tcW w:w="8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2021</w:t>
            </w:r>
          </w:p>
        </w:tc>
        <w:tc>
          <w:tcPr>
            <w:tcW w:w="320" w:type="dxa"/>
            <w:vAlign w:val="bottom"/>
            <w:tcBorders>
              <w:bottom w:val="single" w:sz="8" w:color="006DB6"/>
            </w:tcBorders>
          </w:tcPr>
          <w:p>
            <w:pPr>
              <w:spacing w:after="0"/>
              <w:rPr>
                <w:sz w:val="19"/>
                <w:szCs w:val="19"/>
                <w:color w:val="auto"/>
              </w:rPr>
            </w:pPr>
          </w:p>
        </w:tc>
        <w:tc>
          <w:tcPr>
            <w:tcW w:w="8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2020</w:t>
            </w:r>
          </w:p>
        </w:tc>
        <w:tc>
          <w:tcPr>
            <w:tcW w:w="320" w:type="dxa"/>
            <w:vAlign w:val="bottom"/>
            <w:tcBorders>
              <w:bottom w:val="single" w:sz="8" w:color="006DB6"/>
            </w:tcBorders>
          </w:tcPr>
          <w:p>
            <w:pPr>
              <w:spacing w:after="0"/>
              <w:rPr>
                <w:sz w:val="19"/>
                <w:szCs w:val="19"/>
                <w:color w:val="auto"/>
              </w:rPr>
            </w:pPr>
          </w:p>
        </w:tc>
        <w:tc>
          <w:tcPr>
            <w:tcW w:w="8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2019</w:t>
            </w:r>
          </w:p>
        </w:tc>
      </w:tr>
      <w:tr>
        <w:trPr>
          <w:trHeight w:val="228"/>
        </w:trPr>
        <w:tc>
          <w:tcPr>
            <w:tcW w:w="590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43"/>
        </w:trPr>
        <w:tc>
          <w:tcPr>
            <w:tcW w:w="5900" w:type="dxa"/>
            <w:vAlign w:val="bottom"/>
          </w:tcPr>
          <w:p>
            <w:pPr>
              <w:ind w:left="220"/>
              <w:spacing w:after="0"/>
              <w:rPr>
                <w:sz w:val="20"/>
                <w:szCs w:val="20"/>
                <w:color w:val="auto"/>
              </w:rPr>
            </w:pPr>
            <w:r>
              <w:rPr>
                <w:rFonts w:ascii="Arial" w:cs="Arial" w:eastAsia="Arial" w:hAnsi="Arial"/>
                <w:sz w:val="16"/>
                <w:szCs w:val="16"/>
                <w:color w:val="auto"/>
              </w:rPr>
              <w:t>Income tax provision (benefit)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43"/>
        </w:trPr>
        <w:tc>
          <w:tcPr>
            <w:tcW w:w="5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96.5</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43"/>
        </w:trPr>
        <w:tc>
          <w:tcPr>
            <w:tcW w:w="5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59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5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3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3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237"/>
        </w:trPr>
        <w:tc>
          <w:tcPr>
            <w:tcW w:w="5900" w:type="dxa"/>
            <w:vAlign w:val="bottom"/>
          </w:tcPr>
          <w:p>
            <w:pPr>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3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3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r>
      <w:tr>
        <w:trPr>
          <w:trHeight w:val="214"/>
        </w:trPr>
        <w:tc>
          <w:tcPr>
            <w:tcW w:w="5900" w:type="dxa"/>
            <w:vAlign w:val="bottom"/>
          </w:tcPr>
          <w:p>
            <w:pPr>
              <w:spacing w:after="0"/>
              <w:rPr>
                <w:sz w:val="20"/>
                <w:szCs w:val="20"/>
                <w:color w:val="auto"/>
              </w:rPr>
            </w:pPr>
            <w:r>
              <w:rPr>
                <w:rFonts w:ascii="Arial" w:cs="Arial" w:eastAsia="Arial" w:hAnsi="Arial"/>
                <w:sz w:val="16"/>
                <w:szCs w:val="16"/>
                <w:color w:val="auto"/>
              </w:rPr>
              <w:t>Adjustments to EBITDA</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1"/>
        </w:trPr>
        <w:tc>
          <w:tcPr>
            <w:tcW w:w="5900" w:type="dxa"/>
            <w:vAlign w:val="bottom"/>
          </w:tcPr>
          <w:p>
            <w:pPr>
              <w:ind w:left="220"/>
              <w:spacing w:after="0"/>
              <w:rPr>
                <w:sz w:val="20"/>
                <w:szCs w:val="20"/>
                <w:color w:val="auto"/>
              </w:rPr>
            </w:pPr>
            <w:r>
              <w:rPr>
                <w:rFonts w:ascii="Arial" w:cs="Arial" w:eastAsia="Arial" w:hAnsi="Arial"/>
                <w:sz w:val="16"/>
                <w:szCs w:val="16"/>
                <w:color w:val="auto"/>
              </w:rPr>
              <w:t xml:space="preserve">Impairment of long-lived assets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50.5</w:t>
            </w: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43"/>
        </w:trPr>
        <w:tc>
          <w:tcPr>
            <w:tcW w:w="5900" w:type="dxa"/>
            <w:vAlign w:val="bottom"/>
          </w:tcPr>
          <w:p>
            <w:pPr>
              <w:ind w:left="220"/>
              <w:spacing w:after="0"/>
              <w:rPr>
                <w:sz w:val="20"/>
                <w:szCs w:val="20"/>
                <w:color w:val="auto"/>
              </w:rPr>
            </w:pPr>
            <w:r>
              <w:rPr>
                <w:rFonts w:ascii="Arial" w:cs="Arial" w:eastAsia="Arial" w:hAnsi="Arial"/>
                <w:sz w:val="16"/>
                <w:szCs w:val="16"/>
                <w:color w:val="auto"/>
              </w:rPr>
              <w:t xml:space="preserve">Impairment of goodwill </w:t>
            </w:r>
            <w:r>
              <w:rPr>
                <w:rFonts w:ascii="Arial" w:cs="Arial" w:eastAsia="Arial" w:hAnsi="Arial"/>
                <w:sz w:val="21"/>
                <w:szCs w:val="21"/>
                <w:color w:val="auto"/>
                <w:vertAlign w:val="superscript"/>
              </w:rPr>
              <w:t>(2)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Unbudgeted changes in foreign exchange rates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5900" w:type="dxa"/>
            <w:vAlign w:val="bottom"/>
          </w:tcPr>
          <w:p>
            <w:pPr>
              <w:ind w:left="220"/>
              <w:spacing w:after="0"/>
              <w:rPr>
                <w:sz w:val="20"/>
                <w:szCs w:val="20"/>
                <w:color w:val="auto"/>
              </w:rPr>
            </w:pPr>
            <w:r>
              <w:rPr>
                <w:rFonts w:ascii="Arial" w:cs="Arial" w:eastAsia="Arial" w:hAnsi="Arial"/>
                <w:sz w:val="16"/>
                <w:szCs w:val="16"/>
                <w:color w:val="auto"/>
              </w:rPr>
              <w:t>Unbudgeted variability in stock-based compensation expense</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59"/>
        </w:trPr>
        <w:tc>
          <w:tcPr>
            <w:tcW w:w="5900" w:type="dxa"/>
            <w:vAlign w:val="bottom"/>
          </w:tcPr>
          <w:p>
            <w:pPr>
              <w:ind w:left="2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3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3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5900" w:type="dxa"/>
            <w:vAlign w:val="bottom"/>
          </w:tcPr>
          <w:p>
            <w:pPr>
              <w:spacing w:after="0"/>
              <w:rPr>
                <w:sz w:val="20"/>
                <w:szCs w:val="20"/>
                <w:color w:val="auto"/>
              </w:rPr>
            </w:pPr>
            <w:r>
              <w:rPr>
                <w:rFonts w:ascii="Arial" w:cs="Arial" w:eastAsia="Arial" w:hAnsi="Arial"/>
                <w:sz w:val="16"/>
                <w:szCs w:val="16"/>
                <w:color w:val="auto"/>
              </w:rPr>
              <w:t>AICP EBITDA</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r>
      <w:tr>
        <w:trPr>
          <w:trHeight w:val="20"/>
        </w:trPr>
        <w:tc>
          <w:tcPr>
            <w:tcW w:w="5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right="220" w:hanging="252"/>
        <w:spacing w:after="0" w:line="286" w:lineRule="auto"/>
        <w:tabs>
          <w:tab w:leader="none" w:pos="282"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Relates to asset impairments recorded in 2021, 2020 and 2019. In the second quarter of 2021, we recorded a pre-tax loss related to the impairment of long-lived assets in our Australian segment of $7.9 million, which is included in Impairment expense on the statements of operations.</w:t>
      </w:r>
    </w:p>
    <w:p>
      <w:pPr>
        <w:spacing w:after="0" w:line="48" w:lineRule="exact"/>
        <w:rPr>
          <w:sz w:val="20"/>
          <w:szCs w:val="20"/>
          <w:color w:val="auto"/>
        </w:rPr>
      </w:pPr>
    </w:p>
    <w:p>
      <w:pPr>
        <w:jc w:val="both"/>
        <w:ind w:left="260" w:right="40"/>
        <w:spacing w:after="0" w:line="266" w:lineRule="auto"/>
        <w:rPr>
          <w:sz w:val="20"/>
          <w:szCs w:val="20"/>
          <w:color w:val="auto"/>
        </w:rPr>
      </w:pPr>
      <w:r>
        <w:rPr>
          <w:rFonts w:ascii="Arial" w:cs="Arial" w:eastAsia="Arial" w:hAnsi="Arial"/>
          <w:sz w:val="16"/>
          <w:szCs w:val="16"/>
          <w:color w:val="auto"/>
        </w:rPr>
        <w:t>In the first quarter of 2020, we recorded a pre-tax loss related to the impairment of long-lived assets in our Canadian segment of $38.1 million and a pre-tax loss related to the impairment of long-lived assets in our U.S. segment of $12.4 million, which is included in Impairment expense on the statements of operations.</w:t>
      </w:r>
    </w:p>
    <w:p>
      <w:pPr>
        <w:spacing w:after="0" w:line="63" w:lineRule="exact"/>
        <w:rPr>
          <w:sz w:val="20"/>
          <w:szCs w:val="20"/>
          <w:color w:val="auto"/>
        </w:rPr>
      </w:pPr>
    </w:p>
    <w:p>
      <w:pPr>
        <w:ind w:left="260" w:right="40"/>
        <w:spacing w:after="0" w:line="253" w:lineRule="auto"/>
        <w:rPr>
          <w:sz w:val="20"/>
          <w:szCs w:val="20"/>
          <w:color w:val="auto"/>
        </w:rPr>
      </w:pPr>
      <w:r>
        <w:rPr>
          <w:rFonts w:ascii="Arial" w:cs="Arial" w:eastAsia="Arial" w:hAnsi="Arial"/>
          <w:sz w:val="16"/>
          <w:szCs w:val="16"/>
          <w:color w:val="auto"/>
        </w:rPr>
        <w:t>In the fourth quarter of 2019, we recorded a pre-tax loss related to the impairment of assets in Canada of $0.7 million, which is included in Impairment expense on the statements of operations. In the second quarter of 2019, we recorded a pre-tax loss related to the impairment of assets in Australia of $5.5 million, which is included in Impairment expense on the statements of operations. This includes $1.0 million of impairment expense related to an error corrected in the second quarter 2019. During the second quarter of 2019, we identified a future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w:t>
      </w:r>
    </w:p>
    <w:p>
      <w:pPr>
        <w:spacing w:after="0" w:line="73" w:lineRule="exact"/>
        <w:rPr>
          <w:sz w:val="20"/>
          <w:szCs w:val="20"/>
          <w:color w:val="auto"/>
        </w:rPr>
      </w:pPr>
    </w:p>
    <w:p>
      <w:pPr>
        <w:ind w:left="260" w:right="280" w:hanging="252"/>
        <w:spacing w:after="0" w:line="286" w:lineRule="auto"/>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Relates to the impairment of goodwill recorded in 2020 and 2019. In the first quarter of 2020, we recorded a $93.6 million pre-tax impairment which is related to our Canada reporting unit and is included in Impairment expense on the statements of operations.</w:t>
      </w:r>
    </w:p>
    <w:p>
      <w:pPr>
        <w:spacing w:after="0" w:line="47" w:lineRule="exact"/>
        <w:rPr>
          <w:rFonts w:ascii="Arial" w:cs="Arial" w:eastAsia="Arial" w:hAnsi="Arial"/>
          <w:sz w:val="16"/>
          <w:szCs w:val="16"/>
          <w:color w:val="auto"/>
        </w:rPr>
      </w:pPr>
    </w:p>
    <w:p>
      <w:pPr>
        <w:ind w:left="260" w:right="120"/>
        <w:spacing w:after="0" w:line="286" w:lineRule="auto"/>
        <w:rPr>
          <w:rFonts w:ascii="Arial" w:cs="Arial" w:eastAsia="Arial" w:hAnsi="Arial"/>
          <w:sz w:val="16"/>
          <w:szCs w:val="16"/>
          <w:color w:val="auto"/>
        </w:rPr>
      </w:pPr>
      <w:r>
        <w:rPr>
          <w:rFonts w:ascii="Arial" w:cs="Arial" w:eastAsia="Arial" w:hAnsi="Arial"/>
          <w:sz w:val="16"/>
          <w:szCs w:val="16"/>
          <w:color w:val="auto"/>
        </w:rPr>
        <w:t>In the fourth quarter of 2019, we recorded a $19.9 million pre-tax impairment which is related to our Canada reporting unit and is included in Impairment expense on the statements of operations.</w:t>
      </w:r>
    </w:p>
    <w:p>
      <w:pPr>
        <w:spacing w:after="0" w:line="47" w:lineRule="exact"/>
        <w:rPr>
          <w:rFonts w:ascii="Arial" w:cs="Arial" w:eastAsia="Arial" w:hAnsi="Arial"/>
          <w:sz w:val="16"/>
          <w:szCs w:val="16"/>
          <w:color w:val="auto"/>
        </w:rPr>
      </w:pPr>
    </w:p>
    <w:p>
      <w:pPr>
        <w:jc w:val="both"/>
        <w:ind w:left="260" w:right="240" w:hanging="252"/>
        <w:spacing w:after="0" w:line="266" w:lineRule="auto"/>
        <w:tabs>
          <w:tab w:leader="none" w:pos="282"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Relates to certain other unbudgeted costs (approved by the board of directors). These included costs incurred with potential acquisitions that were not consummated ($0.3 million in 2019), costs incurred with strategic consultations initiated by the board of directors ($0.4 million and $0.2 million in 2020 and 2019, respectively) and unbudgeted proceeds from the Canadian Emergency Wage Subsidy program ($3.5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926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2022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bl>
    <w:p>
      <w:pPr>
        <w:sectPr>
          <w:pgSz w:w="11900" w:h="16838" w:orient="portrait"/>
          <w:cols w:equalWidth="0" w:num="1">
            <w:col w:w="11240"/>
          </w:cols>
          <w:pgMar w:left="320" w:top="233" w:right="339" w:bottom="1440"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789420" cy="88468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966460" cy="77152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966460" cy="77152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lvl w:ilvl="1">
      <w:lvlJc w:val="left"/>
      <w:lvlText w:val="◦"/>
      <w:numFmt w:val="bullet"/>
      <w:start w:val="1"/>
    </w:lvl>
  </w:abstractNum>
  <w:abstractNum w:abstractNumId="16">
    <w:nsid w:val="7A6D8D3C"/>
    <w:multiLevelType w:val="hybridMultilevel"/>
    <w:lvl w:ilvl="0">
      <w:lvlJc w:val="left"/>
      <w:lvlText w:val="•"/>
      <w:numFmt w:val="bullet"/>
      <w:start w:val="1"/>
    </w:lvl>
    <w:lvl w:ilvl="1">
      <w:lvlJc w:val="left"/>
      <w:lvlText w:val="◦"/>
      <w:numFmt w:val="bullet"/>
      <w:start w:val="1"/>
    </w:lvl>
  </w:abstractNum>
  <w:abstractNum w:abstractNumId="17">
    <w:nsid w:val="4B588F54"/>
    <w:multiLevelType w:val="hybridMultilevel"/>
    <w:lvl w:ilvl="0">
      <w:lvlJc w:val="left"/>
      <w:lvlText w:val="•"/>
      <w:numFmt w:val="bullet"/>
      <w:start w:val="1"/>
    </w:lvl>
    <w:lvl w:ilvl="1">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endash "/>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lowerRoman"/>
      <w:start w:val="2"/>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6"/>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5"/>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upperLetter"/>
      <w:start w:val="1"/>
    </w:lvl>
  </w:abstractNum>
  <w:abstractNum w:abstractNumId="56">
    <w:nsid w:val="25A70BF7"/>
    <w:multiLevelType w:val="hybridMultilevel"/>
    <w:lvl w:ilvl="0">
      <w:lvlJc w:val="left"/>
      <w:lvlText w:val="%1:"/>
      <w:numFmt w:val="upperLetter"/>
      <w:start w:val="1"/>
    </w:lvl>
  </w:abstractNum>
  <w:abstractNum w:abstractNumId="57">
    <w:nsid w:val="1DBABF00"/>
    <w:multiLevelType w:val="hybridMultilevel"/>
    <w:lvl w:ilvl="0">
      <w:lvlJc w:val="left"/>
      <w:lvlText w:val="%1:"/>
      <w:numFmt w:val="upperLetter"/>
      <w:start w:val="1"/>
    </w:lvl>
  </w:abstractNum>
  <w:abstractNum w:abstractNumId="58">
    <w:nsid w:val="4AD084E9"/>
    <w:multiLevelType w:val="hybridMultilevel"/>
    <w:lvl w:ilvl="0">
      <w:lvlJc w:val="left"/>
      <w:lvlText w:val="%1:"/>
      <w:numFmt w:val="upperLetter"/>
      <w:start w:val="1"/>
    </w:lvl>
  </w:abstractNum>
  <w:abstractNum w:abstractNumId="59">
    <w:nsid w:val="1F48EAA1"/>
    <w:multiLevelType w:val="hybridMultilevel"/>
    <w:lvl w:ilvl="0">
      <w:lvlJc w:val="left"/>
      <w:lvlText w:val="%1:"/>
      <w:numFmt w:val="upperLetter"/>
      <w:start w:val="1"/>
    </w:lvl>
  </w:abstractNum>
  <w:abstractNum w:abstractNumId="60">
    <w:nsid w:val="1381823A"/>
    <w:multiLevelType w:val="hybridMultilevel"/>
    <w:lvl w:ilvl="0">
      <w:lvlJc w:val="left"/>
      <w:lvlText w:val="%1:"/>
      <w:numFmt w:val="upperLetter"/>
      <w:start w:val="1"/>
    </w:lvl>
  </w:abstractNum>
  <w:abstractNum w:abstractNumId="61">
    <w:nsid w:val="5DB70AE5"/>
    <w:multiLevelType w:val="hybridMultilevel"/>
    <w:lvl w:ilvl="0">
      <w:lvlJc w:val="left"/>
      <w:lvlText w:val="%1:"/>
      <w:numFmt w:val="upperLetter"/>
      <w:start w:val="1"/>
    </w:lvl>
  </w:abstractNum>
  <w:abstractNum w:abstractNumId="62">
    <w:nsid w:val="100F8FCA"/>
    <w:multiLevelType w:val="hybridMultilevel"/>
    <w:lvl w:ilvl="0">
      <w:lvlJc w:val="left"/>
      <w:lvlText w:val="%1:"/>
      <w:numFmt w:val="upperLetter"/>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upperLetter"/>
      <w:start w:val="1"/>
    </w:lvl>
  </w:abstractNum>
  <w:abstractNum w:abstractNumId="65">
    <w:nsid w:val="5F5E7FD0"/>
    <w:multiLevelType w:val="hybridMultilevel"/>
    <w:lvl w:ilvl="0">
      <w:lvlJc w:val="left"/>
      <w:lvlText w:val="%1:"/>
      <w:numFmt w:val="upperLetter"/>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1:"/>
      <w:numFmt w:val="upperLetter"/>
      <w:start w:val="1"/>
    </w:lvl>
  </w:abstractNum>
  <w:abstractNum w:abstractNumId="69">
    <w:nsid w:val="42C296BD"/>
    <w:multiLevelType w:val="hybridMultilevel"/>
    <w:lvl w:ilvl="0">
      <w:lvlJc w:val="left"/>
      <w:lvlText w:val="%1:"/>
      <w:numFmt w:val="upperLetter"/>
      <w:start w:val="1"/>
    </w:lvl>
  </w:abstractNum>
  <w:abstractNum w:abstractNumId="70">
    <w:nsid w:val="168E121F"/>
    <w:multiLevelType w:val="hybridMultilevel"/>
    <w:lvl w:ilvl="0">
      <w:lvlJc w:val="left"/>
      <w:lvlText w:val="%1:"/>
      <w:numFmt w:val="upperLetter"/>
      <w:start w:val="1"/>
    </w:lvl>
  </w:abstractNum>
  <w:abstractNum w:abstractNumId="71">
    <w:nsid w:val="1EBA5D23"/>
    <w:multiLevelType w:val="hybridMultilevel"/>
    <w:lvl w:ilvl="0">
      <w:lvlJc w:val="left"/>
      <w:lvlText w:val="%1:"/>
      <w:numFmt w:val="upp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2022-04-07T15:12:11Z</dcterms:created>
  <dcterms:modified xsi:type="dcterms:W3CDTF">2022-04-07T15:12:11Z</dcterms:modified>
</cp:coreProperties>
</file>