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As filed with the Securities and Exchange Commission on May 16, 2016</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S-8</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REGISTRATION STATEMENT</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UNDER</w:t>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4"/>
          <w:szCs w:val="24"/>
          <w:color w:val="auto"/>
        </w:rPr>
      </w:pPr>
    </w:p>
    <w:p>
      <w:pPr>
        <w:ind w:left="3940"/>
        <w:spacing w:after="0"/>
        <w:rPr>
          <w:sz w:val="20"/>
          <w:szCs w:val="20"/>
          <w:color w:val="auto"/>
        </w:rPr>
      </w:pPr>
      <w:r>
        <w:rPr>
          <w:rFonts w:ascii="Arial" w:cs="Arial" w:eastAsia="Arial" w:hAnsi="Arial"/>
          <w:sz w:val="43"/>
          <w:szCs w:val="43"/>
          <w:b w:val="1"/>
          <w:bCs w:val="1"/>
          <w:color w:val="auto"/>
        </w:rPr>
        <w:t>Civeo Corporation</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20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British Columbia, Canada</w:t>
            </w:r>
          </w:p>
        </w:tc>
        <w:tc>
          <w:tcPr>
            <w:tcW w:w="364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420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(State or other jurisdiction of</w:t>
            </w:r>
          </w:p>
        </w:tc>
        <w:tc>
          <w:tcPr>
            <w:tcW w:w="3640" w:type="dxa"/>
            <w:vAlign w:val="bottom"/>
          </w:tcPr>
          <w:p>
            <w:pPr>
              <w:jc w:val="center"/>
              <w:ind w:left="1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0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incorporation or organization)</w:t>
            </w:r>
          </w:p>
        </w:tc>
        <w:tc>
          <w:tcPr>
            <w:tcW w:w="3640" w:type="dxa"/>
            <w:vAlign w:val="bottom"/>
          </w:tcPr>
          <w:p>
            <w:pPr>
              <w:jc w:val="center"/>
              <w:ind w:left="1750"/>
              <w:spacing w:after="0"/>
              <w:rPr>
                <w:sz w:val="20"/>
                <w:szCs w:val="20"/>
                <w:color w:val="auto"/>
              </w:rPr>
            </w:pPr>
            <w:r>
              <w:rPr>
                <w:rFonts w:ascii="Arial" w:cs="Arial" w:eastAsia="Arial" w:hAnsi="Arial"/>
                <w:sz w:val="18"/>
                <w:szCs w:val="18"/>
                <w:b w:val="1"/>
                <w:bCs w:val="1"/>
                <w:color w:val="auto"/>
                <w:w w:val="94"/>
              </w:rPr>
              <w:t>Identification Number)</w:t>
            </w:r>
          </w:p>
        </w:tc>
      </w:tr>
    </w:tbl>
    <w:p>
      <w:pPr>
        <w:jc w:val="center"/>
        <w:ind w:right="-13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 510-2400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r>
        <w:rPr>
          <w:rFonts w:ascii="Arial" w:cs="Arial" w:eastAsia="Arial" w:hAnsi="Arial"/>
          <w:sz w:val="18"/>
          <w:szCs w:val="18"/>
          <w:color w:val="auto"/>
        </w:rPr>
        <w:t>)</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Amended and Restated 2014 Equity Participation Plan of Civeo Corporation</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(Full title of the plan)</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Bradley J. Dodson</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 510-2400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(Address, including zip code, and telephone number, including area code, of agent for service</w:t>
      </w:r>
      <w:r>
        <w:rPr>
          <w:rFonts w:ascii="Arial" w:cs="Arial" w:eastAsia="Arial" w:hAnsi="Arial"/>
          <w:sz w:val="18"/>
          <w:szCs w:val="18"/>
          <w:color w:val="auto"/>
        </w:rPr>
        <w:t>)</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Tull R. Florey</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910 Louisiana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Texas 77002-4995</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 229-1379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208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rPr>
              <w:t>Accelerated filer</w:t>
            </w:r>
          </w:p>
        </w:tc>
        <w:tc>
          <w:tcPr>
            <w:tcW w:w="124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4960" w:type="dxa"/>
            <w:vAlign w:val="bottom"/>
            <w:gridSpan w:val="3"/>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460" w:type="dxa"/>
            <w:vAlign w:val="bottom"/>
          </w:tcPr>
          <w:p>
            <w:pPr>
              <w:spacing w:after="0"/>
              <w:rPr>
                <w:sz w:val="24"/>
                <w:szCs w:val="24"/>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1"/>
              </w:rPr>
              <w:t>Smaller reporting company</w:t>
            </w:r>
          </w:p>
        </w:tc>
        <w:tc>
          <w:tcPr>
            <w:tcW w:w="124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b w:val="1"/>
                <w:bCs w:val="1"/>
                <w:color w:val="auto"/>
              </w:rPr>
              <w:t>CALCULATION OF REGISTRATION FEE</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460" w:type="dxa"/>
            <w:vAlign w:val="bottom"/>
          </w:tcPr>
          <w:p>
            <w:pPr>
              <w:jc w:val="center"/>
              <w:ind w:left="170"/>
              <w:spacing w:after="0" w:line="178" w:lineRule="exact"/>
              <w:rPr>
                <w:sz w:val="20"/>
                <w:szCs w:val="20"/>
                <w:color w:val="auto"/>
              </w:rPr>
            </w:pPr>
            <w:r>
              <w:rPr>
                <w:rFonts w:ascii="Arial" w:cs="Arial" w:eastAsia="Arial" w:hAnsi="Arial"/>
                <w:sz w:val="18"/>
                <w:szCs w:val="18"/>
                <w:b w:val="1"/>
                <w:bCs w:val="1"/>
                <w:color w:val="auto"/>
                <w:w w:val="86"/>
              </w:rPr>
              <w:t>Proposed</w:t>
            </w:r>
          </w:p>
        </w:tc>
        <w:tc>
          <w:tcPr>
            <w:tcW w:w="2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46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Maximum</w:t>
            </w:r>
          </w:p>
        </w:tc>
        <w:tc>
          <w:tcPr>
            <w:tcW w:w="2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8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Title of each Class of</w:t>
            </w:r>
          </w:p>
        </w:tc>
        <w:tc>
          <w:tcPr>
            <w:tcW w:w="1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46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Offering Price</w:t>
            </w:r>
          </w:p>
        </w:tc>
        <w:tc>
          <w:tcPr>
            <w:tcW w:w="2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3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20" w:type="dxa"/>
            <w:vAlign w:val="bottom"/>
          </w:tcPr>
          <w:p>
            <w:pPr>
              <w:spacing w:after="0"/>
              <w:rPr>
                <w:sz w:val="20"/>
                <w:szCs w:val="20"/>
                <w:color w:val="auto"/>
              </w:rPr>
            </w:pPr>
          </w:p>
        </w:tc>
        <w:tc>
          <w:tcPr>
            <w:tcW w:w="3740" w:type="dxa"/>
            <w:vAlign w:val="bottom"/>
            <w:tcBorders>
              <w:bottom w:val="single" w:sz="8" w:color="auto"/>
            </w:tcBorders>
            <w:gridSpan w:val="2"/>
          </w:tcPr>
          <w:p>
            <w:pPr>
              <w:jc w:val="center"/>
              <w:ind w:left="1170"/>
              <w:spacing w:after="0"/>
              <w:rPr>
                <w:sz w:val="20"/>
                <w:szCs w:val="20"/>
                <w:color w:val="auto"/>
              </w:rPr>
            </w:pPr>
            <w:r>
              <w:rPr>
                <w:rFonts w:ascii="Arial" w:cs="Arial" w:eastAsia="Arial" w:hAnsi="Arial"/>
                <w:sz w:val="18"/>
                <w:szCs w:val="18"/>
                <w:b w:val="1"/>
                <w:bCs w:val="1"/>
                <w:color w:val="auto"/>
                <w:w w:val="87"/>
              </w:rPr>
              <w:t>Securities to be Registered</w:t>
            </w:r>
          </w:p>
        </w:tc>
        <w:tc>
          <w:tcPr>
            <w:tcW w:w="14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14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0"/>
              </w:rPr>
              <w:t>Per Share(2)</w:t>
            </w:r>
          </w:p>
        </w:tc>
        <w:tc>
          <w:tcPr>
            <w:tcW w:w="2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Price(2)</w:t>
            </w:r>
          </w:p>
        </w:tc>
        <w:tc>
          <w:tcPr>
            <w:tcW w:w="158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9"/>
              </w:rPr>
              <w:t>Registration Fee</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Common shares, no par value</w:t>
            </w: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10,000,000</w:t>
            </w:r>
          </w:p>
        </w:tc>
        <w:tc>
          <w:tcPr>
            <w:tcW w:w="146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0"/>
              </w:rPr>
              <w:t>$1.815</w:t>
            </w:r>
          </w:p>
        </w:tc>
        <w:tc>
          <w:tcPr>
            <w:tcW w:w="280" w:type="dxa"/>
            <w:vAlign w:val="bottom"/>
            <w:tcBorders>
              <w:bottom w:val="single" w:sz="8" w:color="auto"/>
              <w:right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$18,150,000</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$1,827.71</w:t>
            </w: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460" w:right="80" w:hanging="452"/>
        <w:spacing w:after="0" w:line="26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common shares to be issued pursuant to the Amended and Restated 2014 Equity Participation Plan of Civeo Corporation (the “Plan”). Pursuant to Rule 416(a) under the Securities Act of 1933, as amended, this registration statement shall also be deemed to register and cover any additional common shares of Civeo Corporation which may be issued under the Plan as the result of any share dividend, share split, reverse share split, extraordinary cash dividend resulting from a nonrecurring event that is not a payment of normal corporate earnings, combination, reclassification or similar change in the capital structure of Civeo Corporation without receipt of consideration.</w:t>
      </w:r>
    </w:p>
    <w:p>
      <w:pPr>
        <w:spacing w:after="0" w:line="2" w:lineRule="exact"/>
        <w:rPr>
          <w:rFonts w:ascii="Arial" w:cs="Arial" w:eastAsia="Arial" w:hAnsi="Arial"/>
          <w:sz w:val="17"/>
          <w:szCs w:val="17"/>
          <w:color w:val="auto"/>
        </w:rPr>
      </w:pPr>
    </w:p>
    <w:p>
      <w:pPr>
        <w:ind w:left="460" w:right="280" w:hanging="452"/>
        <w:spacing w:after="0" w:line="290"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457(c) and Rule 457(h) under the Securities Act, based upon the average of the high and low sales prices of the common shares on May 9, 2016, as quoted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Registration Statement on Form S-8 (this “Registration Statement”) is being filed by Civeo Corporation (the “Company”) pursuant to General Instruction E of Form S-8 under the Securities Act of 1933, as amended (the “Securities Act”), to register an additional 10,000,000 common shares, no par value, pursuant to its Amended and Restated 2014 Equity Participation Plan (the “Plan”). The board of directors of the Company recommended for approval and, on May 12, 2016, the shareholders of the Company approved an amendment and restatement of the Plan that increased the number of shares available for issuance under the Plan from 4,000,000 to 14,000,000. The contents of the Registration Statement on Form S-8 of the Company filed on May 27, 2014 (No. 333-196292), as amended by Post-Effective Amendment No. 1 to such Registration Statement filed on July 17, 2015, relating to the Plan are incorporated by reference into this Registration Statement.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on Form S-8 to be signed on its behalf by the undersigned, thereunto duly authorized, in Houston, Texas, on May 16, 2016.</w:t>
      </w:r>
    </w:p>
    <w:p>
      <w:pPr>
        <w:ind w:left="6860"/>
        <w:spacing w:after="0"/>
        <w:rPr>
          <w:sz w:val="20"/>
          <w:szCs w:val="20"/>
          <w:color w:val="auto"/>
        </w:rPr>
      </w:pPr>
      <w:r>
        <w:rPr>
          <w:rFonts w:ascii="Arial" w:cs="Arial" w:eastAsia="Arial" w:hAnsi="Arial"/>
          <w:sz w:val="18"/>
          <w:szCs w:val="18"/>
          <w:b w:val="1"/>
          <w:bCs w:val="1"/>
          <w:color w:val="auto"/>
        </w:rPr>
        <w:t>Civeo Corporation</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Bradley J. Dodson</w:t>
            </w:r>
          </w:p>
        </w:tc>
      </w:tr>
      <w:tr>
        <w:trPr>
          <w:trHeight w:val="195"/>
        </w:trPr>
        <w:tc>
          <w:tcPr>
            <w:tcW w:w="800" w:type="dxa"/>
            <w:vAlign w:val="bottom"/>
          </w:tcPr>
          <w:p>
            <w:pPr>
              <w:spacing w:after="0"/>
              <w:rPr>
                <w:sz w:val="16"/>
                <w:szCs w:val="16"/>
                <w:color w:val="auto"/>
              </w:rPr>
            </w:pPr>
          </w:p>
        </w:tc>
        <w:tc>
          <w:tcPr>
            <w:tcW w:w="3760" w:type="dxa"/>
            <w:vAlign w:val="bottom"/>
          </w:tcPr>
          <w:p>
            <w:pPr>
              <w:ind w:left="120"/>
              <w:spacing w:after="0" w:line="195" w:lineRule="exact"/>
              <w:rPr>
                <w:sz w:val="20"/>
                <w:szCs w:val="20"/>
                <w:color w:val="auto"/>
              </w:rPr>
            </w:pPr>
            <w:r>
              <w:rPr>
                <w:rFonts w:ascii="Arial" w:cs="Arial" w:eastAsia="Arial" w:hAnsi="Arial"/>
                <w:sz w:val="18"/>
                <w:szCs w:val="18"/>
                <w:color w:val="auto"/>
              </w:rPr>
              <w:t>Bradley J. Dodson</w:t>
            </w:r>
          </w:p>
        </w:tc>
      </w:tr>
      <w:tr>
        <w:trPr>
          <w:trHeight w:val="230"/>
        </w:trPr>
        <w:tc>
          <w:tcPr>
            <w:tcW w:w="80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Each of the undersigned, in his or her capacity as an officer or director of Civeo Corporation, does hereby appoint Bradley J. Dodson and Frank C. Steininger, each of whom may act without the joinder of the other, as his or her true and lawful attorneys-in-fact and agents with power to act and with full power of substitution and resubstitution, to execute in his or her name, place and stead, in his or her capacity as a director of the Company, this Registration Statement on Form S-8 and all instruments necessary or incidental in connection therewith, with such amendment or amendments thereto in each case as said attorneys-in-fact and agents or any of them shall deem necessary or appropriate, together with any and all exhibits and other documents relating thereto as said attorneys-in-fact and agents or any of them shall deem necessary or appropriate or incidental in connection therewith, and to file the same or cause the same to be filed with the Securities and Exchange Commission. Said attorneys-in-fact and agents shall have full power and authority to do and perform in the name and on behalf of each of the undersigned, in any and all capacities, every act whatsoever necessary or desirable to be done to the premises, as fully and to all intents and purposes as each of the undersigned might or could do in person, each of the undersigned hereby ratifying and approving the acts of said attorneys-in-fact and agents or any of them or their substitutes.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May 16,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0" w:type="dxa"/>
            <w:vAlign w:val="bottom"/>
          </w:tcPr>
          <w:p>
            <w:pPr>
              <w:spacing w:after="0"/>
              <w:rPr>
                <w:sz w:val="20"/>
                <w:szCs w:val="20"/>
                <w:color w:val="auto"/>
              </w:rPr>
            </w:pPr>
          </w:p>
        </w:tc>
        <w:tc>
          <w:tcPr>
            <w:tcW w:w="716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432"/>
        </w:trPr>
        <w:tc>
          <w:tcPr>
            <w:tcW w:w="4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/s/ Bradley J. Dodson</w:t>
            </w:r>
          </w:p>
        </w:tc>
        <w:tc>
          <w:tcPr>
            <w:tcW w:w="20" w:type="dxa"/>
            <w:vAlign w:val="bottom"/>
          </w:tcPr>
          <w:p>
            <w:pPr>
              <w:spacing w:after="0"/>
              <w:rPr>
                <w:sz w:val="24"/>
                <w:szCs w:val="24"/>
                <w:color w:val="auto"/>
              </w:rPr>
            </w:pPr>
          </w:p>
        </w:tc>
        <w:tc>
          <w:tcPr>
            <w:tcW w:w="71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w:t>
            </w:r>
          </w:p>
        </w:tc>
      </w:tr>
      <w:tr>
        <w:trPr>
          <w:trHeight w:val="195"/>
        </w:trPr>
        <w:tc>
          <w:tcPr>
            <w:tcW w:w="42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Bradley J. Dodson</w:t>
            </w:r>
          </w:p>
        </w:tc>
        <w:tc>
          <w:tcPr>
            <w:tcW w:w="20" w:type="dxa"/>
            <w:vAlign w:val="bottom"/>
          </w:tcPr>
          <w:p>
            <w:pPr>
              <w:spacing w:after="0"/>
              <w:rPr>
                <w:sz w:val="16"/>
                <w:szCs w:val="16"/>
                <w:color w:val="auto"/>
              </w:rPr>
            </w:pPr>
          </w:p>
        </w:tc>
        <w:tc>
          <w:tcPr>
            <w:tcW w:w="7160" w:type="dxa"/>
            <w:vAlign w:val="bottom"/>
          </w:tcPr>
          <w:p>
            <w:pPr>
              <w:jc w:val="center"/>
              <w:spacing w:after="0" w:line="195" w:lineRule="exact"/>
              <w:rPr>
                <w:sz w:val="20"/>
                <w:szCs w:val="20"/>
                <w:color w:val="auto"/>
              </w:rPr>
            </w:pPr>
            <w:r>
              <w:rPr>
                <w:rFonts w:ascii="Arial" w:cs="Arial" w:eastAsia="Arial" w:hAnsi="Arial"/>
                <w:sz w:val="18"/>
                <w:szCs w:val="18"/>
                <w:color w:val="auto"/>
                <w:w w:val="91"/>
              </w:rPr>
              <w:t>and Director</w:t>
            </w:r>
          </w:p>
        </w:tc>
      </w:tr>
      <w:tr>
        <w:trPr>
          <w:trHeight w:val="216"/>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 and</w:t>
            </w:r>
          </w:p>
        </w:tc>
      </w:tr>
      <w:tr>
        <w:trPr>
          <w:trHeight w:val="23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tcPr>
          <w:p>
            <w:pPr>
              <w:jc w:val="center"/>
              <w:spacing w:after="0"/>
              <w:rPr>
                <w:sz w:val="20"/>
                <w:szCs w:val="20"/>
                <w:color w:val="auto"/>
              </w:rPr>
            </w:pPr>
            <w:r>
              <w:rPr>
                <w:rFonts w:ascii="Arial" w:cs="Arial" w:eastAsia="Arial" w:hAnsi="Arial"/>
                <w:sz w:val="18"/>
                <w:szCs w:val="18"/>
                <w:color w:val="auto"/>
                <w:w w:val="90"/>
              </w:rPr>
              <w:t>Authorized Representative in the United States)</w:t>
            </w:r>
          </w:p>
        </w:tc>
      </w:tr>
      <w:tr>
        <w:trPr>
          <w:trHeight w:val="64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C. Steininger</w:t>
            </w:r>
          </w:p>
        </w:tc>
        <w:tc>
          <w:tcPr>
            <w:tcW w:w="20" w:type="dxa"/>
            <w:vAlign w:val="bottom"/>
          </w:tcPr>
          <w:p>
            <w:pPr>
              <w:spacing w:after="0"/>
              <w:rPr>
                <w:sz w:val="24"/>
                <w:szCs w:val="24"/>
                <w:color w:val="auto"/>
              </w:rPr>
            </w:pPr>
          </w:p>
        </w:tc>
        <w:tc>
          <w:tcPr>
            <w:tcW w:w="7160" w:type="dxa"/>
            <w:vAlign w:val="bottom"/>
          </w:tcPr>
          <w:p>
            <w:pPr>
              <w:ind w:left="2780"/>
              <w:spacing w:after="0"/>
              <w:rPr>
                <w:sz w:val="20"/>
                <w:szCs w:val="20"/>
                <w:color w:val="auto"/>
              </w:rPr>
            </w:pPr>
            <w:r>
              <w:rPr>
                <w:rFonts w:ascii="Arial" w:cs="Arial" w:eastAsia="Arial" w:hAnsi="Arial"/>
                <w:sz w:val="18"/>
                <w:szCs w:val="18"/>
                <w:color w:val="auto"/>
              </w:rPr>
              <w:t>Senior Vice President,</w:t>
            </w:r>
          </w:p>
        </w:tc>
      </w:tr>
      <w:tr>
        <w:trPr>
          <w:trHeight w:val="195"/>
        </w:trPr>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91"/>
              </w:rPr>
              <w:t>Frank C. Steininger</w:t>
            </w:r>
          </w:p>
        </w:tc>
        <w:tc>
          <w:tcPr>
            <w:tcW w:w="20" w:type="dxa"/>
            <w:vAlign w:val="bottom"/>
          </w:tcPr>
          <w:p>
            <w:pPr>
              <w:spacing w:after="0"/>
              <w:rPr>
                <w:sz w:val="16"/>
                <w:szCs w:val="16"/>
                <w:color w:val="auto"/>
              </w:rPr>
            </w:pPr>
          </w:p>
        </w:tc>
        <w:tc>
          <w:tcPr>
            <w:tcW w:w="7160" w:type="dxa"/>
            <w:vAlign w:val="bottom"/>
          </w:tcPr>
          <w:p>
            <w:pPr>
              <w:jc w:val="center"/>
              <w:spacing w:after="0" w:line="195" w:lineRule="exact"/>
              <w:rPr>
                <w:sz w:val="20"/>
                <w:szCs w:val="20"/>
                <w:color w:val="auto"/>
              </w:rPr>
            </w:pPr>
            <w:r>
              <w:rPr>
                <w:rFonts w:ascii="Arial" w:cs="Arial" w:eastAsia="Arial" w:hAnsi="Arial"/>
                <w:sz w:val="18"/>
                <w:szCs w:val="18"/>
                <w:color w:val="auto"/>
                <w:w w:val="91"/>
              </w:rPr>
              <w:t>Chief Financial Officer and Treasurer</w:t>
            </w:r>
          </w:p>
        </w:tc>
      </w:tr>
      <w:tr>
        <w:trPr>
          <w:trHeight w:val="23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64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Douglas E. Swanson</w:t>
            </w:r>
          </w:p>
        </w:tc>
        <w:tc>
          <w:tcPr>
            <w:tcW w:w="20" w:type="dxa"/>
            <w:vAlign w:val="bottom"/>
          </w:tcPr>
          <w:p>
            <w:pPr>
              <w:spacing w:after="0"/>
              <w:rPr>
                <w:sz w:val="24"/>
                <w:szCs w:val="24"/>
                <w:color w:val="auto"/>
              </w:rPr>
            </w:pPr>
          </w:p>
        </w:tc>
        <w:tc>
          <w:tcPr>
            <w:tcW w:w="716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Douglas E. Swanson</w:t>
            </w:r>
          </w:p>
        </w:tc>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 Ronald Blankenship</w:t>
            </w:r>
          </w:p>
        </w:tc>
        <w:tc>
          <w:tcPr>
            <w:tcW w:w="20" w:type="dxa"/>
            <w:vAlign w:val="bottom"/>
          </w:tcPr>
          <w:p>
            <w:pPr>
              <w:spacing w:after="0"/>
              <w:rPr>
                <w:sz w:val="24"/>
                <w:szCs w:val="24"/>
                <w:color w:val="auto"/>
              </w:rPr>
            </w:pPr>
          </w:p>
        </w:tc>
        <w:tc>
          <w:tcPr>
            <w:tcW w:w="7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 Ronald Blankenship</w:t>
            </w:r>
          </w:p>
        </w:tc>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Martin A. Lambert</w:t>
            </w:r>
          </w:p>
        </w:tc>
        <w:tc>
          <w:tcPr>
            <w:tcW w:w="20" w:type="dxa"/>
            <w:vAlign w:val="bottom"/>
            <w:tcBorders>
              <w:bottom w:val="single" w:sz="8" w:color="auto"/>
            </w:tcBorders>
          </w:tcPr>
          <w:p>
            <w:pPr>
              <w:spacing w:after="0"/>
              <w:rPr>
                <w:sz w:val="24"/>
                <w:szCs w:val="24"/>
                <w:color w:val="auto"/>
              </w:rPr>
            </w:pPr>
          </w:p>
        </w:tc>
        <w:tc>
          <w:tcPr>
            <w:tcW w:w="7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5"/>
              </w:rPr>
              <w:t>Martin A. Lambert</w:t>
            </w:r>
          </w:p>
        </w:tc>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r>
      <w:tr>
        <w:trPr>
          <w:trHeight w:val="820"/>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61"/>
        </w:trPr>
        <w:tc>
          <w:tcPr>
            <w:tcW w:w="42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71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Constance B. Moore</w:t>
            </w:r>
          </w:p>
        </w:tc>
        <w:tc>
          <w:tcPr>
            <w:tcW w:w="7160" w:type="dxa"/>
            <w:vAlign w:val="bottom"/>
          </w:tcPr>
          <w:p>
            <w:pPr>
              <w:ind w:left="3260"/>
              <w:spacing w:after="0"/>
              <w:rPr>
                <w:sz w:val="20"/>
                <w:szCs w:val="20"/>
                <w:color w:val="auto"/>
              </w:rPr>
            </w:pPr>
            <w:r>
              <w:rPr>
                <w:rFonts w:ascii="Arial" w:cs="Arial" w:eastAsia="Arial" w:hAnsi="Arial"/>
                <w:sz w:val="18"/>
                <w:szCs w:val="18"/>
                <w:color w:val="auto"/>
              </w:rPr>
              <w:t>Director</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0"/>
              </w:rPr>
              <w:t>Constance B. Moore</w:t>
            </w:r>
          </w:p>
        </w:tc>
        <w:tc>
          <w:tcPr>
            <w:tcW w:w="716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Navarre</w:t>
            </w:r>
          </w:p>
        </w:tc>
        <w:tc>
          <w:tcPr>
            <w:tcW w:w="7160" w:type="dxa"/>
            <w:vAlign w:val="bottom"/>
          </w:tcPr>
          <w:p>
            <w:pPr>
              <w:ind w:left="3260"/>
              <w:spacing w:after="0"/>
              <w:rPr>
                <w:sz w:val="20"/>
                <w:szCs w:val="20"/>
                <w:color w:val="auto"/>
              </w:rPr>
            </w:pPr>
            <w:r>
              <w:rPr>
                <w:rFonts w:ascii="Arial" w:cs="Arial" w:eastAsia="Arial" w:hAnsi="Arial"/>
                <w:sz w:val="18"/>
                <w:szCs w:val="18"/>
                <w:color w:val="auto"/>
              </w:rPr>
              <w:t>Director</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2"/>
              </w:rPr>
              <w:t>Richard A. Navarre</w:t>
            </w:r>
          </w:p>
        </w:tc>
        <w:tc>
          <w:tcPr>
            <w:tcW w:w="716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Charles Szalkowski</w:t>
            </w:r>
          </w:p>
        </w:tc>
        <w:tc>
          <w:tcPr>
            <w:tcW w:w="7160" w:type="dxa"/>
            <w:vAlign w:val="bottom"/>
          </w:tcPr>
          <w:p>
            <w:pPr>
              <w:ind w:left="3260"/>
              <w:spacing w:after="0"/>
              <w:rPr>
                <w:sz w:val="20"/>
                <w:szCs w:val="20"/>
                <w:color w:val="auto"/>
              </w:rPr>
            </w:pPr>
            <w:r>
              <w:rPr>
                <w:rFonts w:ascii="Arial" w:cs="Arial" w:eastAsia="Arial" w:hAnsi="Arial"/>
                <w:sz w:val="18"/>
                <w:szCs w:val="18"/>
                <w:color w:val="auto"/>
              </w:rPr>
              <w:t>Director</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0"/>
              </w:rPr>
              <w:t>Charles Szalkowski</w:t>
            </w:r>
          </w:p>
        </w:tc>
        <w:tc>
          <w:tcPr>
            <w:tcW w:w="7160" w:type="dxa"/>
            <w:vAlign w:val="bottom"/>
          </w:tcPr>
          <w:p>
            <w:pPr>
              <w:spacing w:after="0"/>
              <w:rPr>
                <w:sz w:val="19"/>
                <w:szCs w:val="19"/>
                <w:color w:val="auto"/>
              </w:rPr>
            </w:pPr>
          </w:p>
        </w:tc>
      </w:tr>
      <w:tr>
        <w:trPr>
          <w:trHeight w:val="766"/>
        </w:trPr>
        <w:tc>
          <w:tcPr>
            <w:tcW w:w="430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61"/>
        </w:trPr>
        <w:tc>
          <w:tcPr>
            <w:tcW w:w="4300" w:type="dxa"/>
            <w:vAlign w:val="bottom"/>
            <w:shd w:val="clear" w:color="auto" w:fill="808080"/>
          </w:tcPr>
          <w:p>
            <w:pPr>
              <w:spacing w:after="0"/>
              <w:rPr>
                <w:sz w:val="5"/>
                <w:szCs w:val="5"/>
                <w:color w:val="auto"/>
              </w:rPr>
            </w:pPr>
          </w:p>
        </w:tc>
        <w:tc>
          <w:tcPr>
            <w:tcW w:w="71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60" w:type="dxa"/>
            <w:vAlign w:val="bottom"/>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864"/>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24"/>
                <w:szCs w:val="24"/>
                <w:color w:val="auto"/>
              </w:rPr>
            </w:pPr>
          </w:p>
        </w:tc>
        <w:tc>
          <w:tcPr>
            <w:tcW w:w="10460" w:type="dxa"/>
            <w:vAlign w:val="bottom"/>
            <w:tcBorders>
              <w:bottom w:val="single" w:sz="8" w:color="auto"/>
            </w:tcBorders>
          </w:tcPr>
          <w:p>
            <w:pPr>
              <w:ind w:left="4940"/>
              <w:spacing w:after="0"/>
              <w:rPr>
                <w:sz w:val="20"/>
                <w:szCs w:val="20"/>
                <w:color w:val="auto"/>
              </w:rPr>
            </w:pPr>
            <w:r>
              <w:rPr>
                <w:rFonts w:ascii="Arial" w:cs="Arial" w:eastAsia="Arial" w:hAnsi="Arial"/>
                <w:sz w:val="18"/>
                <w:szCs w:val="18"/>
                <w:b w:val="1"/>
                <w:bCs w:val="1"/>
                <w:color w:val="auto"/>
              </w:rPr>
              <w:t>Exhibit</w:t>
            </w:r>
          </w:p>
        </w:tc>
      </w:tr>
      <w:tr>
        <w:trPr>
          <w:trHeight w:val="411"/>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760" w:type="dxa"/>
            <w:vAlign w:val="bottom"/>
            <w:gridSpan w:val="2"/>
          </w:tcPr>
          <w:p>
            <w:pPr>
              <w:ind w:left="100"/>
              <w:spacing w:after="0"/>
              <w:rPr>
                <w:sz w:val="20"/>
                <w:szCs w:val="20"/>
                <w:color w:val="auto"/>
              </w:rPr>
            </w:pPr>
            <w:r>
              <w:rPr>
                <w:rFonts w:ascii="Arial" w:cs="Arial" w:eastAsia="Arial" w:hAnsi="Arial"/>
                <w:sz w:val="18"/>
                <w:szCs w:val="18"/>
                <w:color w:val="auto"/>
                <w:w w:val="94"/>
              </w:rPr>
              <w:t>-  Notice of Articles of Civeo Corporation (incorporated herein by reference to Exhibit 3.1 to the Current Report on Form 8-K12B (File No. 001-</w:t>
            </w: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36246) filed on July 17, 2015).</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0760" w:type="dxa"/>
            <w:vAlign w:val="bottom"/>
            <w:gridSpan w:val="2"/>
          </w:tcPr>
          <w:p>
            <w:pPr>
              <w:ind w:left="100"/>
              <w:spacing w:after="0"/>
              <w:rPr>
                <w:sz w:val="20"/>
                <w:szCs w:val="20"/>
                <w:color w:val="auto"/>
              </w:rPr>
            </w:pPr>
            <w:r>
              <w:rPr>
                <w:rFonts w:ascii="Arial" w:cs="Arial" w:eastAsia="Arial" w:hAnsi="Arial"/>
                <w:sz w:val="18"/>
                <w:szCs w:val="18"/>
                <w:color w:val="auto"/>
                <w:w w:val="93"/>
              </w:rPr>
              <w:t>-  Amended and Restated Articles of Civeo Corporation (incorporated herein by reference to Exhibit 3.1 to the Current Report on Form 8-K (File</w:t>
            </w: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No. 001-36246) filed on May 13,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0760" w:type="dxa"/>
            <w:vAlign w:val="bottom"/>
            <w:gridSpan w:val="2"/>
          </w:tcPr>
          <w:p>
            <w:pPr>
              <w:ind w:left="100"/>
              <w:spacing w:after="0"/>
              <w:rPr>
                <w:sz w:val="20"/>
                <w:szCs w:val="20"/>
                <w:color w:val="auto"/>
              </w:rPr>
            </w:pPr>
            <w:r>
              <w:rPr>
                <w:rFonts w:ascii="Arial" w:cs="Arial" w:eastAsia="Arial" w:hAnsi="Arial"/>
                <w:sz w:val="18"/>
                <w:szCs w:val="18"/>
                <w:color w:val="auto"/>
              </w:rPr>
              <w:t>-  Amended and Restated 2014 Equity Participation Plan of Civeo Corporation (incorporated herein by reference to Annex B of Civeo</w:t>
            </w: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Corporation’s definitive proxy statement on Schedule 14A (File No. 001-36246) filed on April 11, 2016).</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10760" w:type="dxa"/>
            <w:vAlign w:val="bottom"/>
            <w:gridSpan w:val="2"/>
          </w:tcPr>
          <w:p>
            <w:pPr>
              <w:ind w:left="100"/>
              <w:spacing w:after="0"/>
              <w:rPr>
                <w:sz w:val="20"/>
                <w:szCs w:val="20"/>
                <w:color w:val="auto"/>
              </w:rPr>
            </w:pPr>
            <w:r>
              <w:rPr>
                <w:rFonts w:ascii="Arial" w:cs="Arial" w:eastAsia="Arial" w:hAnsi="Arial"/>
                <w:sz w:val="18"/>
                <w:szCs w:val="18"/>
                <w:color w:val="auto"/>
              </w:rPr>
              <w:t>-  Opinion of Dentons Canada LLP.</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10760" w:type="dxa"/>
            <w:vAlign w:val="bottom"/>
            <w:gridSpan w:val="2"/>
          </w:tcPr>
          <w:p>
            <w:pPr>
              <w:ind w:left="100"/>
              <w:spacing w:after="0"/>
              <w:rPr>
                <w:sz w:val="20"/>
                <w:szCs w:val="20"/>
                <w:color w:val="auto"/>
              </w:rPr>
            </w:pPr>
            <w:r>
              <w:rPr>
                <w:rFonts w:ascii="Arial" w:cs="Arial" w:eastAsia="Arial" w:hAnsi="Arial"/>
                <w:sz w:val="18"/>
                <w:szCs w:val="18"/>
                <w:color w:val="auto"/>
              </w:rPr>
              <w:t>-  Consent of Ernst &amp; Young LLP.</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10760" w:type="dxa"/>
            <w:vAlign w:val="bottom"/>
            <w:gridSpan w:val="2"/>
          </w:tcPr>
          <w:p>
            <w:pPr>
              <w:ind w:left="100"/>
              <w:spacing w:after="0"/>
              <w:rPr>
                <w:sz w:val="20"/>
                <w:szCs w:val="20"/>
                <w:color w:val="auto"/>
              </w:rPr>
            </w:pPr>
            <w:r>
              <w:rPr>
                <w:rFonts w:ascii="Arial" w:cs="Arial" w:eastAsia="Arial" w:hAnsi="Arial"/>
                <w:sz w:val="18"/>
                <w:szCs w:val="18"/>
                <w:color w:val="auto"/>
              </w:rPr>
              <w:t>-  Consent of Dentons Canada LLP (included in Exhibit 5.1).</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10760" w:type="dxa"/>
            <w:vAlign w:val="bottom"/>
            <w:gridSpan w:val="2"/>
          </w:tcPr>
          <w:p>
            <w:pPr>
              <w:ind w:left="100"/>
              <w:spacing w:after="0"/>
              <w:rPr>
                <w:sz w:val="20"/>
                <w:szCs w:val="20"/>
                <w:color w:val="auto"/>
              </w:rPr>
            </w:pPr>
            <w:r>
              <w:rPr>
                <w:rFonts w:ascii="Arial" w:cs="Arial" w:eastAsia="Arial" w:hAnsi="Arial"/>
                <w:sz w:val="18"/>
                <w:szCs w:val="18"/>
                <w:color w:val="auto"/>
              </w:rPr>
              <w:t>-  Powers of Attorney (included on the signature page herein).</w:t>
            </w:r>
          </w:p>
        </w:tc>
      </w:tr>
    </w:tbl>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herein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Dentons Canada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31191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Canada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20th Floor, 250 Howe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Vancouver, BC, Canada V6C 3R8</w:t>
      </w:r>
    </w:p>
    <w:p>
      <w:pPr>
        <w:spacing w:after="0" w:line="200" w:lineRule="exact"/>
        <w:rPr>
          <w:sz w:val="20"/>
          <w:szCs w:val="20"/>
          <w:color w:val="auto"/>
        </w:rPr>
      </w:pPr>
    </w:p>
    <w:p>
      <w:pPr>
        <w:sectPr>
          <w:pgSz w:w="11900" w:h="16838" w:orient="portrait"/>
          <w:cols w:equalWidth="0" w:num="2">
            <w:col w:w="8240" w:space="720"/>
            <w:col w:w="2460"/>
          </w:cols>
          <w:pgMar w:left="240" w:top="121" w:right="239" w:bottom="1440" w:gutter="0" w:footer="0" w:header="0"/>
          <w:type w:val="continuous"/>
        </w:sectPr>
      </w:pPr>
    </w:p>
    <w:p>
      <w:pPr>
        <w:spacing w:after="0" w:line="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Salans FMC SNR Denton McKenna Long</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May 16,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File No.: 134016-69</w:t>
      </w:r>
    </w:p>
    <w:p>
      <w:pPr>
        <w:spacing w:after="0" w:line="200" w:lineRule="exact"/>
        <w:rPr>
          <w:sz w:val="20"/>
          <w:szCs w:val="20"/>
          <w:color w:val="auto"/>
        </w:rPr>
      </w:pPr>
    </w:p>
    <w:p>
      <w:pPr>
        <w:sectPr>
          <w:pgSz w:w="11900" w:h="16838" w:orient="portrait"/>
          <w:cols w:equalWidth="0" w:num="2">
            <w:col w:w="7980" w:space="720"/>
            <w:col w:w="2720"/>
          </w:cols>
          <w:pgMar w:left="240" w:top="121"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333 Clay Street, Suite 4980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121" w:right="2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Civeo Corporation - Registration Statement on Form S-8</w:t>
      </w:r>
    </w:p>
    <w:p>
      <w:pPr>
        <w:spacing w:after="0" w:line="211" w:lineRule="exact"/>
        <w:rPr>
          <w:sz w:val="20"/>
          <w:szCs w:val="20"/>
          <w:color w:val="auto"/>
        </w:rPr>
      </w:pPr>
    </w:p>
    <w:p>
      <w:pPr>
        <w:sectPr>
          <w:pgSz w:w="11900" w:h="16838" w:orient="portrait"/>
          <w:cols w:equalWidth="0" w:num="2">
            <w:col w:w="280" w:space="540"/>
            <w:col w:w="10600"/>
          </w:cols>
          <w:pgMar w:left="240" w:top="121" w:right="239" w:bottom="1440" w:gutter="0" w:footer="0" w:header="0"/>
          <w:type w:val="continuous"/>
        </w:sectPr>
      </w:pPr>
    </w:p>
    <w:p>
      <w:pPr>
        <w:spacing w:after="0" w:line="3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set forth in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to be filed on the date hereof by Civeo Corporation, a company governed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(the “</w:t>
      </w:r>
      <w:r>
        <w:rPr>
          <w:rFonts w:ascii="Arial" w:cs="Arial" w:eastAsia="Arial" w:hAnsi="Arial"/>
          <w:sz w:val="16"/>
          <w:szCs w:val="16"/>
          <w:b w:val="1"/>
          <w:bCs w:val="1"/>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Securities Act of 1933</w:t>
      </w:r>
      <w:r>
        <w:rPr>
          <w:rFonts w:ascii="Arial" w:cs="Arial" w:eastAsia="Arial" w:hAnsi="Arial"/>
          <w:sz w:val="16"/>
          <w:szCs w:val="16"/>
          <w:color w:val="auto"/>
        </w:rPr>
        <w:t>, as amended (the “</w:t>
      </w:r>
      <w:r>
        <w:rPr>
          <w:rFonts w:ascii="Arial" w:cs="Arial" w:eastAsia="Arial" w:hAnsi="Arial"/>
          <w:sz w:val="16"/>
          <w:szCs w:val="16"/>
          <w:b w:val="1"/>
          <w:bCs w:val="1"/>
          <w:color w:val="auto"/>
        </w:rPr>
        <w:t>Act</w:t>
      </w:r>
      <w:r>
        <w:rPr>
          <w:rFonts w:ascii="Arial" w:cs="Arial" w:eastAsia="Arial" w:hAnsi="Arial"/>
          <w:sz w:val="16"/>
          <w:szCs w:val="16"/>
          <w:color w:val="auto"/>
        </w:rPr>
        <w:t>”), relating to 10,000,000 common shares without par value of the Company (the “</w:t>
      </w:r>
      <w:r>
        <w:rPr>
          <w:rFonts w:ascii="Arial" w:cs="Arial" w:eastAsia="Arial" w:hAnsi="Arial"/>
          <w:sz w:val="16"/>
          <w:szCs w:val="16"/>
          <w:b w:val="1"/>
          <w:bCs w:val="1"/>
          <w:color w:val="auto"/>
        </w:rPr>
        <w:t>Shares</w:t>
      </w:r>
      <w:r>
        <w:rPr>
          <w:rFonts w:ascii="Arial" w:cs="Arial" w:eastAsia="Arial" w:hAnsi="Arial"/>
          <w:sz w:val="16"/>
          <w:szCs w:val="16"/>
          <w:color w:val="auto"/>
        </w:rPr>
        <w:t>”) issuable pursuant to the 2014 Equity Participation Plan of Civeo Corporation, as amended and restated (the “</w:t>
      </w:r>
      <w:r>
        <w:rPr>
          <w:rFonts w:ascii="Arial" w:cs="Arial" w:eastAsia="Arial" w:hAnsi="Arial"/>
          <w:sz w:val="16"/>
          <w:szCs w:val="16"/>
          <w:b w:val="1"/>
          <w:bCs w:val="1"/>
          <w:color w:val="auto"/>
        </w:rPr>
        <w:t>Incentive Plan</w:t>
      </w:r>
      <w:r>
        <w:rPr>
          <w:rFonts w:ascii="Arial" w:cs="Arial" w:eastAsia="Arial" w:hAnsi="Arial"/>
          <w:sz w:val="16"/>
          <w:szCs w:val="16"/>
          <w:color w:val="auto"/>
        </w:rPr>
        <w:t>”), certain legal matters with respect to the Shares are being passed upon for you by us. At your request, this opinion is being furnished to you for filing as Exhibit 5.1 to the Registration Statement.</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capacity as your Canadian counsel in the connection referred to above, we have examined originals, or copies certified or otherwise identified, of the draft Registration Statement; the Notice of Articles and Articles of the Company, each as amended to date; the Incentive Plan; corporate records of the Company, including minute books of the Company, as furnished to us by the Company; certificates of public officials and of representatives of the Company; statutes; and other instruments and documents as a basis for the opinions hereinafter expressed.</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giving such opinions, we have relied upon certificates of officers of the Company and of public officials with respect to the accuracy of the material factual matters contained in such certificates. In giving the opinions below, we have assumed the signatures on all documents examined by us are genuine, the legal capacity at all relevant times of all natural persons signing such documents, all documents submitted to us as originals are accurate and complete, all documents submitted to us as copies are true and correct copies of the originals thereof and all information submitted to us was accurate and complete.</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when issued by the Company pursuant to the provisions of the Incentive Plan following due authorization of a particular award thereunder by the Board of Directors of the Company or a duly constituted and acting committee thereof (the “</w:t>
      </w:r>
      <w:r>
        <w:rPr>
          <w:rFonts w:ascii="Arial" w:cs="Arial" w:eastAsia="Arial" w:hAnsi="Arial"/>
          <w:sz w:val="16"/>
          <w:szCs w:val="16"/>
          <w:b w:val="1"/>
          <w:bCs w:val="1"/>
          <w:color w:val="auto"/>
        </w:rPr>
        <w:t>Board</w:t>
      </w:r>
      <w:r>
        <w:rPr>
          <w:rFonts w:ascii="Arial" w:cs="Arial" w:eastAsia="Arial" w:hAnsi="Arial"/>
          <w:sz w:val="16"/>
          <w:szCs w:val="16"/>
          <w:color w:val="auto"/>
        </w:rPr>
        <w:t>”) as provided in and in accordance with the Incentive Plan, the Shares issuable pursuant to such award will have been duly authorized by all necessary corporate action on the part of the Company, and upon issuance and delivery of such Shares from time to time pursuant to the terms of such award for the consideration established pursuant to the terms of the Incentive Plan and otherwise in accordance with the terms and conditions of such award, including, if applicable, the lapse of any restrictions relating thereto, the satisfaction of any performance conditions associated therewith and any requisite determinations by or pursuant to the authority of the Board as provided therein, and, in the case of options, the exercise thereof and payment for such Shares as provided therein, such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ind w:left="8200"/>
        <w:spacing w:after="0"/>
        <w:rPr>
          <w:sz w:val="20"/>
          <w:szCs w:val="20"/>
          <w:color w:val="auto"/>
        </w:rPr>
      </w:pPr>
      <w:r>
        <w:rPr>
          <w:rFonts w:ascii="Arial" w:cs="Arial" w:eastAsia="Arial" w:hAnsi="Arial"/>
          <w:sz w:val="16"/>
          <w:szCs w:val="16"/>
          <w:b w:val="1"/>
          <w:bCs w:val="1"/>
          <w:color w:val="auto"/>
        </w:rPr>
        <w:t>Salans FMC SNR Denton McKenna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32905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9055" cy="248920"/>
                    </a:xfrm>
                    <a:prstGeom prst="rect">
                      <a:avLst/>
                    </a:prstGeom>
                    <a:noFill/>
                  </pic:spPr>
                </pic:pic>
              </a:graphicData>
            </a:graphic>
          </wp:anchor>
        </w:drawing>
      </w:r>
    </w:p>
    <w:p>
      <w:pPr>
        <w:spacing w:after="0" w:line="30" w:lineRule="exact"/>
        <w:rPr>
          <w:sz w:val="20"/>
          <w:szCs w:val="20"/>
          <w:color w:val="auto"/>
        </w:rPr>
      </w:pPr>
    </w:p>
    <w:p>
      <w:pPr>
        <w:jc w:val="both"/>
        <w:ind w:left="2640"/>
        <w:spacing w:after="0" w:line="250" w:lineRule="auto"/>
        <w:rPr>
          <w:sz w:val="20"/>
          <w:szCs w:val="20"/>
          <w:color w:val="auto"/>
        </w:rPr>
      </w:pPr>
      <w:r>
        <w:rPr>
          <w:rFonts w:ascii="Arial" w:cs="Arial" w:eastAsia="Arial" w:hAnsi="Arial"/>
          <w:sz w:val="18"/>
          <w:szCs w:val="18"/>
          <w:color w:val="auto"/>
        </w:rPr>
        <w:t>May 16, 2016 dentons.com 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qualified to practice law in the Province of British Columbia and this opinion is rendered solely with respect to the laws of the Province of British Columbia and the federal laws of Canada applicable therein.</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opinions expressed herein are given as at the date hereof and are based upon laws in effect and facts in existence as at the date hereof. We express no opinion as to the effect of future laws or judicial or regulatory decisions on the subject matter hereof, and we specifically disclaim any obligation and make no undertaking to advise any person of any change in law or fact that may come to our attention after the date hereof.</w:t>
      </w:r>
    </w:p>
    <w:p>
      <w:pPr>
        <w:spacing w:after="0" w:line="1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hereby consent to the filing of this opinion with the Commission as Exhibit 5.1 to the Registration Statement. In giving such consent, we do not admit that we are within the category of persons whose consent is required under Section 7 of the Act or the rules and regulations of the Commission thereunder.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Dentons Canada LLP</w:t>
      </w:r>
    </w:p>
    <w:p>
      <w:pPr>
        <w:sectPr>
          <w:pgSz w:w="11900" w:h="16838" w:orient="portrait"/>
          <w:cols w:equalWidth="0" w:num="1">
            <w:col w:w="11420"/>
          </w:cols>
          <w:pgMar w:left="240" w:top="60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Amended and Restated 2014 Equity Participation Plan of Civeo Corporation, of our reports dated February 26, 2016 with respect to the consolidated financial statements of Civeo Corporation and subsidiaries and the effectiveness of internal control over financial reporting of Civeo Corporation and subsidiaries, included in its Annual Report on Form 10-K for the year ended December 31, 2015 filed with the Securities and Exchange Commission.</w:t>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2016</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2019-12-09T00:39:39Z</dcterms:created>
  <dcterms:modified xsi:type="dcterms:W3CDTF">2019-12-09T00:39:39Z</dcterms:modified>
</cp:coreProperties>
</file>