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27,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3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At the 2026 Annual General Meeting of Shareholders of Civeo Corporation (“Civeo”), the shareholders of Civeo: (1) elected six nominees to the Board to serve as Class II and Class III directors; (2) voted, on an advisory basis, in favor of the compensation of the persons listed as named executive officers in the Proxy Statement; (3) approved an amendment to the 2014 Equity Participation Plan (the “Plan”) to, among other things, increase the number of shares available for issuance thereunder by 520,920 shares, subject to adjustment in accordance with the terms of the Plan and (4) ratified the appointment of Ernst &amp; Young LLP as Civeo’s independent registered public accounting firm for the year ending December 31, 2026 and until the next annual general meeting of shareholders and authorized the directors of Civeo, acting through the Audit Committee, to determine the compensation to be paid to Ernst &amp; Young LLP for 2026. The proposals related to each matter are described in detail in the Proxy Statement. The voting results for each proposal are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1 - To elect the three Class II and Class III nominees to the Board: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780" w:type="dxa"/>
            <w:vAlign w:val="bottom"/>
          </w:tcPr>
          <w:p>
            <w:pPr>
              <w:spacing w:after="0"/>
              <w:rPr>
                <w:sz w:val="24"/>
                <w:szCs w:val="24"/>
                <w:color w:val="auto"/>
              </w:rPr>
            </w:pPr>
          </w:p>
        </w:tc>
        <w:tc>
          <w:tcPr>
            <w:tcW w:w="256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00" w:type="dxa"/>
            <w:vAlign w:val="bottom"/>
            <w:gridSpan w:val="2"/>
          </w:tcPr>
          <w:p>
            <w:pPr>
              <w:ind w:left="760"/>
              <w:spacing w:after="0"/>
              <w:rPr>
                <w:sz w:val="20"/>
                <w:szCs w:val="20"/>
                <w:color w:val="auto"/>
              </w:rPr>
            </w:pPr>
            <w:r>
              <w:rPr>
                <w:rFonts w:ascii="Times New Roman" w:cs="Times New Roman" w:eastAsia="Times New Roman" w:hAnsi="Times New Roman"/>
                <w:sz w:val="22"/>
                <w:szCs w:val="22"/>
                <w:b w:val="1"/>
                <w:bCs w:val="1"/>
                <w:color w:val="auto"/>
              </w:rPr>
              <w:t>Withheld</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c>
          <w:tcPr>
            <w:tcW w:w="80" w:type="dxa"/>
            <w:vAlign w:val="bottom"/>
          </w:tcPr>
          <w:p>
            <w:pPr>
              <w:spacing w:after="0"/>
              <w:rPr>
                <w:sz w:val="24"/>
                <w:szCs w:val="24"/>
                <w:color w:val="auto"/>
              </w:rPr>
            </w:pPr>
          </w:p>
        </w:tc>
      </w:tr>
      <w:tr>
        <w:trPr>
          <w:trHeight w:val="2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Richard A. Navarre</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8,406,487</w:t>
            </w:r>
          </w:p>
        </w:tc>
        <w:tc>
          <w:tcPr>
            <w:tcW w:w="180" w:type="dxa"/>
            <w:vAlign w:val="bottom"/>
            <w:tcBorders>
              <w:top w:val="single" w:sz="8" w:color="CCEEFF"/>
            </w:tcBorders>
            <w:shd w:val="clear" w:color="auto" w:fill="CCEEFF"/>
          </w:tcPr>
          <w:p>
            <w:pPr>
              <w:spacing w:after="0"/>
              <w:rPr>
                <w:sz w:val="24"/>
                <w:szCs w:val="24"/>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198,086</w:t>
            </w:r>
          </w:p>
        </w:tc>
        <w:tc>
          <w:tcPr>
            <w:tcW w:w="140" w:type="dxa"/>
            <w:vAlign w:val="bottom"/>
            <w:tcBorders>
              <w:top w:val="single" w:sz="8" w:color="CCEEFF"/>
            </w:tcBorders>
            <w:shd w:val="clear" w:color="auto" w:fill="CCEEFF"/>
          </w:tcPr>
          <w:p>
            <w:pPr>
              <w:spacing w:after="0"/>
              <w:rPr>
                <w:sz w:val="24"/>
                <w:szCs w:val="24"/>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Borders>
              <w:top w:val="single" w:sz="8" w:color="auto"/>
            </w:tcBorders>
          </w:tcPr>
          <w:p>
            <w:pPr>
              <w:spacing w:after="0"/>
              <w:rPr>
                <w:sz w:val="24"/>
                <w:szCs w:val="24"/>
                <w:color w:val="auto"/>
              </w:rPr>
            </w:pPr>
          </w:p>
        </w:tc>
      </w:tr>
      <w:tr>
        <w:trPr>
          <w:trHeight w:val="290"/>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Martin A. Lambert</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8,417,605</w:t>
            </w:r>
          </w:p>
        </w:tc>
        <w:tc>
          <w:tcPr>
            <w:tcW w:w="1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186,968</w:t>
            </w:r>
          </w:p>
        </w:tc>
        <w:tc>
          <w:tcPr>
            <w:tcW w:w="14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Pr>
          <w:p>
            <w:pPr>
              <w:spacing w:after="0"/>
              <w:rPr>
                <w:sz w:val="24"/>
                <w:szCs w:val="24"/>
                <w:color w:val="auto"/>
              </w:rPr>
            </w:pP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Constance B. Moore</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8,418,306</w:t>
            </w:r>
          </w:p>
        </w:tc>
        <w:tc>
          <w:tcPr>
            <w:tcW w:w="180" w:type="dxa"/>
            <w:vAlign w:val="bottom"/>
            <w:shd w:val="clear" w:color="auto" w:fill="CCEEFF"/>
          </w:tcPr>
          <w:p>
            <w:pPr>
              <w:spacing w:after="0"/>
              <w:rPr>
                <w:sz w:val="24"/>
                <w:szCs w:val="24"/>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186,267</w:t>
            </w:r>
          </w:p>
        </w:tc>
        <w:tc>
          <w:tcPr>
            <w:tcW w:w="140" w:type="dxa"/>
            <w:vAlign w:val="bottom"/>
            <w:shd w:val="clear" w:color="auto" w:fill="CCEEFF"/>
          </w:tcPr>
          <w:p>
            <w:pPr>
              <w:spacing w:after="0"/>
              <w:rPr>
                <w:sz w:val="24"/>
                <w:szCs w:val="24"/>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Pr>
          <w:p>
            <w:pPr>
              <w:spacing w:after="0"/>
              <w:rPr>
                <w:sz w:val="24"/>
                <w:szCs w:val="24"/>
                <w:color w:val="auto"/>
              </w:rPr>
            </w:pPr>
          </w:p>
        </w:tc>
      </w:tr>
      <w:tr>
        <w:trPr>
          <w:trHeight w:val="290"/>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Bradley J. Dodson</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8,572,412</w:t>
            </w:r>
          </w:p>
        </w:tc>
        <w:tc>
          <w:tcPr>
            <w:tcW w:w="1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32,161</w:t>
            </w:r>
          </w:p>
        </w:tc>
        <w:tc>
          <w:tcPr>
            <w:tcW w:w="14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Pr>
          <w:p>
            <w:pPr>
              <w:spacing w:after="0"/>
              <w:rPr>
                <w:sz w:val="24"/>
                <w:szCs w:val="24"/>
                <w:color w:val="auto"/>
              </w:rPr>
            </w:pP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Daniel B. Silvers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8,293,243</w:t>
            </w:r>
          </w:p>
        </w:tc>
        <w:tc>
          <w:tcPr>
            <w:tcW w:w="180" w:type="dxa"/>
            <w:vAlign w:val="bottom"/>
            <w:shd w:val="clear" w:color="auto" w:fill="CCEEFF"/>
          </w:tcPr>
          <w:p>
            <w:pPr>
              <w:spacing w:after="0"/>
              <w:rPr>
                <w:sz w:val="24"/>
                <w:szCs w:val="24"/>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5"/>
              </w:rPr>
              <w:t>311,330</w:t>
            </w:r>
          </w:p>
        </w:tc>
        <w:tc>
          <w:tcPr>
            <w:tcW w:w="140" w:type="dxa"/>
            <w:vAlign w:val="bottom"/>
            <w:shd w:val="clear" w:color="auto" w:fill="CCEEFF"/>
          </w:tcPr>
          <w:p>
            <w:pPr>
              <w:spacing w:after="0"/>
              <w:rPr>
                <w:sz w:val="24"/>
                <w:szCs w:val="24"/>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Pr>
          <w:p>
            <w:pPr>
              <w:spacing w:after="0"/>
              <w:rPr>
                <w:sz w:val="24"/>
                <w:szCs w:val="24"/>
                <w:color w:val="auto"/>
              </w:rPr>
            </w:pPr>
          </w:p>
        </w:tc>
      </w:tr>
      <w:tr>
        <w:trPr>
          <w:trHeight w:val="282"/>
        </w:trPr>
        <w:tc>
          <w:tcPr>
            <w:tcW w:w="2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Timothy O. Wall</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8,562,700</w:t>
            </w:r>
          </w:p>
        </w:tc>
        <w:tc>
          <w:tcPr>
            <w:tcW w:w="1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41,873</w:t>
            </w:r>
          </w:p>
        </w:tc>
        <w:tc>
          <w:tcPr>
            <w:tcW w:w="14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1,496,244</w:t>
            </w:r>
          </w:p>
        </w:tc>
        <w:tc>
          <w:tcPr>
            <w:tcW w:w="80" w:type="dxa"/>
            <w:vAlign w:val="bottom"/>
          </w:tcPr>
          <w:p>
            <w:pPr>
              <w:spacing w:after="0"/>
              <w:rPr>
                <w:sz w:val="24"/>
                <w:szCs w:val="24"/>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2 - To approve, on an advisory basis, the compensation of the named executive officers: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9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8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22"/>
                <w:szCs w:val="22"/>
                <w:color w:val="auto"/>
              </w:rPr>
              <w:t>8,247,893</w:t>
            </w:r>
          </w:p>
        </w:tc>
        <w:tc>
          <w:tcPr>
            <w:tcW w:w="34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22"/>
                <w:szCs w:val="22"/>
                <w:color w:val="auto"/>
              </w:rPr>
              <w:t>33,269</w:t>
            </w:r>
          </w:p>
        </w:tc>
        <w:tc>
          <w:tcPr>
            <w:tcW w:w="440" w:type="dxa"/>
            <w:vAlign w:val="bottom"/>
            <w:tcBorders>
              <w:top w:val="single" w:sz="8" w:color="CCEEFF"/>
            </w:tcBorders>
            <w:shd w:val="clear" w:color="auto" w:fill="CCEEFF"/>
          </w:tcPr>
          <w:p>
            <w:pPr>
              <w:spacing w:after="0"/>
              <w:rPr>
                <w:sz w:val="24"/>
                <w:szCs w:val="24"/>
                <w:color w:val="auto"/>
              </w:rPr>
            </w:pPr>
          </w:p>
        </w:tc>
        <w:tc>
          <w:tcPr>
            <w:tcW w:w="2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323,411</w:t>
            </w:r>
          </w:p>
        </w:tc>
        <w:tc>
          <w:tcPr>
            <w:tcW w:w="296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1,496,244</w:t>
            </w:r>
          </w:p>
        </w:tc>
      </w:tr>
    </w:tbl>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Proposal 3 – To approve an amendment to the Plan to increase the number of shares available for issuance thereunder by 520,920 shares, subject to adjustment in accordance with the terms of the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9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8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22"/>
                <w:szCs w:val="22"/>
                <w:color w:val="auto"/>
              </w:rPr>
              <w:t>8,240,482</w:t>
            </w:r>
          </w:p>
        </w:tc>
        <w:tc>
          <w:tcPr>
            <w:tcW w:w="34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22"/>
                <w:szCs w:val="22"/>
                <w:color w:val="auto"/>
              </w:rPr>
              <w:t>53,383</w:t>
            </w:r>
          </w:p>
        </w:tc>
        <w:tc>
          <w:tcPr>
            <w:tcW w:w="440" w:type="dxa"/>
            <w:vAlign w:val="bottom"/>
            <w:tcBorders>
              <w:top w:val="single" w:sz="8" w:color="CCEEFF"/>
            </w:tcBorders>
            <w:shd w:val="clear" w:color="auto" w:fill="CCEEFF"/>
          </w:tcPr>
          <w:p>
            <w:pPr>
              <w:spacing w:after="0"/>
              <w:rPr>
                <w:sz w:val="24"/>
                <w:szCs w:val="24"/>
                <w:color w:val="auto"/>
              </w:rPr>
            </w:pPr>
          </w:p>
        </w:tc>
        <w:tc>
          <w:tcPr>
            <w:tcW w:w="2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310,708</w:t>
            </w:r>
          </w:p>
        </w:tc>
        <w:tc>
          <w:tcPr>
            <w:tcW w:w="296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1,496,244</w:t>
            </w:r>
          </w:p>
        </w:tc>
      </w:tr>
    </w:tbl>
    <w:p>
      <w:pPr>
        <w:spacing w:after="0" w:line="3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Proposal 4 - To ratify the appointment of Ernst &amp; Young LLP as Civeo’s independent registered public accounting firm for the year ending December 31, 2026 and until the next annual general meeting of shareholders and to authorize the directors of Civeo, acting through the Audit Committee, to determine the remuneration to be paid to Ernst &amp; Young LLP for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Withheld</w:t>
            </w:r>
          </w:p>
        </w:tc>
        <w:tc>
          <w:tcPr>
            <w:tcW w:w="6460" w:type="dxa"/>
            <w:vAlign w:val="bottom"/>
            <w:gridSpan w:val="3"/>
          </w:tcPr>
          <w:p>
            <w:pPr>
              <w:jc w:val="center"/>
              <w:ind w:right="4040"/>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10,096,589</w:t>
            </w:r>
          </w:p>
        </w:tc>
        <w:tc>
          <w:tcPr>
            <w:tcW w:w="240" w:type="dxa"/>
            <w:vAlign w:val="bottom"/>
            <w:tcBorders>
              <w:top w:val="single" w:sz="8" w:color="CCEEFF"/>
            </w:tcBorders>
            <w:shd w:val="clear" w:color="auto" w:fill="CCEEFF"/>
          </w:tcPr>
          <w:p>
            <w:pPr>
              <w:spacing w:after="0"/>
              <w:rPr>
                <w:sz w:val="24"/>
                <w:szCs w:val="24"/>
                <w:color w:val="auto"/>
              </w:rPr>
            </w:pPr>
          </w:p>
        </w:tc>
        <w:tc>
          <w:tcPr>
            <w:tcW w:w="226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22"/>
                <w:szCs w:val="22"/>
                <w:color w:val="auto"/>
              </w:rPr>
              <w:t>4,228</w:t>
            </w:r>
          </w:p>
        </w:tc>
        <w:tc>
          <w:tcPr>
            <w:tcW w:w="320" w:type="dxa"/>
            <w:vAlign w:val="bottom"/>
            <w:tcBorders>
              <w:top w:val="single" w:sz="8" w:color="CCEEFF"/>
            </w:tcBorders>
            <w:shd w:val="clear" w:color="auto" w:fill="CCEEFF"/>
          </w:tcPr>
          <w:p>
            <w:pPr>
              <w:spacing w:after="0"/>
              <w:rPr>
                <w:sz w:val="24"/>
                <w:szCs w:val="24"/>
                <w:color w:val="auto"/>
              </w:rPr>
            </w:pPr>
          </w:p>
        </w:tc>
        <w:tc>
          <w:tcPr>
            <w:tcW w:w="242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Borders>
              <w:top w:val="single" w:sz="8" w:color="CCEEFF"/>
            </w:tcBorders>
            <w:shd w:val="clear" w:color="auto" w:fill="CCEEFF"/>
          </w:tcPr>
          <w:p>
            <w:pPr>
              <w:spacing w:after="0"/>
              <w:rPr>
                <w:sz w:val="24"/>
                <w:szCs w:val="24"/>
                <w:color w:val="auto"/>
              </w:rPr>
            </w:pPr>
          </w:p>
        </w:tc>
        <w:tc>
          <w:tcPr>
            <w:tcW w:w="3800" w:type="dxa"/>
            <w:vAlign w:val="bottom"/>
          </w:tcPr>
          <w:p>
            <w:pPr>
              <w:spacing w:after="0"/>
              <w:rPr>
                <w:sz w:val="24"/>
                <w:szCs w:val="24"/>
                <w:color w:val="auto"/>
              </w:rPr>
            </w:pPr>
          </w:p>
        </w:tc>
      </w:tr>
      <w:tr>
        <w:trPr>
          <w:trHeight w:val="1627"/>
        </w:trPr>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27, 2026</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sectPr>
      <w:pgSz w:w="11900" w:h="16838" w:orient="portrait"/>
      <w:cols w:equalWidth="0" w:num="1">
        <w:col w:w="11220"/>
      </w:cols>
      <w:pgMar w:left="320" w:top="12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2026-05-27T15:40:03Z</dcterms:created>
  <dcterms:modified xsi:type="dcterms:W3CDTF">2026-05-27T15:40:03Z</dcterms:modified>
</cp:coreProperties>
</file>