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FORM 10-K</w:t>
      </w:r>
      <w:r>
        <w:rPr>
          <w:color w:val="000000"/>
        </w:rPr>
        <w:t> </w:t>
      </w:r>
    </w:p>
    <w:p>
      <w:pPr>
        <w:pStyle w:val="TextBody"/>
        <w:bidi w:val="0"/>
        <w:spacing w:lineRule="auto" w:line="288" w:before="0" w:after="0"/>
        <w:ind w:left="0" w:right="0" w:firstLine="585"/>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 OR 15(d) OF THE SECURITIES EXCHANGE ACT OF 1934</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ind w:left="0" w:right="0" w:firstLine="1260"/>
        <w:jc w:val="left"/>
        <w:rPr/>
      </w:pPr>
      <w:r>
        <w:rPr>
          <w:rFonts w:ascii="Times New Roman;sans-serif" w:hAnsi="Times New Roman;sans-serif"/>
          <w:b w:val="false"/>
          <w:color w:val="000000"/>
          <w:sz w:val="20"/>
        </w:rPr>
        <w:t xml:space="preserve">For the transition period from _________________________ to </w:t>
      </w:r>
      <w:r>
        <w:rPr>
          <w:color w:val="000000"/>
          <w:u w:val="single"/>
        </w:rPr>
        <w:t>                                                                  </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center"/>
        <w:rPr/>
      </w:pPr>
      <w:r>
        <w:rPr>
          <w:color w:val="000000"/>
        </w:rPr>
        <w:t> </w:t>
      </w: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001-36246</w:t>
      </w:r>
    </w:p>
    <w:p>
      <w:pPr>
        <w:pStyle w:val="TextBody"/>
        <w:bidi w:val="0"/>
        <w:spacing w:lineRule="auto" w:line="288" w:before="0" w:after="0"/>
        <w:ind w:left="0" w:right="0" w:firstLine="180"/>
        <w:jc w:val="center"/>
        <w:rPr/>
      </w:pPr>
      <w:r>
        <w:rPr>
          <w:color w:val="000000"/>
        </w:rPr>
        <w:t>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center"/>
        <w:rPr>
          <w:color w:val="000000"/>
        </w:rPr>
      </w:pPr>
      <w:r>
        <w:rPr>
          <w:color w:val="000000"/>
        </w:rPr>
        <w:t> </w:t>
      </w:r>
      <w:r>
        <w:rPr>
          <w:rFonts w:ascii="Times New Roman;sans-serif" w:hAnsi="Times New Roman;sans-serif"/>
          <w:b w:val="false"/>
          <w:color w:val="000000"/>
          <w:sz w:val="20"/>
        </w:rPr>
        <w:t>(Exact name of registrant as specified in its charter) </w:t>
      </w:r>
    </w:p>
    <w:tbl>
      <w:tblPr>
        <w:tblW w:w="6339" w:type="dxa"/>
        <w:jc w:val="left"/>
        <w:tblInd w:w="0" w:type="dxa"/>
        <w:tblLayout w:type="fixed"/>
        <w:tblCellMar>
          <w:top w:w="28" w:type="dxa"/>
          <w:left w:w="28" w:type="dxa"/>
          <w:bottom w:w="28" w:type="dxa"/>
          <w:right w:w="28" w:type="dxa"/>
        </w:tblCellMar>
      </w:tblPr>
      <w:tblGrid>
        <w:gridCol w:w="124"/>
        <w:gridCol w:w="109"/>
        <w:gridCol w:w="109"/>
        <w:gridCol w:w="1339"/>
        <w:gridCol w:w="1339"/>
        <w:gridCol w:w="1342"/>
        <w:gridCol w:w="534"/>
        <w:gridCol w:w="534"/>
        <w:gridCol w:w="5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British Columbia, Canada</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98-1253716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Allen Center, 333 Clay Street, Suite 4980,</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Houston, Texas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70" w:type="dxa"/>
        <w:jc w:val="left"/>
        <w:tblInd w:w="0" w:type="dxa"/>
        <w:tblLayout w:type="fixed"/>
        <w:tblCellMar>
          <w:top w:w="28" w:type="dxa"/>
          <w:left w:w="28" w:type="dxa"/>
          <w:bottom w:w="28" w:type="dxa"/>
          <w:right w:w="28" w:type="dxa"/>
        </w:tblCellMar>
      </w:tblPr>
      <w:tblGrid>
        <w:gridCol w:w="1427"/>
        <w:gridCol w:w="1257"/>
        <w:gridCol w:w="1786"/>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713 510-2400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589" w:type="dxa"/>
        <w:jc w:val="center"/>
        <w:tblInd w:w="0" w:type="dxa"/>
        <w:tblLayout w:type="fixed"/>
        <w:tblCellMar>
          <w:top w:w="28" w:type="dxa"/>
          <w:left w:w="28" w:type="dxa"/>
          <w:bottom w:w="28" w:type="dxa"/>
          <w:right w:w="28" w:type="dxa"/>
        </w:tblCellMar>
      </w:tblPr>
      <w:tblGrid>
        <w:gridCol w:w="916"/>
        <w:gridCol w:w="807"/>
        <w:gridCol w:w="812"/>
        <w:gridCol w:w="539"/>
        <w:gridCol w:w="539"/>
        <w:gridCol w:w="541"/>
        <w:gridCol w:w="1006"/>
        <w:gridCol w:w="1006"/>
        <w:gridCol w:w="1423"/>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Exchange on Which Registered</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tbl>
      <w:tblPr>
        <w:tblW w:w="2584" w:type="dxa"/>
        <w:jc w:val="center"/>
        <w:tblInd w:w="0" w:type="dxa"/>
        <w:tblLayout w:type="fixed"/>
        <w:tblCellMar>
          <w:top w:w="28" w:type="dxa"/>
          <w:left w:w="28" w:type="dxa"/>
          <w:bottom w:w="28" w:type="dxa"/>
          <w:right w:w="28" w:type="dxa"/>
        </w:tblCellMar>
      </w:tblPr>
      <w:tblGrid>
        <w:gridCol w:w="152"/>
        <w:gridCol w:w="134"/>
        <w:gridCol w:w="135"/>
        <w:gridCol w:w="465"/>
        <w:gridCol w:w="465"/>
        <w:gridCol w:w="466"/>
        <w:gridCol w:w="115"/>
        <w:gridCol w:w="115"/>
        <w:gridCol w:w="116"/>
        <w:gridCol w:w="123"/>
        <w:gridCol w:w="123"/>
        <w:gridCol w:w="17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tbl>
      <w:tblPr>
        <w:tblW w:w="1466"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509"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509"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(Check one):</w:t>
      </w:r>
    </w:p>
    <w:p>
      <w:pPr>
        <w:pStyle w:val="TextBody"/>
        <w:bidi w:val="0"/>
        <w:spacing w:before="0" w:after="0"/>
        <w:ind w:left="0" w:right="0" w:firstLine="180"/>
        <w:jc w:val="center"/>
        <w:rPr/>
      </w:pPr>
      <w:r>
        <w:rPr/>
      </w:r>
    </w:p>
    <w:tbl>
      <w:tblPr>
        <w:tblW w:w="7079" w:type="dxa"/>
        <w:jc w:val="center"/>
        <w:tblInd w:w="0" w:type="dxa"/>
        <w:tblLayout w:type="fixed"/>
        <w:tblCellMar>
          <w:top w:w="28" w:type="dxa"/>
          <w:left w:w="28" w:type="dxa"/>
          <w:bottom w:w="28" w:type="dxa"/>
          <w:right w:w="28" w:type="dxa"/>
        </w:tblCellMar>
      </w:tblPr>
      <w:tblGrid>
        <w:gridCol w:w="630"/>
        <w:gridCol w:w="553"/>
        <w:gridCol w:w="557"/>
        <w:gridCol w:w="109"/>
        <w:gridCol w:w="109"/>
        <w:gridCol w:w="109"/>
        <w:gridCol w:w="694"/>
        <w:gridCol w:w="694"/>
        <w:gridCol w:w="697"/>
        <w:gridCol w:w="125"/>
        <w:gridCol w:w="125"/>
        <w:gridCol w:w="126"/>
        <w:gridCol w:w="709"/>
        <w:gridCol w:w="709"/>
        <w:gridCol w:w="712"/>
        <w:gridCol w:w="123"/>
        <w:gridCol w:w="123"/>
        <w:gridCol w:w="175"/>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509"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18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2023, was $254,992,411.</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14,669,767 common shares outstanding as of February 23, 2024.</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ind w:left="0" w:right="0" w:firstLine="18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the 2024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pStyle w:val="TextBody"/>
        <w:bidi w:val="0"/>
        <w:spacing w:before="0" w:after="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62"/>
        <w:gridCol w:w="846"/>
        <w:gridCol w:w="849"/>
        <w:gridCol w:w="2363"/>
        <w:gridCol w:w="2182"/>
        <w:gridCol w:w="2200"/>
        <w:gridCol w:w="233"/>
        <w:gridCol w:w="233"/>
        <w:gridCol w:w="337"/>
      </w:tblGrid>
      <w:tr>
        <w:trPr/>
        <w:tc>
          <w:tcPr>
            <w:tcW w:w="96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 No.</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0">
              <w:r>
                <w:rPr>
                  <w:rStyle w:val="InternetLink"/>
                  <w:rFonts w:ascii="Times New Roman;sans-serif" w:hAnsi="Times New Roman;sans-serif"/>
                  <w:b w:val="false"/>
                  <w:strike w:val="false"/>
                  <w:dstrike w:val="false"/>
                  <w:color w:val="242424"/>
                  <w:sz w:val="20"/>
                  <w:u w:val="none"/>
                  <w:effect w:val="none"/>
                </w:rPr>
                <w:t>PART I</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3">
              <w:r>
                <w:rPr>
                  <w:rStyle w:val="InternetLink"/>
                  <w:rFonts w:ascii="Times New Roman;sans-serif" w:hAnsi="Times New Roman;sans-serif"/>
                  <w:b w:val="false"/>
                  <w:strike w:val="false"/>
                  <w:dstrike w:val="false"/>
                  <w:color w:val="242424"/>
                  <w:sz w:val="20"/>
                  <w:u w:val="none"/>
                  <w:effect w:val="none"/>
                </w:rPr>
                <w:t>Cautionary Statement Regarding Forward-Looking Statements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3">
              <w:r>
                <w:rPr>
                  <w:rStyle w:val="InternetLink"/>
                  <w:rFonts w:ascii="Times New Roman;sans-serif" w:hAnsi="Times New Roman;sans-serif"/>
                  <w:b w:val="false"/>
                  <w:strike w:val="false"/>
                  <w:dstrike w:val="false"/>
                  <w:color w:val="1335FF"/>
                  <w:sz w:val="20"/>
                  <w:u w:val="none"/>
                  <w:effect w:val="none"/>
                </w:rPr>
                <w:t>1</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6">
              <w:r>
                <w:rPr>
                  <w:rStyle w:val="InternetLink"/>
                  <w:rFonts w:ascii="Times New Roman;sans-serif" w:hAnsi="Times New Roman;sans-serif"/>
                  <w:b w:val="false"/>
                  <w:strike w:val="false"/>
                  <w:dstrike w:val="false"/>
                  <w:color w:val="242424"/>
                  <w:sz w:val="20"/>
                  <w:u w:val="none"/>
                  <w:effect w:val="none"/>
                </w:rPr>
                <w:t>Item 1.</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6">
              <w:r>
                <w:rPr>
                  <w:rStyle w:val="InternetLink"/>
                  <w:rFonts w:ascii="Times New Roman;sans-serif" w:hAnsi="Times New Roman;sans-serif"/>
                  <w:b w:val="false"/>
                  <w:strike w:val="false"/>
                  <w:dstrike w:val="false"/>
                  <w:color w:val="242424"/>
                  <w:sz w:val="20"/>
                  <w:u w:val="none"/>
                  <w:effect w:val="none"/>
                </w:rPr>
                <w:t>Business</w:t>
              </w:r>
            </w:hyperlink>
          </w:p>
        </w:tc>
        <w:tc>
          <w:tcPr>
            <w:tcW w:w="8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6">
              <w:r>
                <w:rPr>
                  <w:rStyle w:val="InternetLink"/>
                  <w:rFonts w:ascii="Times New Roman;sans-serif" w:hAnsi="Times New Roman;sans-serif"/>
                  <w:b w:val="false"/>
                  <w:strike w:val="false"/>
                  <w:dstrike w:val="false"/>
                  <w:color w:val="1335FF"/>
                  <w:sz w:val="20"/>
                  <w:u w:val="none"/>
                  <w:effect w:val="none"/>
                </w:rPr>
                <w:t>3</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9">
              <w:r>
                <w:rPr>
                  <w:rStyle w:val="InternetLink"/>
                  <w:rFonts w:ascii="Times New Roman;sans-serif" w:hAnsi="Times New Roman;sans-serif"/>
                  <w:b w:val="false"/>
                  <w:strike w:val="false"/>
                  <w:dstrike w:val="false"/>
                  <w:color w:val="242424"/>
                  <w:sz w:val="20"/>
                  <w:u w:val="none"/>
                  <w:effect w:val="none"/>
                </w:rPr>
                <w:t>Item 1A.</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9">
              <w:r>
                <w:rPr>
                  <w:rStyle w:val="InternetLink"/>
                  <w:rFonts w:ascii="Times New Roman;sans-serif" w:hAnsi="Times New Roman;sans-serif"/>
                  <w:b w:val="false"/>
                  <w:strike w:val="false"/>
                  <w:dstrike w:val="false"/>
                  <w:color w:val="242424"/>
                  <w:sz w:val="20"/>
                  <w:u w:val="none"/>
                  <w:effect w:val="none"/>
                </w:rPr>
                <w:t>Risk Factors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9">
              <w:r>
                <w:rPr>
                  <w:rStyle w:val="InternetLink"/>
                  <w:rFonts w:ascii="Times New Roman;sans-serif" w:hAnsi="Times New Roman;sans-serif"/>
                  <w:b w:val="false"/>
                  <w:strike w:val="false"/>
                  <w:dstrike w:val="false"/>
                  <w:color w:val="1335FF"/>
                  <w:sz w:val="20"/>
                  <w:u w:val="none"/>
                  <w:effect w:val="none"/>
                </w:rPr>
                <w:t>24</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2">
              <w:r>
                <w:rPr>
                  <w:rStyle w:val="InternetLink"/>
                  <w:rFonts w:ascii="Times New Roman;sans-serif" w:hAnsi="Times New Roman;sans-serif"/>
                  <w:b w:val="false"/>
                  <w:strike w:val="false"/>
                  <w:dstrike w:val="false"/>
                  <w:color w:val="242424"/>
                  <w:sz w:val="20"/>
                  <w:u w:val="none"/>
                  <w:effect w:val="none"/>
                </w:rPr>
                <w:t>Item 1B</w:t>
              </w:r>
            </w:hyperlink>
            <w:r>
              <w:rPr>
                <w:rFonts w:ascii="Times New Roman;sans-serif" w:hAnsi="Times New Roman;sans-serif"/>
                <w:b w:val="false"/>
                <w:color w:val="242424"/>
                <w:sz w:val="20"/>
              </w:rPr>
              <w:t>.</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2">
              <w:r>
                <w:rPr>
                  <w:rStyle w:val="InternetLink"/>
                  <w:rFonts w:ascii="Times New Roman;sans-serif" w:hAnsi="Times New Roman;sans-serif"/>
                  <w:b w:val="false"/>
                  <w:strike w:val="false"/>
                  <w:dstrike w:val="false"/>
                  <w:color w:val="242424"/>
                  <w:sz w:val="20"/>
                  <w:u w:val="none"/>
                  <w:effect w:val="none"/>
                </w:rPr>
                <w:t>Unresolved Staff Comments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22">
              <w:r>
                <w:rPr>
                  <w:rStyle w:val="InternetLink"/>
                  <w:rFonts w:ascii="Times New Roman;sans-serif" w:hAnsi="Times New Roman;sans-serif"/>
                  <w:b w:val="false"/>
                  <w:strike w:val="false"/>
                  <w:dstrike w:val="false"/>
                  <w:color w:val="1335FF"/>
                  <w:sz w:val="20"/>
                  <w:u w:val="none"/>
                  <w:effect w:val="none"/>
                </w:rPr>
                <w:t>38</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2">
              <w:r>
                <w:rPr>
                  <w:rStyle w:val="InternetLink"/>
                  <w:rFonts w:ascii="Times New Roman;sans-serif" w:hAnsi="Times New Roman;sans-serif"/>
                  <w:b w:val="false"/>
                  <w:strike w:val="false"/>
                  <w:dstrike w:val="false"/>
                  <w:color w:val="242424"/>
                  <w:sz w:val="20"/>
                  <w:u w:val="none"/>
                  <w:effect w:val="none"/>
                </w:rPr>
                <w:t>Item 1</w:t>
              </w:r>
            </w:hyperlink>
            <w:r>
              <w:rPr>
                <w:rFonts w:ascii="Times New Roman;sans-serif" w:hAnsi="Times New Roman;sans-serif"/>
                <w:b w:val="false"/>
                <w:color w:val="242424"/>
                <w:sz w:val="20"/>
              </w:rPr>
              <w:t>C.</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Cybersecurity</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576">
              <w:r>
                <w:rPr>
                  <w:rStyle w:val="InternetLink"/>
                  <w:rFonts w:ascii="Times New Roman;sans-serif" w:hAnsi="Times New Roman;sans-serif"/>
                  <w:b w:val="false"/>
                  <w:strike w:val="false"/>
                  <w:dstrike w:val="false"/>
                  <w:color w:val="1335FF"/>
                  <w:sz w:val="20"/>
                  <w:u w:val="none"/>
                  <w:effect w:val="none"/>
                </w:rPr>
                <w:t>38</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5">
              <w:r>
                <w:rPr>
                  <w:rStyle w:val="InternetLink"/>
                  <w:rFonts w:ascii="Times New Roman;sans-serif" w:hAnsi="Times New Roman;sans-serif"/>
                  <w:b w:val="false"/>
                  <w:strike w:val="false"/>
                  <w:dstrike w:val="false"/>
                  <w:color w:val="242424"/>
                  <w:sz w:val="20"/>
                  <w:u w:val="none"/>
                  <w:effect w:val="none"/>
                </w:rPr>
                <w:t>Item 2.</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5">
              <w:r>
                <w:rPr>
                  <w:rStyle w:val="InternetLink"/>
                  <w:rFonts w:ascii="Times New Roman;sans-serif" w:hAnsi="Times New Roman;sans-serif"/>
                  <w:b w:val="false"/>
                  <w:strike w:val="false"/>
                  <w:dstrike w:val="false"/>
                  <w:color w:val="242424"/>
                  <w:sz w:val="20"/>
                  <w:u w:val="none"/>
                  <w:effect w:val="none"/>
                </w:rPr>
                <w:t>Properties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25">
              <w:r>
                <w:rPr>
                  <w:rStyle w:val="InternetLink"/>
                  <w:rFonts w:ascii="Times New Roman;sans-serif" w:hAnsi="Times New Roman;sans-serif"/>
                  <w:b w:val="false"/>
                  <w:strike w:val="false"/>
                  <w:dstrike w:val="false"/>
                  <w:color w:val="1335FF"/>
                  <w:sz w:val="20"/>
                  <w:u w:val="none"/>
                  <w:effect w:val="none"/>
                </w:rPr>
                <w:t>39</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8">
              <w:r>
                <w:rPr>
                  <w:rStyle w:val="InternetLink"/>
                  <w:rFonts w:ascii="Times New Roman;sans-serif" w:hAnsi="Times New Roman;sans-serif"/>
                  <w:b w:val="false"/>
                  <w:strike w:val="false"/>
                  <w:dstrike w:val="false"/>
                  <w:color w:val="242424"/>
                  <w:sz w:val="20"/>
                  <w:u w:val="none"/>
                  <w:effect w:val="none"/>
                </w:rPr>
                <w:t>Item 3.</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28">
              <w:r>
                <w:rPr>
                  <w:rStyle w:val="InternetLink"/>
                  <w:rFonts w:ascii="Times New Roman;sans-serif" w:hAnsi="Times New Roman;sans-serif"/>
                  <w:b w:val="false"/>
                  <w:strike w:val="false"/>
                  <w:dstrike w:val="false"/>
                  <w:color w:val="242424"/>
                  <w:sz w:val="20"/>
                  <w:u w:val="none"/>
                  <w:effect w:val="none"/>
                </w:rPr>
                <w:t>Legal Proceedings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28">
              <w:r>
                <w:rPr>
                  <w:rStyle w:val="InternetLink"/>
                  <w:rFonts w:ascii="Times New Roman;sans-serif" w:hAnsi="Times New Roman;sans-serif"/>
                  <w:b w:val="false"/>
                  <w:strike w:val="false"/>
                  <w:dstrike w:val="false"/>
                  <w:color w:val="1335FF"/>
                  <w:sz w:val="20"/>
                  <w:u w:val="none"/>
                  <w:effect w:val="none"/>
                </w:rPr>
                <w:t>41</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31">
              <w:r>
                <w:rPr>
                  <w:rStyle w:val="InternetLink"/>
                  <w:rFonts w:ascii="Times New Roman;sans-serif" w:hAnsi="Times New Roman;sans-serif"/>
                  <w:b w:val="false"/>
                  <w:strike w:val="false"/>
                  <w:dstrike w:val="false"/>
                  <w:color w:val="242424"/>
                  <w:sz w:val="20"/>
                  <w:u w:val="none"/>
                  <w:effect w:val="none"/>
                </w:rPr>
                <w:t>Item 4.</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31">
              <w:r>
                <w:rPr>
                  <w:rStyle w:val="InternetLink"/>
                  <w:rFonts w:ascii="Times New Roman;sans-serif" w:hAnsi="Times New Roman;sans-serif"/>
                  <w:b w:val="false"/>
                  <w:strike w:val="false"/>
                  <w:dstrike w:val="false"/>
                  <w:color w:val="242424"/>
                  <w:sz w:val="20"/>
                  <w:u w:val="none"/>
                  <w:effect w:val="none"/>
                </w:rPr>
                <w:t>Mine Safety Disclosures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31">
              <w:r>
                <w:rPr>
                  <w:rStyle w:val="InternetLink"/>
                  <w:rFonts w:ascii="Times New Roman;sans-serif" w:hAnsi="Times New Roman;sans-serif"/>
                  <w:b w:val="false"/>
                  <w:strike w:val="false"/>
                  <w:dstrike w:val="false"/>
                  <w:color w:val="1335FF"/>
                  <w:sz w:val="20"/>
                  <w:u w:val="none"/>
                  <w:effect w:val="none"/>
                </w:rPr>
                <w:t>41</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34">
              <w:r>
                <w:rPr>
                  <w:rStyle w:val="InternetLink"/>
                  <w:rFonts w:ascii="Times New Roman;sans-serif" w:hAnsi="Times New Roman;sans-serif"/>
                  <w:b w:val="false"/>
                  <w:strike w:val="false"/>
                  <w:dstrike w:val="false"/>
                  <w:color w:val="242424"/>
                  <w:sz w:val="20"/>
                  <w:u w:val="none"/>
                  <w:effect w:val="none"/>
                </w:rPr>
                <w:t>PART II</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37">
              <w:r>
                <w:rPr>
                  <w:rStyle w:val="InternetLink"/>
                  <w:rFonts w:ascii="Times New Roman;sans-serif" w:hAnsi="Times New Roman;sans-serif"/>
                  <w:b w:val="false"/>
                  <w:strike w:val="false"/>
                  <w:dstrike w:val="false"/>
                  <w:color w:val="242424"/>
                  <w:sz w:val="20"/>
                  <w:u w:val="none"/>
                  <w:effect w:val="none"/>
                </w:rPr>
                <w:t>Item 5.</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37">
              <w:r>
                <w:rPr>
                  <w:rStyle w:val="InternetLink"/>
                  <w:rFonts w:ascii="Times New Roman;sans-serif" w:hAnsi="Times New Roman;sans-serif"/>
                  <w:b w:val="false"/>
                  <w:strike w:val="false"/>
                  <w:dstrike w:val="false"/>
                  <w:color w:val="242424"/>
                  <w:sz w:val="20"/>
                  <w:u w:val="none"/>
                  <w:effect w:val="none"/>
                </w:rPr>
                <w:t>Market for Registrant’s Common Equity, Related Shareholder Matters and Issuer Purchases of Equity Securities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37">
              <w:r>
                <w:rPr>
                  <w:rStyle w:val="InternetLink"/>
                  <w:rFonts w:ascii="Times New Roman;sans-serif" w:hAnsi="Times New Roman;sans-serif"/>
                  <w:b w:val="false"/>
                  <w:strike w:val="false"/>
                  <w:dstrike w:val="false"/>
                  <w:color w:val="1335FF"/>
                  <w:sz w:val="20"/>
                  <w:u w:val="none"/>
                  <w:effect w:val="none"/>
                </w:rPr>
                <w:t>42</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Item 6.</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Reserved</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40">
              <w:r>
                <w:rPr>
                  <w:rStyle w:val="InternetLink"/>
                  <w:rFonts w:ascii="Times New Roman;sans-serif" w:hAnsi="Times New Roman;sans-serif"/>
                  <w:b w:val="false"/>
                  <w:strike w:val="false"/>
                  <w:dstrike w:val="false"/>
                  <w:color w:val="1335FF"/>
                  <w:sz w:val="20"/>
                  <w:u w:val="none"/>
                  <w:effect w:val="none"/>
                </w:rPr>
                <w:t>44</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43">
              <w:r>
                <w:rPr>
                  <w:rStyle w:val="InternetLink"/>
                  <w:rFonts w:ascii="Times New Roman;sans-serif" w:hAnsi="Times New Roman;sans-serif"/>
                  <w:b w:val="false"/>
                  <w:strike w:val="false"/>
                  <w:dstrike w:val="false"/>
                  <w:color w:val="242424"/>
                  <w:sz w:val="20"/>
                  <w:u w:val="none"/>
                  <w:effect w:val="none"/>
                </w:rPr>
                <w:t>Item 7.</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43">
              <w:r>
                <w:rPr>
                  <w:rStyle w:val="InternetLink"/>
                  <w:rFonts w:ascii="Times New Roman;sans-serif" w:hAnsi="Times New Roman;sans-serif"/>
                  <w:b w:val="false"/>
                  <w:strike w:val="false"/>
                  <w:dstrike w:val="false"/>
                  <w:color w:val="242424"/>
                  <w:sz w:val="20"/>
                  <w:u w:val="none"/>
                  <w:effect w:val="none"/>
                </w:rPr>
                <w:t>Management’s Discussion and Analysis of Financial Condition and Results of Operations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43">
              <w:r>
                <w:rPr>
                  <w:rStyle w:val="InternetLink"/>
                  <w:rFonts w:ascii="Times New Roman;sans-serif" w:hAnsi="Times New Roman;sans-serif"/>
                  <w:b w:val="false"/>
                  <w:strike w:val="false"/>
                  <w:dstrike w:val="false"/>
                  <w:color w:val="1335FF"/>
                  <w:sz w:val="20"/>
                  <w:u w:val="none"/>
                  <w:effect w:val="none"/>
                </w:rPr>
                <w:t>45</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46">
              <w:r>
                <w:rPr>
                  <w:rStyle w:val="InternetLink"/>
                  <w:rFonts w:ascii="Times New Roman;sans-serif" w:hAnsi="Times New Roman;sans-serif"/>
                  <w:b w:val="false"/>
                  <w:strike w:val="false"/>
                  <w:dstrike w:val="false"/>
                  <w:color w:val="242424"/>
                  <w:sz w:val="20"/>
                  <w:u w:val="none"/>
                  <w:effect w:val="none"/>
                </w:rPr>
                <w:t>Item 7A.</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46">
              <w:r>
                <w:rPr>
                  <w:rStyle w:val="InternetLink"/>
                  <w:rFonts w:ascii="Times New Roman;sans-serif" w:hAnsi="Times New Roman;sans-serif"/>
                  <w:b w:val="false"/>
                  <w:strike w:val="false"/>
                  <w:dstrike w:val="false"/>
                  <w:color w:val="242424"/>
                  <w:sz w:val="20"/>
                  <w:u w:val="none"/>
                  <w:effect w:val="none"/>
                </w:rPr>
                <w:t>Quantitative and Qualitative Disclosures About Market Risk</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46">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49">
              <w:r>
                <w:rPr>
                  <w:rStyle w:val="InternetLink"/>
                  <w:rFonts w:ascii="Times New Roman;sans-serif" w:hAnsi="Times New Roman;sans-serif"/>
                  <w:b w:val="false"/>
                  <w:strike w:val="false"/>
                  <w:dstrike w:val="false"/>
                  <w:color w:val="242424"/>
                  <w:sz w:val="20"/>
                  <w:u w:val="none"/>
                  <w:effect w:val="none"/>
                </w:rPr>
                <w:t>Item 8.</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49">
              <w:r>
                <w:rPr>
                  <w:rStyle w:val="InternetLink"/>
                  <w:rFonts w:ascii="Times New Roman;sans-serif" w:hAnsi="Times New Roman;sans-serif"/>
                  <w:b w:val="false"/>
                  <w:strike w:val="false"/>
                  <w:dstrike w:val="false"/>
                  <w:color w:val="242424"/>
                  <w:sz w:val="20"/>
                  <w:u w:val="none"/>
                  <w:effect w:val="none"/>
                </w:rPr>
                <w:t>Financial Statements and Supplementary Data</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49">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2">
              <w:r>
                <w:rPr>
                  <w:rStyle w:val="InternetLink"/>
                  <w:rFonts w:ascii="Times New Roman;sans-serif" w:hAnsi="Times New Roman;sans-serif"/>
                  <w:b w:val="false"/>
                  <w:strike w:val="false"/>
                  <w:dstrike w:val="false"/>
                  <w:color w:val="242424"/>
                  <w:sz w:val="20"/>
                  <w:u w:val="none"/>
                  <w:effect w:val="none"/>
                </w:rPr>
                <w:t>Item 9.</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2">
              <w:r>
                <w:rPr>
                  <w:rStyle w:val="InternetLink"/>
                  <w:rFonts w:ascii="Times New Roman;sans-serif" w:hAnsi="Times New Roman;sans-serif"/>
                  <w:b w:val="false"/>
                  <w:strike w:val="false"/>
                  <w:dstrike w:val="false"/>
                  <w:color w:val="242424"/>
                  <w:sz w:val="20"/>
                  <w:u w:val="none"/>
                  <w:effect w:val="none"/>
                </w:rPr>
                <w:t>Changes in and Disagreements with Accountants on Accounting and Financial Disclosure</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52">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5">
              <w:r>
                <w:rPr>
                  <w:rStyle w:val="InternetLink"/>
                  <w:rFonts w:ascii="Times New Roman;sans-serif" w:hAnsi="Times New Roman;sans-serif"/>
                  <w:b w:val="false"/>
                  <w:strike w:val="false"/>
                  <w:dstrike w:val="false"/>
                  <w:color w:val="242424"/>
                  <w:sz w:val="20"/>
                  <w:u w:val="none"/>
                  <w:effect w:val="none"/>
                </w:rPr>
                <w:t>Item 9A.</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5">
              <w:r>
                <w:rPr>
                  <w:rStyle w:val="InternetLink"/>
                  <w:rFonts w:ascii="Times New Roman;sans-serif" w:hAnsi="Times New Roman;sans-serif"/>
                  <w:b w:val="false"/>
                  <w:strike w:val="false"/>
                  <w:dstrike w:val="false"/>
                  <w:color w:val="242424"/>
                  <w:sz w:val="20"/>
                  <w:u w:val="none"/>
                  <w:effect w:val="none"/>
                </w:rPr>
                <w:t>Controls and Procedures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55">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8">
              <w:r>
                <w:rPr>
                  <w:rStyle w:val="InternetLink"/>
                  <w:rFonts w:ascii="Times New Roman;sans-serif" w:hAnsi="Times New Roman;sans-serif"/>
                  <w:b w:val="false"/>
                  <w:strike w:val="false"/>
                  <w:dstrike w:val="false"/>
                  <w:color w:val="242424"/>
                  <w:sz w:val="20"/>
                  <w:u w:val="none"/>
                  <w:effect w:val="none"/>
                </w:rPr>
                <w:t>Item 9B.</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8">
              <w:r>
                <w:rPr>
                  <w:rStyle w:val="InternetLink"/>
                  <w:rFonts w:ascii="Times New Roman;sans-serif" w:hAnsi="Times New Roman;sans-serif"/>
                  <w:b w:val="false"/>
                  <w:strike w:val="false"/>
                  <w:dstrike w:val="false"/>
                  <w:color w:val="242424"/>
                  <w:sz w:val="20"/>
                  <w:u w:val="none"/>
                  <w:effect w:val="none"/>
                </w:rPr>
                <w:t>Other Information</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58">
              <w:r>
                <w:rPr>
                  <w:rStyle w:val="InternetLink"/>
                  <w:rFonts w:ascii="Times New Roman;sans-serif" w:hAnsi="Times New Roman;sans-serif"/>
                  <w:b w:val="false"/>
                  <w:strike w:val="false"/>
                  <w:dstrike w:val="false"/>
                  <w:color w:val="1335FF"/>
                  <w:sz w:val="20"/>
                  <w:u w:val="none"/>
                  <w:effect w:val="none"/>
                </w:rPr>
                <w:t>61</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58">
              <w:r>
                <w:rPr>
                  <w:rStyle w:val="InternetLink"/>
                  <w:rFonts w:ascii="Times New Roman;sans-serif" w:hAnsi="Times New Roman;sans-serif"/>
                  <w:b w:val="false"/>
                  <w:strike w:val="false"/>
                  <w:dstrike w:val="false"/>
                  <w:color w:val="000080"/>
                  <w:sz w:val="20"/>
                  <w:u w:val="single"/>
                  <w:effect w:val="none"/>
                </w:rPr>
                <w:t>Item 9</w:t>
              </w:r>
            </w:hyperlink>
            <w:hyperlink w:anchor="i0a503029439d4eba85706c7991df9aca_58">
              <w:r>
                <w:rPr>
                  <w:rStyle w:val="InternetLink"/>
                  <w:rFonts w:ascii="Times New Roman;sans-serif" w:hAnsi="Times New Roman;sans-serif"/>
                  <w:b w:val="false"/>
                  <w:strike w:val="false"/>
                  <w:dstrike w:val="false"/>
                  <w:color w:val="000080"/>
                  <w:sz w:val="20"/>
                  <w:u w:val="single"/>
                  <w:effect w:val="none"/>
                </w:rPr>
                <w:t>C</w:t>
              </w:r>
            </w:hyperlink>
            <w:hyperlink w:anchor="i0a503029439d4eba85706c7991df9aca_58">
              <w:r>
                <w:rPr>
                  <w:rStyle w:val="InternetLink"/>
                  <w:rFonts w:ascii="Times New Roman;sans-serif" w:hAnsi="Times New Roman;sans-serif"/>
                  <w:b w:val="false"/>
                  <w:strike w:val="false"/>
                  <w:dstrike w:val="false"/>
                  <w:color w:val="000080"/>
                  <w:sz w:val="20"/>
                  <w:u w:val="single"/>
                  <w:effect w:val="none"/>
                </w:rPr>
                <w:t>.</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Disclosure Regarding Foreign Jurisdictions that Prevent Inspections</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58">
              <w:r>
                <w:rPr>
                  <w:rStyle w:val="InternetLink"/>
                  <w:rFonts w:ascii="Times New Roman;sans-serif" w:hAnsi="Times New Roman;sans-serif"/>
                  <w:b w:val="false"/>
                  <w:strike w:val="false"/>
                  <w:dstrike w:val="false"/>
                  <w:color w:val="1335FF"/>
                  <w:sz w:val="20"/>
                  <w:u w:val="none"/>
                  <w:effect w:val="none"/>
                </w:rPr>
                <w:t>61</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64">
              <w:r>
                <w:rPr>
                  <w:rStyle w:val="InternetLink"/>
                  <w:rFonts w:ascii="Times New Roman;sans-serif" w:hAnsi="Times New Roman;sans-serif"/>
                  <w:b w:val="false"/>
                  <w:strike w:val="false"/>
                  <w:dstrike w:val="false"/>
                  <w:color w:val="242424"/>
                  <w:sz w:val="20"/>
                  <w:u w:val="none"/>
                  <w:effect w:val="none"/>
                </w:rPr>
                <w:t>PART III</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67">
              <w:r>
                <w:rPr>
                  <w:rStyle w:val="InternetLink"/>
                  <w:rFonts w:ascii="Times New Roman;sans-serif" w:hAnsi="Times New Roman;sans-serif"/>
                  <w:b w:val="false"/>
                  <w:strike w:val="false"/>
                  <w:dstrike w:val="false"/>
                  <w:color w:val="242424"/>
                  <w:sz w:val="20"/>
                  <w:u w:val="none"/>
                  <w:effect w:val="none"/>
                </w:rPr>
                <w:t>Item 10.</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67">
              <w:r>
                <w:rPr>
                  <w:rStyle w:val="InternetLink"/>
                  <w:rFonts w:ascii="Times New Roman;sans-serif" w:hAnsi="Times New Roman;sans-serif"/>
                  <w:b w:val="false"/>
                  <w:strike w:val="false"/>
                  <w:dstrike w:val="false"/>
                  <w:color w:val="242424"/>
                  <w:sz w:val="20"/>
                  <w:u w:val="none"/>
                  <w:effect w:val="none"/>
                </w:rPr>
                <w:t>Directors, Executive Officers and Corporate Governance</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67">
              <w:r>
                <w:rPr>
                  <w:rStyle w:val="InternetLink"/>
                  <w:rFonts w:ascii="Times New Roman;sans-serif" w:hAnsi="Times New Roman;sans-serif"/>
                  <w:b w:val="false"/>
                  <w:strike w:val="false"/>
                  <w:dstrike w:val="false"/>
                  <w:color w:val="1335FF"/>
                  <w:sz w:val="20"/>
                  <w:u w:val="none"/>
                  <w:effect w:val="none"/>
                </w:rPr>
                <w:t>62</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0">
              <w:r>
                <w:rPr>
                  <w:rStyle w:val="InternetLink"/>
                  <w:rFonts w:ascii="Times New Roman;sans-serif" w:hAnsi="Times New Roman;sans-serif"/>
                  <w:b w:val="false"/>
                  <w:strike w:val="false"/>
                  <w:dstrike w:val="false"/>
                  <w:color w:val="242424"/>
                  <w:sz w:val="20"/>
                  <w:u w:val="none"/>
                  <w:effect w:val="none"/>
                </w:rPr>
                <w:t>Item 11.</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0">
              <w:r>
                <w:rPr>
                  <w:rStyle w:val="InternetLink"/>
                  <w:rFonts w:ascii="Times New Roman;sans-serif" w:hAnsi="Times New Roman;sans-serif"/>
                  <w:b w:val="false"/>
                  <w:strike w:val="false"/>
                  <w:dstrike w:val="false"/>
                  <w:color w:val="242424"/>
                  <w:sz w:val="20"/>
                  <w:u w:val="none"/>
                  <w:effect w:val="none"/>
                </w:rPr>
                <w:t>Executive Compensation</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70">
              <w:r>
                <w:rPr>
                  <w:rStyle w:val="InternetLink"/>
                  <w:rFonts w:ascii="Times New Roman;sans-serif" w:hAnsi="Times New Roman;sans-serif"/>
                  <w:b w:val="false"/>
                  <w:strike w:val="false"/>
                  <w:dstrike w:val="false"/>
                  <w:color w:val="1335FF"/>
                  <w:sz w:val="20"/>
                  <w:u w:val="none"/>
                  <w:effect w:val="none"/>
                </w:rPr>
                <w:t>62</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3">
              <w:r>
                <w:rPr>
                  <w:rStyle w:val="InternetLink"/>
                  <w:rFonts w:ascii="Times New Roman;sans-serif" w:hAnsi="Times New Roman;sans-serif"/>
                  <w:b w:val="false"/>
                  <w:strike w:val="false"/>
                  <w:dstrike w:val="false"/>
                  <w:color w:val="242424"/>
                  <w:sz w:val="20"/>
                  <w:u w:val="none"/>
                  <w:effect w:val="none"/>
                </w:rPr>
                <w:t>Item 12.</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3">
              <w:r>
                <w:rPr>
                  <w:rStyle w:val="InternetLink"/>
                  <w:rFonts w:ascii="Times New Roman;sans-serif" w:hAnsi="Times New Roman;sans-serif"/>
                  <w:b w:val="false"/>
                  <w:strike w:val="false"/>
                  <w:dstrike w:val="false"/>
                  <w:color w:val="242424"/>
                  <w:sz w:val="20"/>
                  <w:u w:val="none"/>
                  <w:effect w:val="none"/>
                </w:rPr>
                <w:t>Security Ownership of Certain Beneficial Owners and Management and Related Shareholder Matters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73">
              <w:r>
                <w:rPr>
                  <w:rStyle w:val="InternetLink"/>
                  <w:rFonts w:ascii="Times New Roman;sans-serif" w:hAnsi="Times New Roman;sans-serif"/>
                  <w:b w:val="false"/>
                  <w:strike w:val="false"/>
                  <w:dstrike w:val="false"/>
                  <w:color w:val="1335FF"/>
                  <w:sz w:val="20"/>
                  <w:u w:val="none"/>
                  <w:effect w:val="none"/>
                </w:rPr>
                <w:t>62</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6">
              <w:r>
                <w:rPr>
                  <w:rStyle w:val="InternetLink"/>
                  <w:rFonts w:ascii="Times New Roman;sans-serif" w:hAnsi="Times New Roman;sans-serif"/>
                  <w:b w:val="false"/>
                  <w:strike w:val="false"/>
                  <w:dstrike w:val="false"/>
                  <w:color w:val="242424"/>
                  <w:sz w:val="20"/>
                  <w:u w:val="none"/>
                  <w:effect w:val="none"/>
                </w:rPr>
                <w:t>Item 13.</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6">
              <w:r>
                <w:rPr>
                  <w:rStyle w:val="InternetLink"/>
                  <w:rFonts w:ascii="Times New Roman;sans-serif" w:hAnsi="Times New Roman;sans-serif"/>
                  <w:b w:val="false"/>
                  <w:strike w:val="false"/>
                  <w:dstrike w:val="false"/>
                  <w:color w:val="242424"/>
                  <w:sz w:val="20"/>
                  <w:u w:val="none"/>
                  <w:effect w:val="none"/>
                </w:rPr>
                <w:t>Certain Relationships and Related Transactions, and Director Independence</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76">
              <w:r>
                <w:rPr>
                  <w:rStyle w:val="InternetLink"/>
                  <w:rFonts w:ascii="Times New Roman;sans-serif" w:hAnsi="Times New Roman;sans-serif"/>
                  <w:b w:val="false"/>
                  <w:strike w:val="false"/>
                  <w:dstrike w:val="false"/>
                  <w:color w:val="1335FF"/>
                  <w:sz w:val="20"/>
                  <w:u w:val="none"/>
                  <w:effect w:val="none"/>
                </w:rPr>
                <w:t>62</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9">
              <w:r>
                <w:rPr>
                  <w:rStyle w:val="InternetLink"/>
                  <w:rFonts w:ascii="Times New Roman;sans-serif" w:hAnsi="Times New Roman;sans-serif"/>
                  <w:b w:val="false"/>
                  <w:strike w:val="false"/>
                  <w:dstrike w:val="false"/>
                  <w:color w:val="242424"/>
                  <w:sz w:val="20"/>
                  <w:u w:val="none"/>
                  <w:effect w:val="none"/>
                </w:rPr>
                <w:t>Item 14.</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79">
              <w:r>
                <w:rPr>
                  <w:rStyle w:val="InternetLink"/>
                  <w:rFonts w:ascii="Times New Roman;sans-serif" w:hAnsi="Times New Roman;sans-serif"/>
                  <w:b w:val="false"/>
                  <w:strike w:val="false"/>
                  <w:dstrike w:val="false"/>
                  <w:color w:val="242424"/>
                  <w:sz w:val="20"/>
                  <w:u w:val="none"/>
                  <w:effect w:val="none"/>
                </w:rPr>
                <w:t>Principal Accounting Fees and Services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79">
              <w:r>
                <w:rPr>
                  <w:rStyle w:val="InternetLink"/>
                  <w:rFonts w:ascii="Times New Roman;sans-serif" w:hAnsi="Times New Roman;sans-serif"/>
                  <w:b w:val="false"/>
                  <w:strike w:val="false"/>
                  <w:dstrike w:val="false"/>
                  <w:color w:val="1335FF"/>
                  <w:sz w:val="20"/>
                  <w:u w:val="none"/>
                  <w:effect w:val="none"/>
                </w:rPr>
                <w:t>62</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82">
              <w:r>
                <w:rPr>
                  <w:rStyle w:val="InternetLink"/>
                  <w:rFonts w:ascii="Times New Roman;sans-serif" w:hAnsi="Times New Roman;sans-serif"/>
                  <w:b w:val="false"/>
                  <w:strike w:val="false"/>
                  <w:dstrike w:val="false"/>
                  <w:color w:val="242424"/>
                  <w:sz w:val="20"/>
                  <w:u w:val="none"/>
                  <w:effect w:val="none"/>
                </w:rPr>
                <w:t>PART IV</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85">
              <w:r>
                <w:rPr>
                  <w:rStyle w:val="InternetLink"/>
                  <w:rFonts w:ascii="Times New Roman;sans-serif" w:hAnsi="Times New Roman;sans-serif"/>
                  <w:b w:val="false"/>
                  <w:strike w:val="false"/>
                  <w:dstrike w:val="false"/>
                  <w:color w:val="242424"/>
                  <w:sz w:val="20"/>
                  <w:u w:val="none"/>
                  <w:effect w:val="none"/>
                </w:rPr>
                <w:t>Item 15.</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85">
              <w:r>
                <w:rPr>
                  <w:rStyle w:val="InternetLink"/>
                  <w:rFonts w:ascii="Times New Roman;sans-serif" w:hAnsi="Times New Roman;sans-serif"/>
                  <w:b w:val="false"/>
                  <w:strike w:val="false"/>
                  <w:dstrike w:val="false"/>
                  <w:color w:val="242424"/>
                  <w:sz w:val="20"/>
                  <w:u w:val="none"/>
                  <w:effect w:val="none"/>
                </w:rPr>
                <w:t>Exhibits, Financial Statement Schedules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85">
              <w:r>
                <w:rPr>
                  <w:rStyle w:val="InternetLink"/>
                  <w:rFonts w:ascii="Times New Roman;sans-serif" w:hAnsi="Times New Roman;sans-serif"/>
                  <w:b w:val="false"/>
                  <w:strike w:val="false"/>
                  <w:dstrike w:val="false"/>
                  <w:color w:val="1335FF"/>
                  <w:sz w:val="20"/>
                  <w:u w:val="none"/>
                  <w:effect w:val="none"/>
                </w:rPr>
                <w:t>63</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88">
              <w:r>
                <w:rPr>
                  <w:rStyle w:val="InternetLink"/>
                  <w:rFonts w:ascii="Times New Roman;sans-serif" w:hAnsi="Times New Roman;sans-serif"/>
                  <w:b w:val="false"/>
                  <w:strike w:val="false"/>
                  <w:dstrike w:val="false"/>
                  <w:color w:val="242424"/>
                  <w:sz w:val="20"/>
                  <w:u w:val="none"/>
                  <w:effect w:val="none"/>
                </w:rPr>
                <w:t>Item 16.</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88">
              <w:r>
                <w:rPr>
                  <w:rStyle w:val="InternetLink"/>
                  <w:rFonts w:ascii="Times New Roman;sans-serif" w:hAnsi="Times New Roman;sans-serif"/>
                  <w:b w:val="false"/>
                  <w:strike w:val="false"/>
                  <w:dstrike w:val="false"/>
                  <w:color w:val="242424"/>
                  <w:sz w:val="20"/>
                  <w:u w:val="none"/>
                  <w:effect w:val="none"/>
                </w:rPr>
                <w:t>Form 10-K Summary</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88">
              <w:r>
                <w:rPr>
                  <w:rStyle w:val="InternetLink"/>
                  <w:rFonts w:ascii="Times New Roman;sans-serif" w:hAnsi="Times New Roman;sans-serif"/>
                  <w:b w:val="false"/>
                  <w:strike w:val="false"/>
                  <w:dstrike w:val="false"/>
                  <w:color w:val="1335FF"/>
                  <w:sz w:val="20"/>
                  <w:u w:val="none"/>
                  <w:effect w:val="none"/>
                </w:rPr>
                <w:t>66</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94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91">
              <w:r>
                <w:rPr>
                  <w:rStyle w:val="InternetLink"/>
                  <w:rFonts w:ascii="Times New Roman;sans-serif" w:hAnsi="Times New Roman;sans-serif"/>
                  <w:b w:val="false"/>
                  <w:strike w:val="false"/>
                  <w:dstrike w:val="false"/>
                  <w:color w:val="242424"/>
                  <w:sz w:val="20"/>
                  <w:u w:val="none"/>
                  <w:effect w:val="none"/>
                </w:rPr>
                <w:t>SIGNATURES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91">
              <w:r>
                <w:rPr>
                  <w:rStyle w:val="InternetLink"/>
                  <w:rFonts w:ascii="Times New Roman;sans-serif" w:hAnsi="Times New Roman;sans-serif"/>
                  <w:b w:val="false"/>
                  <w:strike w:val="false"/>
                  <w:dstrike w:val="false"/>
                  <w:color w:val="1335FF"/>
                  <w:sz w:val="20"/>
                  <w:u w:val="none"/>
                  <w:effect w:val="none"/>
                </w:rPr>
                <w:t>67</w:t>
              </w:r>
            </w:hyperlink>
          </w:p>
        </w:tc>
      </w:tr>
      <w:tr>
        <w:trPr/>
        <w:tc>
          <w:tcPr>
            <w:tcW w:w="940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94">
              <w:r>
                <w:rPr>
                  <w:rStyle w:val="InternetLink"/>
                  <w:rFonts w:ascii="Times New Roman;sans-serif" w:hAnsi="Times New Roman;sans-serif"/>
                  <w:b w:val="false"/>
                  <w:strike w:val="false"/>
                  <w:dstrike w:val="false"/>
                  <w:color w:val="242424"/>
                  <w:sz w:val="20"/>
                  <w:u w:val="none"/>
                  <w:effect w:val="none"/>
                </w:rPr>
                <w:t>INDEX TO CONSOLIDATED FINANCIAL STATEMENTS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94">
              <w:r>
                <w:rPr>
                  <w:rStyle w:val="InternetLink"/>
                  <w:rFonts w:ascii="Times New Roman;sans-serif" w:hAnsi="Times New Roman;sans-serif"/>
                  <w:b w:val="false"/>
                  <w:strike w:val="false"/>
                  <w:dstrike w:val="false"/>
                  <w:color w:val="1335FF"/>
                  <w:sz w:val="20"/>
                  <w:u w:val="none"/>
                  <w:effect w:val="none"/>
                </w:rPr>
                <w:t>68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annual report on Form 10-K (annual report) contains</w:t>
      </w:r>
      <w:r>
        <w:rPr>
          <w:color w:val="000000"/>
        </w:rPr>
        <w:t xml:space="preserve"> </w:t>
      </w:r>
      <w:r>
        <w:rPr>
          <w:rFonts w:ascii="Times New Roman;sans-serif" w:hAnsi="Times New Roman;sans-serif"/>
          <w:b w:val="false"/>
          <w:i/>
          <w:color w:val="000000"/>
          <w:sz w:val="20"/>
        </w:rPr>
        <w:t>certain</w:t>
      </w:r>
      <w:r>
        <w:rPr>
          <w:color w:val="000000"/>
        </w:rPr>
        <w:t xml:space="preserve"> “</w:t>
      </w:r>
      <w:r>
        <w:rPr>
          <w:rFonts w:ascii="Times New Roman;sans-serif" w:hAnsi="Times New Roman;sans-serif"/>
          <w:b w:val="false"/>
          <w:i/>
          <w:color w:val="000000"/>
          <w:sz w:val="20"/>
        </w:rPr>
        <w:t>forward-looking statements" within the meaning of Section 27A of the Securities Act of 1933</w:t>
      </w:r>
      <w:r>
        <w:rPr>
          <w:color w:val="000000"/>
        </w:rPr>
        <w:t xml:space="preserve"> </w:t>
      </w:r>
      <w:r>
        <w:rPr>
          <w:rFonts w:ascii="Times New Roman;sans-serif" w:hAnsi="Times New Roman;sans-serif"/>
          <w:b w:val="false"/>
          <w:i/>
          <w:color w:val="000000"/>
          <w:sz w:val="20"/>
        </w:rPr>
        <w:t>(the Securities Act)</w:t>
      </w:r>
      <w:r>
        <w:rPr>
          <w:color w:val="000000"/>
        </w:rPr>
        <w:t xml:space="preserve"> </w:t>
      </w:r>
      <w:r>
        <w:rPr>
          <w:rFonts w:ascii="Times New Roman;sans-serif" w:hAnsi="Times New Roman;sans-serif"/>
          <w:b w:val="false"/>
          <w:i/>
          <w:color w:val="000000"/>
          <w:sz w:val="20"/>
        </w:rPr>
        <w:t>and Section 21E of the Securities Exchange Act of 1934 (the Exchange Act).</w:t>
      </w:r>
      <w:r>
        <w:rPr>
          <w:color w:val="000000"/>
        </w:rPr>
        <w:t xml:space="preserve"> </w:t>
      </w:r>
      <w:r>
        <w:rPr>
          <w:rFonts w:ascii="Times New Roman;sans-serif" w:hAnsi="Times New Roman;sans-serif"/>
          <w:b w:val="false"/>
          <w:i/>
          <w:color w:val="000000"/>
          <w:sz w:val="20"/>
        </w:rPr>
        <w:t>Actual results could differ materially from those projected in the forward-looking statements as a result of a number of important factors. For a discussion of known material factors that could affect our results,</w:t>
      </w:r>
      <w:r>
        <w:rPr>
          <w:color w:val="000000"/>
        </w:rPr>
        <w:t xml:space="preserve"> </w:t>
      </w:r>
      <w:r>
        <w:rPr>
          <w:rFonts w:ascii="Times New Roman;sans-serif" w:hAnsi="Times New Roman;sans-serif"/>
          <w:b w:val="false"/>
          <w:i/>
          <w:color w:val="000000"/>
          <w:sz w:val="20"/>
        </w:rPr>
        <w:t>refer to "Cautionary Statement Regarding Forward-Looking Statements" below and</w:t>
      </w:r>
      <w:r>
        <w:rPr>
          <w:color w:val="000000"/>
        </w:rPr>
        <w:t xml:space="preserve"> “</w:t>
      </w:r>
      <w:r>
        <w:rPr>
          <w:rFonts w:ascii="Times New Roman;sans-serif" w:hAnsi="Times New Roman;sans-serif"/>
          <w:b w:val="false"/>
          <w:i/>
          <w:color w:val="000000"/>
          <w:sz w:val="20"/>
        </w:rPr>
        <w:t>Part I, Item 1. Business,” “Part I, Item 1A. Risk Factors,” “Part II, Item 7. Management's Discussion and Analysis of Financial Condition and Results of Operations” and “Part II, Item 7A. Quantitative and Qualitative Disclosures about Market Risk” of this annual report.</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In addition, in certain places in this</w:t>
      </w:r>
      <w:r>
        <w:rPr>
          <w:color w:val="000000"/>
        </w:rPr>
        <w:t xml:space="preserve"> </w:t>
      </w:r>
      <w:r>
        <w:rPr>
          <w:rFonts w:ascii="Times New Roman;sans-serif" w:hAnsi="Times New Roman;sans-serif"/>
          <w:b w:val="false"/>
          <w:i/>
          <w:color w:val="000000"/>
          <w:sz w:val="20"/>
        </w:rPr>
        <w:t>annual</w:t>
      </w:r>
      <w:r>
        <w:rPr>
          <w:color w:val="000000"/>
        </w:rPr>
        <w:t xml:space="preserve"> </w:t>
      </w:r>
      <w:r>
        <w:rPr>
          <w:rFonts w:ascii="Times New Roman;sans-serif" w:hAnsi="Times New Roman;sans-serif"/>
          <w:b w:val="false"/>
          <w:i/>
          <w:color w:val="000000"/>
          <w:sz w:val="20"/>
        </w:rPr>
        <w:t>report, we refer to reports published by third parties that purport to describe trends or developments in the energy industry.</w:t>
      </w:r>
      <w:r>
        <w:rPr>
          <w:color w:val="000000"/>
        </w:rPr>
        <w:t xml:space="preserve"> </w:t>
      </w:r>
      <w:r>
        <w:rPr>
          <w:rFonts w:ascii="Times New Roman;sans-serif" w:hAnsi="Times New Roman;sans-serif"/>
          <w:b w:val="false"/>
          <w:i/>
          <w:color w:val="000000"/>
          <w:sz w:val="20"/>
        </w:rPr>
        <w:t>We do</w:t>
      </w:r>
      <w:r>
        <w:rPr>
          <w:color w:val="000000"/>
        </w:rPr>
        <w:t xml:space="preserve"> </w:t>
      </w:r>
      <w:r>
        <w:rPr>
          <w:rFonts w:ascii="Times New Roman;sans-serif" w:hAnsi="Times New Roman;sans-serif"/>
          <w:b w:val="false"/>
          <w:i/>
          <w:color w:val="000000"/>
          <w:sz w:val="20"/>
        </w:rPr>
        <w:t>so for the convenience of our shareholders and in an effort to provide information available in the market that will assist</w:t>
      </w:r>
      <w:r>
        <w:rPr>
          <w:color w:val="000000"/>
        </w:rPr>
        <w:t xml:space="preserve"> </w:t>
      </w:r>
      <w:r>
        <w:rPr>
          <w:rFonts w:ascii="Times New Roman;sans-serif" w:hAnsi="Times New Roman;sans-serif"/>
          <w:b w:val="false"/>
          <w:i/>
          <w:color w:val="000000"/>
          <w:sz w:val="20"/>
        </w:rPr>
        <w:t>our</w:t>
      </w:r>
      <w:r>
        <w:rPr>
          <w:color w:val="000000"/>
        </w:rPr>
        <w:t xml:space="preserve"> </w:t>
      </w:r>
      <w:r>
        <w:rPr>
          <w:rFonts w:ascii="Times New Roman;sans-serif" w:hAnsi="Times New Roman;sans-serif"/>
          <w:b w:val="false"/>
          <w:i/>
          <w:color w:val="000000"/>
          <w:sz w:val="20"/>
        </w:rPr>
        <w:t>investors in a better understanding of the market environment in which</w:t>
      </w:r>
      <w:r>
        <w:rPr>
          <w:color w:val="000000"/>
        </w:rPr>
        <w:t xml:space="preserve"> </w:t>
      </w:r>
      <w:r>
        <w:rPr>
          <w:rFonts w:ascii="Times New Roman;sans-serif" w:hAnsi="Times New Roman;sans-serif"/>
          <w:b w:val="false"/>
          <w:i/>
          <w:color w:val="000000"/>
          <w:sz w:val="20"/>
        </w:rPr>
        <w:t>we</w:t>
      </w:r>
      <w:r>
        <w:rPr>
          <w:color w:val="000000"/>
        </w:rPr>
        <w:t xml:space="preserve"> </w:t>
      </w:r>
      <w:r>
        <w:rPr>
          <w:rFonts w:ascii="Times New Roman;sans-serif" w:hAnsi="Times New Roman;sans-serif"/>
          <w:b w:val="false"/>
          <w:i/>
          <w:color w:val="000000"/>
          <w:sz w:val="20"/>
        </w:rPr>
        <w:t>operate. However,</w:t>
      </w:r>
      <w:r>
        <w:rPr>
          <w:color w:val="000000"/>
        </w:rPr>
        <w:t xml:space="preserve"> </w:t>
      </w:r>
      <w:r>
        <w:rPr>
          <w:rFonts w:ascii="Times New Roman;sans-serif" w:hAnsi="Times New Roman;sans-serif"/>
          <w:b w:val="false"/>
          <w:i/>
          <w:color w:val="000000"/>
          <w:sz w:val="20"/>
        </w:rPr>
        <w:t>we</w:t>
      </w:r>
      <w:r>
        <w:rPr>
          <w:color w:val="000000"/>
        </w:rPr>
        <w:t xml:space="preserve"> </w:t>
      </w:r>
      <w:r>
        <w:rPr>
          <w:rFonts w:ascii="Times New Roman;sans-serif" w:hAnsi="Times New Roman;sans-serif"/>
          <w:b w:val="false"/>
          <w:i/>
          <w:color w:val="000000"/>
          <w:sz w:val="20"/>
        </w:rPr>
        <w:t>specifically disclaim any responsibility for the accuracy and completeness of such information and undertake</w:t>
      </w:r>
      <w:r>
        <w:rPr>
          <w:color w:val="000000"/>
        </w:rPr>
        <w:t xml:space="preserve"> </w:t>
      </w:r>
      <w:r>
        <w:rPr>
          <w:rFonts w:ascii="Times New Roman;sans-serif" w:hAnsi="Times New Roman;sans-serif"/>
          <w:b w:val="false"/>
          <w:i/>
          <w:color w:val="000000"/>
          <w:sz w:val="20"/>
        </w:rPr>
        <w:t>no obligation to update such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Cautionary Statement Regarding Forward-Looking Statements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supply and demand for oil, metallurgical coal, natural gas, iron ore and other minerals;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activity, spending and natural resource development in Canada and Australia;</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level of demand, particularly from China, for coal and other natural resources from Australia;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attractive natural resource projects and assets, which may be affected by governmental actions, including changes in royalty or tax regimes, or environmental activists which may restrict drilling or development;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the current and future prices of oil, coal, natural gas, iron ore and other minerals;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currency exchange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global economic conditions, such as the pace of global economic growth, a general slowdown in the global economy, supply chain disruptions, inflationary pressures and geopolitical events such as the ongoing Russia/Ukraine and Israel/Hamas conflicts;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tax laws, tax treaties or tax regulations or the interpretation or enforcement thereof, including taxing authorities not agreeing with our assessment of the effects of such laws, treaties and regulations;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to government and environmental regulations, including climate change legislation and clean energy policies;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weather conditions, natural disasters, global health concerns, and security threats, including cybersecurity incidents;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hire and retain skilled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and cost of capital, including the ability to access the debt and equity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capital structure and our ability to return cash to shareholders through dividends or common share repurchases;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integrate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development of new projects, including whether such projects will continue in the future;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identified in Item 1A. - "Risk Factors" of this annual report.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Such risks and uncertainties are beyond our ability to control, and in many cases, we cannot predict the risks and uncertainties that could cause our actual results to differ materially from those indicated by the forward-looking statements.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firstLine="54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w:t>
      </w:r>
      <w:r>
        <w:rPr>
          <w:color w:val="000000"/>
        </w:rPr>
        <w:t xml:space="preserve"> </w:t>
      </w:r>
      <w:r>
        <w:rPr>
          <w:rFonts w:ascii="Times New Roman;sans-serif" w:hAnsi="Times New Roman;sans-serif"/>
          <w:b/>
          <w:i/>
          <w:color w:val="000000"/>
          <w:sz w:val="20"/>
        </w:rPr>
        <w:t>Business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suite of hospitality services for our guests in the natural resources industry,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manufacturing management and site construction, along with providing hospitality services once the facility is constructed.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operate in some of the world’s most active oil, metallurgical (met) coal, liquefied natural gas (LNG) and iron ore producing regions, where, in many cases, traditional accommodations and related infrastructure often are not accessible, sufficient or cost effective. Our customers include major and independent oil companies, mining companies, engineering companies and oilfield and mining service companies. Our extensive suite of services enables us to meet the unique needs of each of our customers, while providing comfortable accommodations for their employees. Our customers are able to outsource their accommodations needs to a single supplier, maintaining employee welfare and satisfaction while focusing their investment on their core resource production efforts.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is built on the foundation of the following core values: Safety, Respect,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 We take an active role working to minimize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gray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hospitality services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assets is well-suited to support this initial exploratory stage as customers evaluate their development and construction plans. As development of the resource begins, we are able to serve their needs through either: (i) our fleet of mobile assets, particularly for shorter term projects such as pipeline construction and seasonal drilling programs, (ii) our scalable lodge or village model, or (iii) our integrated services model in customer-owned facilities. As projects grow and headcount needs increase, we are able to meet our customers growing needs at our accommodation facilities or with our hospitality services. By providing infrastructure support and hospitality services early in the project lifecycle, we are well positioned to continue to service our customers throughout the production phase, which typically lasts decades.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24 lodges and villages with approximately 26,000 rooms. We operate approximately 14,200 rooms owned by our customers. Additionally, in Canada, we also offer a fleet of mobile assets which serve shorter term projects, such as pipeline construction. We have long-standing relationships with many of our customers, many of whom are, or are affiliates of, large, investment-grade energy and mining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we generated $700.8 million, $697.1 million and $594.5 million in revenues and $39.5 million, $17.0 million and $6.1 million in operating income, respectively. The majority of our operations, assets and income are derived from the hospitality services provided at lodges and villages we own that have historically been contracted by our customers under multi-year, take-or-pay or exclusivity contracts. The hospitality services we provide at these facilities generated 63% of our revenue for the year ended December 31, 2023. Important performance metrics include revenue related to our major properties, average daily rates and aggregate billed rooms. The table below summarizes these key statistics for the periods presented in this annual report.  </w:t>
      </w:r>
    </w:p>
    <w:tbl>
      <w:tblPr>
        <w:tblW w:w="8422" w:type="dxa"/>
        <w:jc w:val="center"/>
        <w:tblInd w:w="0" w:type="dxa"/>
        <w:tblLayout w:type="fixed"/>
        <w:tblCellMar>
          <w:top w:w="28" w:type="dxa"/>
          <w:left w:w="28" w:type="dxa"/>
          <w:bottom w:w="28" w:type="dxa"/>
          <w:right w:w="28" w:type="dxa"/>
        </w:tblCellMar>
      </w:tblPr>
      <w:tblGrid>
        <w:gridCol w:w="1283"/>
        <w:gridCol w:w="1127"/>
        <w:gridCol w:w="1130"/>
        <w:gridCol w:w="250"/>
        <w:gridCol w:w="941"/>
        <w:gridCol w:w="139"/>
        <w:gridCol w:w="139"/>
        <w:gridCol w:w="139"/>
        <w:gridCol w:w="139"/>
        <w:gridCol w:w="250"/>
        <w:gridCol w:w="941"/>
        <w:gridCol w:w="139"/>
        <w:gridCol w:w="139"/>
        <w:gridCol w:w="139"/>
        <w:gridCol w:w="139"/>
        <w:gridCol w:w="250"/>
        <w:gridCol w:w="941"/>
        <w:gridCol w:w="197"/>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room counts and average daily rate)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Accommodation Revenue </w:t>
            </w:r>
            <w:r>
              <w:rPr>
                <w:rFonts w:ascii="Times New Roman;sans-serif" w:hAnsi="Times New Roman;sans-serif"/>
                <w:b w:val="false"/>
                <w:color w:val="000000"/>
                <w:sz w:val="12"/>
              </w:rPr>
              <w:t xml:space="preserve">(1) </w:t>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Accommodation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455,965 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435,227 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390,298 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Mobile Facility Rental Revenue </w:t>
            </w:r>
            <w:r>
              <w:rPr>
                <w:rFonts w:ascii="Times New Roman;sans-serif" w:hAnsi="Times New Roman;sans-serif"/>
                <w:b w:val="false"/>
                <w:color w:val="000000"/>
                <w:sz w:val="12"/>
              </w:rPr>
              <w:t>(2)</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Mobile Facility Rental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61,899 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Food Service and Other Services Revenue </w:t>
            </w:r>
            <w:r>
              <w:rPr>
                <w:rFonts w:ascii="Times New Roman;sans-serif" w:hAnsi="Times New Roman;sans-serif"/>
                <w:b w:val="false"/>
                <w:color w:val="000000"/>
                <w:sz w:val="12"/>
              </w:rPr>
              <w:t>(3)</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Food Service and Other Services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182,941 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145,770 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124,785 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Manufacturing Revenue </w:t>
            </w:r>
            <w:r>
              <w:rPr>
                <w:rFonts w:ascii="Times New Roman;sans-serif" w:hAnsi="Times New Roman;sans-serif"/>
                <w:b w:val="false"/>
                <w:color w:val="000000"/>
                <w:sz w:val="12"/>
              </w:rPr>
              <w:t>(4)</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Manufacturing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700,805 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594,463 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Average Daily Rates for Lodges and Villages </w:t>
            </w:r>
            <w:r>
              <w:rPr>
                <w:rFonts w:ascii="Times New Roman;sans-serif" w:hAnsi="Times New Roman;sans-serif"/>
                <w:b w:val="false"/>
                <w:color w:val="000000"/>
                <w:sz w:val="12"/>
              </w:rPr>
              <w:t>(5)</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Billed Rooms for Lodges and Villages</w:t>
            </w:r>
            <w:r>
              <w:rPr>
                <w:color w:val="000000"/>
              </w:rPr>
              <w:t xml:space="preserve"> </w:t>
            </w:r>
            <w:r>
              <w:rPr>
                <w:rFonts w:ascii="Times New Roman;sans-serif" w:hAnsi="Times New Roman;sans-serif"/>
                <w:b w:val="false"/>
                <w:color w:val="000000"/>
                <w:sz w:val="12"/>
              </w:rPr>
              <w:t>(6)</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2,710,784 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2,759,521 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2,404,880 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2,371,763 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2,024,068 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1,846,882 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Exchange Rate</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Canadian dollar to U.S. dollar</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Australian dollar to U.S. dollar</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and village rooms and hospitality services for Civeo owned rooms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 laundry and water and wastewater treatment services, and facilities management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Includes revenues related to modular construction and manufacturing services for the periods presented. Civeo's remaining manufacturing operations in Louisiana were sold in the fourth quarter of 2022.</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Average daily rate is based on billed rooms and accommodation revenue for Civeo owned rooms during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Billed rooms represents total billed days for Civeo owned rooms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history is one of identifying customer and market needs and developing economic solutions. Our historical experience in Canada began in small, mobile camps and evolved into owning and managing large scale remote accommodations. In Australia, our operations originated with a similar build-own-operate model as we operate in our Canadian lodges, growing up to our current eight owned villages. Since then and with the addition of an acquisition, we have evolved our service delivery to include operating customer-owned locations with the same hospitality services that we provide at our owned villages.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operations, founded in 1977, began by providing modular rental housing to energy customers, primarily supporting drilling rig crews in the Western Canadian Sedimentary Basin. Over the next decade, we acquired a food service operation, enabling us to provide a more comprehensive accommodation solution. Through our experience with Syncrude’s Mildred Lake Village, a 2,100 bed facility that we operated and managed for them for nearly 20 years, we recognized the need for a premium, and more permanent, solution for workforce accommodations and hospitality services in the Canadian oil sands region. Pursuing this strategy, we opened PTI Lodge in 1998, one of the first independent lodging facilities in the region.</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2018, we acquired Noralta Lodge Ltd. (Noralta), which provided remote hospitality services in Alberta, Canada (the Noralta Acquisition) through eleven lodges comprising over 5,700 owned rooms and 7,900 total rooms. Over time, we have developed into Canada’s largest third-party provider of accommodations and hospitality services in the Canadian oil sands region.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2015, we entered the Canadian LNG market with the construction of our Sitka Lodge.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The Kitimat LNG Facility is nearing completion and expected to be operational in 2024. Our Sitka Lodge is well positioned to serve construction activity at the Kitimat LNG facility, as well as portions of the related pipeline construction activity.</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our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2019, we acquired Action Industrial Catering (Action), a provider of catering and managed services (which we refer to as our integrated services business) to the mining industry in Western Australia. The Action acquisition enhanced our service offering, expanded our geographic footprint, added exposure to new commodities in Australia and underlines our focus on pursuing growth opportunities that fit within our core competencies and strategic direction.</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hospitality services to customers in the natural resources industry. Our scalable facilities provide long-term and temporary workforce accommodations where, in many cases, traditional accommodations and related infrastructure often are not accessible, sufficient or cost effective.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wide range of hospitality services offerings, we are able to identify, solve and implement solutions and services that enhance the guest experience and reduce the customer’s total cost of housing a workforce in a remote operating location. In addition to lodging, catering and food service, housekeeping and maintenance at accommodation facilities that we or our customers own, our hospitality services have evolved to include fitness centers, water and wastewater treatment, laundry service and many other enhancements.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either own their accommodations assets or outsource them. Customers may choose to own their accommodations assets because (i) their natural resource project is the only source of demand for rooms in the region; (ii) they believe in the long-term nature of their resource project; and/or (iii) they desire to maintain control over the supply of rooms for their project. Where customers have chosen to own their accommodations assets, customers usually subcontract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of the facility and the provision of the hospitality services to a third-party provider, such as Civeo through our integrated services model in customer-owned facilities.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Canadian oil sands developers and Australian mining companies built and owned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a portion of their accommodation needs as they recognize that owning accommodations and providing the related hospitality services are non-core investments for their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accommodations outsourcing model is effective in regions in which multiple customers have on-going or prospective projects where third-party owned and operated accommodations assets can service multiple customers. This allows those customers to share some of the costs associated with their peak accommodations needs, including infrastructure (power, water, sewer and information technology) and central dining and recreation facilities. The Canadian oil sands region and the Queensland Bowen Basin region are two geographic areas that fit this market dynamic.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demand for our hospitality services has historically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production costs, economic growth, global commodity supply/demand, estimates of resource production and the expectations of our customers' shareholders. As a result, demand for our hospitality services is largely sensitive to expected commodity prices, principally related to oil, met coal,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and other markets, including governmental measures introduced to fight climate change.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industry divides accommodations into two primary types: (i) lodges and villages and (ii) mobile assets. Civeo is principally focused on hospitality services at lodges and villages. Lodges and villages typically contain a larger number of rooms and require more time and capital to develop. These facilities typically have dining areas, meeting rooms, recreational facilities, pubs and taverns and landscaped grounds where weather permits. Lodges and villages are generally supported by multi-year, take-or-pay or exclusivity contracts. These facilities are designed to serve the long-term needs of customers in developing and producing their natural resource developments. Mobile assets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assets as they evaluate or initially develop a field or mine. Mobile asset projects can be dedicated and committed to a single customer or project or can serve multiple customers. </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Competitors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accommodation facilities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and Fluor often design accommodations facilities. Many public and private firms, such as ATCO Structures &amp; Logistics Ltd. (ATCO), Dexterra Group Inc. (Dexterra), Alta-Fab Structures Ltd. (Alta-Fab) and Northgate Industries Ltd. (Northgate), build modular accommodations for sale. Dexterra, Black Diamond Group Limited (Black Diamond), ATCO, Royal Camp Services Ltd. and Target Hospitality primarily own and lease units to customers and, in some cases, provide facility management services, usually on a shorter-term basis with a more limited number of rooms, similar to our mobile assets business. Facility service companies, such as Aramark Corporation (Aramark), Sodexo Inc. (Sodexo), Compass Group PLC (Compass Group) and Cater Care, typically do not invest in and own the accommodations assets, but will provide hospitality services at third-party or customer-owned facilities.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Canada</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generated approximately 50% of our revenue from our Canadian operations. We are western Canada’s largest provider of hospitality services for people working in remote locations. We provide our services through our lodges and mobile assets and at customer-owned locations. Our hospitality services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workforces in the Canadian LNG and oil sands markets and in a variety of oil and natural gas drilling, mining, pipeline and related natural resource applications.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Market</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hospitality services in the Canadian market is largely driven by customer capital spending, which is greatly influenced by current and future commodity prices.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Canadian oil sands region, demand is primarily influenced by the longer-term outlook for oil prices rather than current energy prices, given the multi-year production life of oil sands projects and the capital investment associated with development of such large-scale projects. Demand for our Canadian lodges is secondarily impacted by oil takeaway capacity which influences the net price our customers receive for their oil production.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Spending on the construction and development of new projects generally decreases as the outlook for oil prices decreases. However, spending on current operations and maintenance has historically reacted less quickly and less severely to changes in oil prices, as customers consider their cash operating costs, rather than overall full-cycle returns. Likewise, construction and expansion projects already underway have also been less sensitive to commodity price decreases, as customers generally focus on completion and incremental costs. Natural gas prices also influence oil sands activity as an input cost: as natural gas prices fluctuate, a significant component of our customers’ operating costs fluctuate as well.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Another factor that influences demand for our hospitality services in the Canadian oil sands region is the type of customer project we are supporting. Generally, Canadian customers require larger workforces during construction and expansionary periods, and therefore have higher demand for our rooms and services. Operational and maintenance headcounts are typically a fraction, 20% to 25%, of the headcounts experienced during construction.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proximity to customer activity and availability of customer-owned and competitor-owned rooms influences the rental demand of our rooms in the Canadian oil sands region. Typically, customers prefer to first utilize their own rooms on location, and if such customer-owned rooms are insufficient, customers prefer to avoid busing their workforces to housing more than 45 kilometers away.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Athabasca oil sands are located in northern Alberta, an area that is very remote, with a limited local labor supply. Of Canada’s approximately 40 million residents, approximately half of the population lives in ten cities, while approximately 12% of the population lives in Alberta and less than 1% of the population lives within 100 kilometers of the oil sands activity. The local municipalities, of which Fort McMurray is the largest, have limited infrastructure to respond to workforce accommodation demands and are a significant driving distance from many of the oil sands projects. As such, the workforce accommodations market provides a cost-effective solution to the challenge of staffing large oil sands projects by sourcing labor largely throughout Canada to work on a rotational basis.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LNG and related pipeline activity in Canada, a number of multinational energy companies believe there is a potential to export LNG from Canada to meet the increasing global LNG demand, particularly in Asia. Currently, Western Canada does not have any operational LNG export facilities. The Kitimat LNG Facility is nearing completion and expected to be operational in 2024. The population of Kitimat and the surrounding area is approximately 9,000 people, whereas the LNGC project had almost 7,500 workers at its peak to construct the Kitimat LNG Facility. Accordingly, British Columbia LNG activity and related pipeline projects are a material driver of activity for our Sitka Lodge, as well as for our mobile assets, which are contracted to serve designated portions of the related pipeline construction activity. The majority of our contracted commitments associated with the Coastal GasLink Pipeline (CGL), the pipeline constructed to transport natural gas feedstock to LNGC, were completed in the fourth quarter of 2023. See "Canada-Canadian British Columbia Lodge" for more information.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LNG investment and activity in Western Canada, and related demand for hospitality services, is influenced by the global prices for LNG, which are largely tied to global oil prices, global supply/demand dynamics for LNG and Western Canadian wellhead prices for natural gas. Utilization of our existing Canadian capacity and any future expansions will largely depend on continued LNG and oil sands spending related to existing production, maintenance activities and potential future expansion of existing projects.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Canadian Oil Sands Lodges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activity in the Athabasca oil sands region generated approximately 67% of our Canadian revenue, or 34% of our consolidated revenue. The oil sands region continues to represent one of the world’s largest reserves for heavy oil. Our Wapasu Creek, Athabasca, Beaver River, Fort McMurray Village, Grey Wolf, Hudson, and Borealis lodges are focused on the northern region of the Athabasca oil sands, where customers primarily utilize surface mining to extract bitumen. Oil sands mining operations are characterized by large capital requirements, large reserves, larger personnel requirements, long-term reserve lives, very low exploration or reserve risk and relatively lower cash operating costs per barrel of bitumen produced. Our Conklin, Anzac, Red Earth and Wabasca lodges are focused in the southern portion of the region where we primarily serve in-situ operations and pipeline expansion and maintenance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 comparison to surface mining operations, in-situ operations generally require lower initial capital investment, fewer personnel but produce lower volumes of bitumen per development, with higher ongoing operating expense per barrel of bitumen produced.</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oil sands lodges primarily support personnel for ongoing operations associated with surface mining and in-situ oil sands projects, as well as maintenance, turnaround and expansionary personnel, generally under short- and medium-term contracts.  Most of our oil sands lodges are located on land with leases obtained from the province of Alberta, with initial terms of ten years, or subleased from the resource developer. Our leases have expiration dates that range from 2024 to 2030. In recent years, we have successfully renewed or extended all expiring land leases which we have requested to renew or extend. We did not renew an expiring land lease associated with our McClelland Lake Lodge in Alberta, Canada, which expired in June 2023, in order to support our customer’s intent to mine the land where the lodge was located. Two of our oil sands properties are located on land which we own.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operate a lodge in Canada, we are required to obtain a development permit from the regional municipality in which the lodge is located. The development permits are granted for a term of five years. Our development permits have expiration dates that range from 2024 to 2028. In recent years, we have successfully renewed or extended all expiring development permits. See “Item 1A. Risk Factors - Risks Related to Our Operations - The majority of our major Canadian lodges are located on land subject to leases. If we are unable to renew a lease or obtain permits necessary to operate on such leased land, we could be materially and adversely affected.” of this annual report for further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range of hospitality services at our lodges, including reservation management, check in and check out, food service, housekeeping and facilities management. Our lodge guests receive amenities similar to a full-service, urban hotel with our service offering a room and three meals a day. Our Wapasu Creek Lodge, with more than 5,000 rooms, is equivalent in size to the largest hotels in North America.</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hospitality services at the lodges we own on a day rate or monthly rental basis, and our customers typically commit for short to long-term contracts (from several months up to several years). Most customers make a minimum nightly or monthly room commitment or an aggregate total room night commitment for the term of the contract, and the multi-year contracts typically provide for inflationary escalations in rates for increased food, labor and utilities costs.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British Columbia Lodge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discussed, LNGC is currently constructing the Kitimat LNG Facility. British Columbia LNG activity and related pipeline projects are a material driver of activity for our Sitka Lodge, as well as for our mobile assets, which are contracted to serve designated portions of the related CGL pipeline construction activity. The majority of our contracted commitments associated with the CGL pipeline project were completed in the fourth quarter of 2023.</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Canadian Lodge Locations</w:t>
      </w:r>
    </w:p>
    <w:p>
      <w:pPr>
        <w:pStyle w:val="TextBody"/>
        <w:bidi w:val="0"/>
        <w:spacing w:before="0" w:after="0"/>
        <w:jc w:val="left"/>
        <w:rPr/>
      </w:pPr>
      <w:r>
        <w:rPr/>
      </w:r>
    </w:p>
    <w:p>
      <w:pPr>
        <w:pStyle w:val="TextBody"/>
        <w:bidi w:val="0"/>
        <w:spacing w:before="0" w:after="0"/>
        <w:jc w:val="left"/>
        <w:rPr/>
      </w:pPr>
      <w:r>
        <w:rPr/>
        <w:drawing>
          <wp:inline distT="0" distB="0" distL="0" distR="0">
            <wp:extent cx="6515100" cy="36576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Rooms in our Canadian Lodges</w:t>
      </w:r>
    </w:p>
    <w:tbl>
      <w:tblPr>
        <w:tblW w:w="8146" w:type="dxa"/>
        <w:jc w:val="center"/>
        <w:tblInd w:w="0" w:type="dxa"/>
        <w:tblLayout w:type="fixed"/>
        <w:tblCellMar>
          <w:top w:w="28" w:type="dxa"/>
          <w:left w:w="28" w:type="dxa"/>
          <w:bottom w:w="28" w:type="dxa"/>
          <w:right w:w="28" w:type="dxa"/>
        </w:tblCellMar>
      </w:tblPr>
      <w:tblGrid>
        <w:gridCol w:w="668"/>
        <w:gridCol w:w="585"/>
        <w:gridCol w:w="592"/>
        <w:gridCol w:w="109"/>
        <w:gridCol w:w="109"/>
        <w:gridCol w:w="109"/>
        <w:gridCol w:w="353"/>
        <w:gridCol w:w="353"/>
        <w:gridCol w:w="358"/>
        <w:gridCol w:w="109"/>
        <w:gridCol w:w="109"/>
        <w:gridCol w:w="109"/>
        <w:gridCol w:w="364"/>
        <w:gridCol w:w="364"/>
        <w:gridCol w:w="366"/>
        <w:gridCol w:w="109"/>
        <w:gridCol w:w="109"/>
        <w:gridCol w:w="109"/>
        <w:gridCol w:w="330"/>
        <w:gridCol w:w="331"/>
        <w:gridCol w:w="156"/>
        <w:gridCol w:w="109"/>
        <w:gridCol w:w="109"/>
        <w:gridCol w:w="109"/>
        <w:gridCol w:w="330"/>
        <w:gridCol w:w="331"/>
        <w:gridCol w:w="156"/>
        <w:gridCol w:w="109"/>
        <w:gridCol w:w="109"/>
        <w:gridCol w:w="109"/>
        <w:gridCol w:w="330"/>
        <w:gridCol w:w="331"/>
        <w:gridCol w:w="213"/>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br/>
              <w:t>Lodges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Extraction</w:t>
              <w:b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Wapasu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mining/in-situ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McClelland Lake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Beaver River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Fort McMurray Village: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Black Bear</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Bighorn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Lynx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Wolverine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Borealis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Grey Wolf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Hudson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Wabasca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Red Earth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Conklin</w:t>
            </w:r>
            <w:r>
              <w:rPr>
                <w:color w:val="000000"/>
              </w:rPr>
              <w:t xml:space="preserv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mining/in-situ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Anzac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in-situ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 Oil 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Sitka Lodge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Kitimat, 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16,952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18,949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18,947</w:t>
            </w: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Currently closed as of December 31, 2023, due to lodge loading strategy, seasonal activity fluctuations or low activity level in the region. All closed lodges are periodically assessed for impairment at an asset group level, in accordance with United States (U.S.) generally accepted accounting principles. See Note 4 - Impairment Charges to the notes to the consolidated financial statements in Item 8 of this annual report for further discussion.</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land lease associated with the asset expired in June 2023 and was not renewed. See "Item 7. Management’s Discussion and Analysis of Financial Condition and Results of Operations - Overview and Macroeconomic Environment -McClelland Lake Lodge” of this annual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Hospitality Services at Third-Party Owned Facilities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hospitality services at customer-owned facilities. Historically, this has been focused around natural resource production-related housing facilities that are owned by oil production companies. The facilities we manage typically range anywhere from 500 to 1,500 rooms. We customize our service offerings depending on our customer’s needs. Hospitality services can be performed on an end-to-end basis with food service, housekeeping, maintenance and utility services included or in segments such as food service only. Our focus on hospitality service contracts has allowed us to successfully pursue food service only opportunities. Due to our experience servicing customer-owned facilities, this business easily fits into our overall strategy.</w:t>
      </w:r>
    </w:p>
    <w:p>
      <w:pPr>
        <w:pStyle w:val="TextBody"/>
        <w:bidi w:val="0"/>
        <w:spacing w:before="0" w:after="0"/>
        <w:ind w:left="0" w:right="0" w:firstLine="540"/>
        <w:jc w:val="both"/>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Canadian Mobile Assets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consist of modular, skid-mounted accommodations and central facilities that can be configured to serve a multitude of short- to medium-term accommodation needs. Dormitory, kitchen and ancillary assets can be rapidly mobilized and demobilized and are scalable to support 200 to 800 people in a single location. In addition to asset rental, we provide hospitality services such as food service and housekeeping, as well as other camp management services. Our mobile assets service the traditional oil and gas sector in Alberta and British Columbia and in-situ oil sands drilling and development operations in Alberta, as well as pipeline construction crews throughout Western Canada. These assets have also been used in the past in disaster relief efforts, the 2010 Vancouver Winter Olympic Games and a variety of other non-energy related projects.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are rented on a per unit basis based on the number of days that a customer utilizes the asset, and, in some cases, involve standby rental arrangements.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our experience servicing customer-owned facilities, this business easily fits into our overall strategy.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Australia</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generated 48% of our revenue from our Australian operations. As of December 31, 2023, we owned 8,910 rooms across eight villages, of which 7,488 rooms service the Bowen Basin of central Queensland, one of the premier met coal basins in the world. We provide hospitality services on a day rate basis to mining and related service companies (including construction contractors), typically under short- and medium-term contracts (one to five years) with minimum nightly room commitments. In addition, we provide integrated services to the mining industry in Western Australia and South Australia.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Australian Market</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conventional and coal seam gas, base metals, iron ore, copper, lithium and precious metals such as gold. Australia is the largest exporter of met coal and iron ore in the world, in addition to being in close proximity to the largest steel producing countries in the world, primarily in Southeast Asia. The growth of Australian natural resource commodity exports over the last decade has been largely driven by strong Asian demand for met coal, iron ore and LNG. Australia’s resources are primarily located in remote regions of the country that lack infrastructure and resident labor forces to produce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 </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multiple investment-grade, international mining companies.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villages support similar activities as our Canadian lodges for the natural resources industry in Australia. 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and iron ore prices. New project construction activity typically requires larger workforces than day-to-day operations, where proximity and availability of customer-owned rooms influences the demand for our rooms and services. Demand for rooms at our Australian villages is primarily driven by production, maintenance and operational activities. </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operations primarily serve the Bowen Basin of Queensland and the Pilbara region in Western Australia. During the year ended December 31, 2023, our five villages in the Bowen Basin generated 47% of our Australian revenue, or 23% of our consolidated revenue. The Bowen Basin contains one of the largest coal deposits in Australia and is renowned for its premium met coal. In addition, we provide village operation and mine site cleaning services at eight customer locations in the Pilbara region, which is renowned for high grade iron ore production. Our villages and customer-owned locations are focused on the mines in the central portion of the Pilbara and Bowen Basins and are well positioned for the active mines in the region.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Beyond met coal and iron ore markets served in the Pilbara and Bowen Basins, we serve several other markets with three additional villages and ten customer-owned villages. At the end of 2023, we had two villages with over 1,000 combined rooms in the Gunnedah Basin, a thermal and met coal region in New South Wales. In Western Australia, we serve workforces related to LNG facilities operations on the Northwest Shelf through our Karratha village. In addition, we provide hospitality services in Western Australia and South Australia at ten customer-owned villages which support workforces related to nickel, copper, zinc, silver and gold production in the Goldfields-Esperance region, lithium production in the Pilbara region and copper, silver and gold in Western Australia and South Australia.</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Times New Roman;sans-serif" w:hAnsi="Times New Roman;sans-serif"/>
          <w:b/>
          <w:i/>
          <w:color w:val="000000"/>
          <w:sz w:val="20"/>
        </w:rPr>
        <w:t>Australian</w:t>
      </w:r>
      <w:r>
        <w:rPr>
          <w:color w:val="000000"/>
        </w:rPr>
        <w:t xml:space="preserve"> </w:t>
      </w:r>
      <w:r>
        <w:rPr>
          <w:rFonts w:ascii="Times New Roman;sans-serif" w:hAnsi="Times New Roman;sans-serif"/>
          <w:b/>
          <w:i/>
          <w:color w:val="000000"/>
          <w:sz w:val="20"/>
        </w:rPr>
        <w:t>Village Locations</w:t>
      </w:r>
    </w:p>
    <w:p>
      <w:pPr>
        <w:pStyle w:val="TextBody"/>
        <w:bidi w:val="0"/>
        <w:spacing w:before="0" w:after="0"/>
        <w:jc w:val="left"/>
        <w:rPr/>
      </w:pPr>
      <w:r>
        <w:rPr/>
      </w:r>
    </w:p>
    <w:p>
      <w:pPr>
        <w:pStyle w:val="TextBody"/>
        <w:bidi w:val="0"/>
        <w:spacing w:before="0" w:after="0"/>
        <w:jc w:val="left"/>
        <w:rPr/>
      </w:pPr>
      <w:r>
        <w:rPr/>
        <w:drawing>
          <wp:inline distT="0" distB="0" distL="0" distR="0">
            <wp:extent cx="6515100" cy="36576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Owned Rooms in our Australian Villages </w:t>
      </w:r>
    </w:p>
    <w:tbl>
      <w:tblPr>
        <w:tblW w:w="7082" w:type="dxa"/>
        <w:jc w:val="center"/>
        <w:tblInd w:w="0" w:type="dxa"/>
        <w:tblLayout w:type="fixed"/>
        <w:tblCellMar>
          <w:top w:w="28" w:type="dxa"/>
          <w:left w:w="28" w:type="dxa"/>
          <w:bottom w:w="28" w:type="dxa"/>
          <w:right w:w="28" w:type="dxa"/>
        </w:tblCellMar>
      </w:tblPr>
      <w:tblGrid>
        <w:gridCol w:w="400"/>
        <w:gridCol w:w="351"/>
        <w:gridCol w:w="358"/>
        <w:gridCol w:w="109"/>
        <w:gridCol w:w="109"/>
        <w:gridCol w:w="109"/>
        <w:gridCol w:w="279"/>
        <w:gridCol w:w="279"/>
        <w:gridCol w:w="283"/>
        <w:gridCol w:w="109"/>
        <w:gridCol w:w="109"/>
        <w:gridCol w:w="109"/>
        <w:gridCol w:w="419"/>
        <w:gridCol w:w="419"/>
        <w:gridCol w:w="421"/>
        <w:gridCol w:w="109"/>
        <w:gridCol w:w="109"/>
        <w:gridCol w:w="109"/>
        <w:gridCol w:w="285"/>
        <w:gridCol w:w="286"/>
        <w:gridCol w:w="156"/>
        <w:gridCol w:w="109"/>
        <w:gridCol w:w="109"/>
        <w:gridCol w:w="109"/>
        <w:gridCol w:w="285"/>
        <w:gridCol w:w="286"/>
        <w:gridCol w:w="156"/>
        <w:gridCol w:w="109"/>
        <w:gridCol w:w="109"/>
        <w:gridCol w:w="109"/>
        <w:gridCol w:w="285"/>
        <w:gridCol w:w="286"/>
        <w:gridCol w:w="213"/>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br/>
              <w:t>Villages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Resource</w:t>
              <w:b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Coppabella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Dysart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Moranbah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Boggabri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Gunnedah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met/thermal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Narrabri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Gunnedah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met/thermal 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Karratha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Pilbara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LNG, iron 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Kambalda</w:t>
            </w:r>
            <w:r>
              <w:rPr>
                <w:color w:val="000000"/>
              </w:rPr>
              <w:t xml:space="preserv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 lithium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8,910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8,814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9,046</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Sold in the third quarter of 2022.</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includes eight company-owned villages with 8,910 rooms as of December 31, 2023,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 </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Coppabella, Dysart, Moranbah, Middlemount and Nebo villages are located in the Bowen Basin. Coppabella, at over 3,100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 </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Narrabri and Boggabri villages in New South Wales provide rooms and related hospitality services to met and thermal coal mines and coal seam gas in the Gunnedah Basin. Our Karratha village, in Western Australia, services workforces related to LNG facilities operations on the Northwest Shelf.</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Hospitality Services at Third-Party Owned Facilities</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also provide hospitality services at customer-owned villages to the mining industry in Western Australia. Historically, this has been focused around natural resource production-related village facilities that are primarily owned by iron ore production companies. We provide village hospitality services at 18 customer-owned locations, which represent over 12,600</w:t>
      </w:r>
      <w:r>
        <w:rPr>
          <w:color w:val="EE2724"/>
        </w:rPr>
        <w:t xml:space="preserve"> </w:t>
      </w:r>
      <w:r>
        <w:rPr>
          <w:rFonts w:ascii="Times New Roman;sans-serif" w:hAnsi="Times New Roman;sans-serif"/>
          <w:b w:val="false"/>
          <w:color w:val="000000"/>
          <w:sz w:val="20"/>
        </w:rPr>
        <w:t>rooms, primarily in the Pilbara region of Western Australia, one of the premier iron ore bodies in the world, and in the Goldfields-Esperance region of Western Australia. The facilities we manage range anywhere from 200 to over 1,900 rooms. We work together with our customers to customize our service offerings depending on our customer’s needs. Hospitality services can be performed on an end-to-end basis with catering and food service, housekeeping and site maintenance included or in segments such as food service only. Mine site cleaning services are also provided at some of our customer-owned locations.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sold our accommodation assets in Louisiana. In addition, in the second half of 2022, we sold both our U.S. wellsite services and offshore businesses. Our remaining U.S. business consists of 235 rooms at our Killdeer Lodge, which supports completion activity in the Bakken. U.S. oil completion activity will continue to be impacted by oil prices, pipeline capacity, federal energy policies and availability of capital to support exploration and production completion plans. </w:t>
      </w:r>
    </w:p>
    <w:p>
      <w:pPr>
        <w:pStyle w:val="TextBody"/>
        <w:bidi w:val="0"/>
        <w:spacing w:lineRule="auto" w:line="276"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Community Engagement </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of other First Nations-owned, Metis-owned and member-owned businesses including water hauling, snow removal and security services. In 2023, we purchased more than C$64.0 million in goods and services from the Indigenous business community, representing 27% of our total Canadian local spending, compared to C$66.2 million in goods and services from the Indigenous business community, representing 30% of our total Canadian local spending in 2022.</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Fort McKay Metis community awarded Civeo with the inaugural 2020 Fort McKay Metis National President's Award. This award recognizes people or organizations who make a positive contribution to the well-being of the Metis community. In 2023 and in 2019, our Indigenous partnership initiatives earned Civeo a Gold level Progressive Aboriginal Relations (PAR) certification, by a jury comprised of Indigenous business people, which was supported by an unbiased, independent, third-party verification of our performance. In 2016, Civeo was awarded a Silver level PAR certification by the Canadian Council for Aboriginal Business (CCAB), demonstrating our commitment to the principles and practices established by the CCAB. In addition, in 2011 and 2012, we were recognized with awards from the Alberta Chamber of Commerce.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 2018, Civeo entered into three new Indigenous partnerships in the oil sands region and two new partnerships in British Columbia and, in 2021, Civeo entered into a new partnership in British Columbia. Our partnerships in British Columbia are tied to accommodations contracts secured by Civeo for the Kitimat LNG Facility, the CGL pipeline project that originates in the North Montney region of north-east British Columbia and the Trans Mountain expansion project that twins an existing pipeline between Edmonton, Alberta and Burnaby, British Columbia. Beyond revenue sharing, these arrangements provide procurement, employment, training, and ancillary business opportunities for Indigenous owned businesses.</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Australia, our community relations program also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 We also provide support to local community groups through sponsorship and in-kind contributions to local events and initiatives. In addition, all of our food suppliers are Australian companies and, where possible, are based locally. Through our membership with Supply Nation, a non-profit organization committed to supplier diversity and Indigenous business development, we directed approximately A$12.3 million in 2023, compared to A$9.5 million in 2022, into Indigenous-owned and operated companies, and we are always looking for more opportunities to partner with these businesses.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four unincorporated joint venture partnerships with Indigenous landowners in Western Australia.  Under these agreements, we strive to develop the business capacity, project management skills and expertise of the Indigenous joint venture members and also provide local employment opportunities and training. One of the four unincorporated joint venture partnerships entitles Indigenous landowners to a profit distribution calculated in accordance with the unincorporated joint venture deeds. Additionally, three of the four remaining agreements incentivize the joint venture members via milestone payments for business objectives achieved.</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Customers and Competitors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primarily operate in oil sands mining and development, drilling, exploration and extraction of oil and natural gas and coal and other extractive industries. To a lesser extent, we also support other activities, including pipeline construction, forestry and humanitarian aid. Our largest customers in 2023 were Suncor Energy and Fortescue Metals Group Ltd., who each accounted for more than 10% of our 2023 revenues.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competitors in Canada in lodge and mobile asset hospitality services include ATCO, Black Diamond, Dexterra and Clean Harbors, Inc. Some of these competitors have one or two locations similar to our oil sands lodges; however, based on our estimates, these competitors do not have the breadth or scale of our lodge operations. In Canada, we also compete against Aramark, Sodexo, Compass Group and Royal Camp Services for third-party facility management and hospitality services.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competitors in Australia for our village hospitality services are customer-owned and operated villages as well as Ausco Modular (a subsidiary of Modulaire Group), Fleetwood Corporation and smaller independent village operators. We compete against ISS, Sodexo, Compass Group, Northern Rise (as a division of Sirrom Corporation) and Cater Care for third-party facility management services.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many customers have invested in their own accommodations.  We estimate that our existing and potential customers own approximately 50% of the rooms available in both the Canadian oil sands and the Australian coal mining regions.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Our Lodge and Village Contracts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revenues from our lodges and villages represented over 63% of our consolidated revenues. Our contract terms generally provide for a daily rate for a reserved room and an occupied room rate that compensates us for hospitality services, including food service, housekeeping, utilities and maintenance for workers staying in the lodges and villages. In most multi-year contracts, our rates typically have annual escalation provisions to cover increases in labor and consumables costs over the contract term. In some contracts, customers have a contractual right to terminate, for reasons other than a breach, in exchange for a termination fee. Our customers typically contract for hospitality services under contracts with terms that most often range from several months to twelve years. 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Long-Term Take-or-Pay Contracts</w:t>
      </w:r>
      <w:r>
        <w:rPr>
          <w:rFonts w:ascii="Times New Roman;sans-serif" w:hAnsi="Times New Roman;sans-serif"/>
          <w:b w:val="false"/>
          <w:color w:val="000000"/>
          <w:sz w:val="20"/>
        </w:rPr>
        <w:t xml:space="preserve">. Over the term of a take-or-pay contract, the customer commits to either a minimum number of rooms over a specified period or an aggregate number of room nights over the period, generally for terms greater than 12 months. During the year ended December 31, 2023, we billed approximately 2.6 million room nights under our long-term take-or-pay contracts, which included 0.6 million room nights in excess of the take-or-pay minimums. For the year ended December 31, 2024, we have commitments for 1.7 million room nights under our long-term take-or-pay contracts.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Short-Term Take-or-Pay Contracts.</w:t>
      </w:r>
      <w:r>
        <w:rPr>
          <w:color w:val="000000"/>
        </w:rPr>
        <w:t xml:space="preserve"> </w:t>
      </w:r>
      <w:r>
        <w:rPr>
          <w:rFonts w:ascii="Times New Roman;sans-serif" w:hAnsi="Times New Roman;sans-serif"/>
          <w:b w:val="false"/>
          <w:color w:val="000000"/>
          <w:sz w:val="20"/>
        </w:rPr>
        <w:t>Customers may contract with us on a take-or-pay basis for less than 12 months, particularly for turnaround projects. Similar to long-term take-or-pay contracts, the customer commits to either a minimum number of rooms over a specified period or an aggregate number of room nights over the period. During the year ended December 31, 2023, we billed approximately 0.7 million room nights under our short-term take-or-pay contracts. For the year ended December 31, 2024, we have commitments for 0.1 million room nights under our short-term take-or-pay contracts.</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 xml:space="preserve">Exclusivity Contracts. </w:t>
      </w:r>
      <w:r>
        <w:rPr>
          <w:rFonts w:ascii="Times New Roman;sans-serif" w:hAnsi="Times New Roman;sans-serif"/>
          <w:b w:val="false"/>
          <w:color w:val="000000"/>
          <w:sz w:val="20"/>
        </w:rPr>
        <w:t>Over the term of an exclusivity contract, rather than receiving a minimum room commitment, we are the exclusive hospitality service provider for the customer's employees working on a specific project or projects. During the year ended December 31, 2023, we billed approximately 1.7 million room nights under our exclusivity contracts.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Casual / Walk-ins.</w:t>
      </w:r>
      <w:r>
        <w:rPr>
          <w:color w:val="000000"/>
        </w:rPr>
        <w:t xml:space="preserve"> </w:t>
      </w:r>
      <w:r>
        <w:rPr>
          <w:rFonts w:ascii="Times New Roman;sans-serif" w:hAnsi="Times New Roman;sans-serif"/>
          <w:b w:val="false"/>
          <w:color w:val="000000"/>
          <w:sz w:val="20"/>
        </w:rPr>
        <w:t xml:space="preserve">Customers without long-term committed contracts may utilize lodge/village rooms via short-term bookings at lodge/village casual or agreed rates. During the year ended December 31, 2023, we billed approximately 0.1 million room nights to casual or walk-in customers. </w: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Integrated Services Contracts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revenues from our customer-owned locations represented 26% of our consolidated revenues. Our contract terms generally provide for a per guest per day rate for hospitality services, including food service and housekeeping. Similar to our owned lodge and villages contracts, in most multi-year contracts, our rates typically have annual escalation provisions to cover increases in labor and consumables costs over the contract term. Our customers typically contract for hospitality services under exclusivity contracts with terms that most often range from several months to five years. During the year ended December 31, 2023, we billed approximately 2.6 million room nights under our integrated services exclusivity contracts.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 of Operations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customers'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Human Capital Resources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employees are one of our greatest resources. As of December 31, 2023, we had approximately 1,600 full-time employees and approximately 1,000 hourly employees on a consolidated basis, 47% of whom are located in Canada,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52% of whom are located in Australia and 1% of whom are located in the U.S. We were party to collective bargaining agreements covering 798 employees located in Canada and 1,020 employees located in Australia as of December 31,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we acknowledge the significance of a diverse workforce composed of individuals from various backgrounds, experiences, and perspectives. As many of our projects in Canada and Australia operate in traditional territories, we work closely with Indigenous communities to actively explore mutually beneficial investment, employment, and business opportunities. Our ability to cultivate and strengthen relationships with Indigenous communities is vital to the success of our business. In Canada, we are committed to expanding our Indigenous workforce to 10%. In 2023, we reached 7% Indigenous employment in Canada, excluding corporate staff. Approximately 6% of our total new hires in Canada were of Indigenous background during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offer competitive compensation, benefits and services that meet the needs of our employees, including short- and long-term incentive packages, various defined contribution plans, healthcare benefits, and wellness and employee assistance programs. Management monitors market compensation and benefits in order to attract, retain, and promote employees and reduce turnover and its associated costs.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Safety is a foundational pillar of Civeo’s corporate culture. We are committed to operating in a safe, secure and responsible manner for the benefit of our employees, customers and the communities we serve. Our commitment to safeguarding employees, contractors, and guests is demonstrated through our employee-named Making Zero Count initiative, which emphasizes the importance of eliminating harm and focuses on the processes required to achieve exceptional performance.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Civeo, we believe that investing in our employees is fundamental to our success. Our commitment to training and career development enables employees to grow and advance in their careers while supporting our industry-leadership position. Committed to the continuous improvement of our team, we prioritize the development of our workforce’s technical and managerial competencies, with an emphasis on safety, customer service, and leadership development. Our learning and development program encompasses a range of learning modalities, including e-learning modules, in-person training sessions, nationally certified programs and licensed training provided by external partners.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significantly affected by Canadian, Australian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difficulty securing required permits, approvals, licenses or other authorizations issued by federal, provincial and local authorities needed to carry out our operations or our customers'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compliance costs or additional operating restrictions associated with our operations or our customers’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increased costs to our business or our customers’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demand for oil, natural gas, and other natural resources that our customers produce;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demand for our services.</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assessment of administrative and civil penalties, and even criminal prosecution. Although we do not anticipate that future compliance with existing environmental laws and regulations will have a material effect on our financial condition, results of operations or cash flows over the short term,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Canadian Environmental Regulations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federal and provincial environmental regulations in 2023 that may affect us or our customers.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Air Quality Management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Canada (Canada), the Government of Alberta (Alberta), and the Government of British Columbia (British Columbia) each have frameworks for air quality management that may affect us and our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federal level, the Reduction in the Release of Volatile Organic Compounds Regulations (Petroleum Sector) were published in 2020. Certain leak detection and repair provisions of the regulations took effect beginning in 2021 and the regulations set additional monitoring and requirements for operators in 2022 and 2023. These regulations require the implementation of comprehensive leak detection and repair (LDAR) programs as well as design and operating standards that prevent leaks at Canadian petroleum refineries, upgraders and certain petrochemical facilities and may affect our customers’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federal requirements, emissions from facilities in Alberta are subject to provincial regulation. The Alberta Energy Regulator (AER), which is responsible for regulating upstream oil and gas activity in Alberta, oversees compliance with Directive 60: Upstream Petroleum Industry Flaring, Incinerating, and Venting (Directive 60). This Directive applies to all upstream petroleum industry wells, facilities and pipelines as well as all oil sands schemes and operations with the exception of oil sands mining. Directive 60 requires operators to eliminate or reduce flaring associated with a wide variety of energy development activities and operations. In December 2018, the AER finalized amendments to its Directive 60 and Directive 017: Measurement Requirements for Oil and Gas Operations (Directive 17) as part of its role in implementing commitments from the Alberta government to reduce methane emissions from upstream oil and gas operations by 45% by 2025. These requirements, among other things, set limits on methane emissions from various facilities and require annual reporting of such emissions to the AER. The methane reduction requirements in Directive 60 took effect in 2020, additional vent gas limits took effect on January 1, 2022 and additional vent gas limits took effect on January 1, 2023. Meeting these regulatory requirements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Similarly, emissions from facilities in British Columbia are also subject to provincial regulation. The British Columbia Energy Regulator (BCER) is responsible for regulating oil and gas activity in British Columbia. BCER oversees compliance with the Drilling and Production Regulation, which is one of British Columbia's primary regulatory instruments governing all aspects of oil and natural gas drilling and production. Effective January 1, 2020, that regulation was amended to require operators to eliminate or reduce natural gas leaking or venting associated with a wide variety of equipment and activities in energy development. Under this regulation, requirements are imposed for facilities detecting leaks and inspecting seals as well as restrictions or prohibitions on the types of equipment used for energy development. Some of these requirements took effect in 2022 and further requirements took effect on January 1, 2023. In addition, the BCER completed consultation in 2023 on proposed amendments to the Drilling and Production Regulation to maintain equivalency with federal requirements. Regulations designed to achieve a 45% reduction in methane emissions relative to 2014 levels are now in place. The BCER is currently conducting a regulatory review and engagement on the development of new regulations designed to achieve a 75% reduction in methane emissions from the oil and gas sector by 2030. Meeting these regulatory requirements may result in additional costs or liabilities for our customers’ operations.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Environmental Assessment of Major Projects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Canadian Environmental Impact Assessment Act, 2012 (CEAA 2012) was repealed and replaced with the federal Impact Assessment Act. The Impact Assessment Act and regulations made under that Act provide that certain new projects and expansions to existing projects – including oil sands mining and in situ projects, metallurgical mining projects, pipelines and other developments – will likely require a federal planning and assessment process to understand the environmental and social impacts of the project, as well as decision on whether those impacts are in the public interest.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stated objectives of the Impact Assessment Act was to shorten review times for projects that are subject to review under that Act. However, concerns about lengthy reviews that require substantial information from project proponents remain even after the implementation of the Impact Assessment Act. Our customers operate in the aforementioned industries and could be considering future projects that would be subject to the Impact Assessment Act. To the extent our customers are required to comply with this legislation, it is possible that the uncertainty regarding cost and timelines for navigating the planning, assessment, and decision-making processes may negatively impact our customers' decisions on whether to proceed with those projects.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Alberta, supported by the governments of Ontario and Saskatchewan, has challenged the constitutionality of the Impact Assessment Act. In October of 2023, a majority of the Supreme Court of Canada (Court) concluded that a large portion of the regime created by the Impact Assessment Act was unconstitutional. The federal government subsequently issued interim guidance on the administration of the Impact Assessment Act and advised that it intended to amend the Impact Assessment Act to align with the Court's ruling. The federal government is expected to introduce legislation amending the Impact Assessment Act in 2024. As a result, there is significant uncertainty about the future application of Canada's federal environmental assessment legislation to our customers.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Climate Change Regulation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Scientific studies have suggested that emissions of greenhouse gases (GHG), including carbon dioxide and methane, may be contributing to warming of the Earth’s atmosphere and other climatic changes. In December 2015, 195 nations, including Canada, Australia, and the U.S., adopted the Paris Agreement at the 21st “Conference of the Parties” to the United Nations Convention on Climate Change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that must take to achieve them. These measures are left to each participating nation. In September 2016, Canada's new federal government confirmed that it would not commit to a more ambitious INDC than the preceding Conservative federal government. The government maintained this approach in 2017 revisions to Canada’s INDC submission taking into account the federal Pan-Canadian Framework on Clean Growth and Climate Change (PCF)</w:t>
      </w:r>
      <w:r>
        <w:rPr>
          <w:color w:val="000000"/>
        </w:rPr>
        <w:t xml:space="preserve"> </w:t>
      </w:r>
      <w:r>
        <w:rPr>
          <w:rFonts w:ascii="Times New Roman;sans-serif" w:hAnsi="Times New Roman;sans-serif"/>
          <w:b w:val="false"/>
          <w:color w:val="000000"/>
          <w:sz w:val="20"/>
        </w:rPr>
        <w:t>adopted in 2016.</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In March 2016, Canada and the Government of the U.S.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In 2018, the government introduced the </w:t>
      </w:r>
      <w:r>
        <w:rPr>
          <w:rFonts w:ascii="Times New Roman;sans-serif" w:hAnsi="Times New Roman;sans-serif"/>
          <w:b w:val="false"/>
          <w:i/>
          <w:color w:val="000000"/>
          <w:sz w:val="20"/>
        </w:rPr>
        <w:t xml:space="preserve">Regulations Respecting Reduction in the Release of Methane and Certain Volatile Organic Compounds (Upstream Oil and Gas Sector) </w:t>
      </w:r>
      <w:r>
        <w:rPr>
          <w:rFonts w:ascii="Times New Roman;sans-serif" w:hAnsi="Times New Roman;sans-serif"/>
          <w:b w:val="false"/>
          <w:color w:val="000000"/>
          <w:sz w:val="20"/>
        </w:rPr>
        <w:t xml:space="preserve">(Federal Methane Regulations) to implement its 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and other emissions limits are now in place for certain equipment installed on or after January 1, 2023.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federal government began consultation on a proposed strategy to expand coverage and increase stringency of methane reduction obligations in the oil and gas sector specifically, and is expected to issue draft regulations in 2023. In December 2023, the federal government published proposed amendments to the Federal Methane Regulations for public comment. The proposed amendments are intended to reduce methane emissions in Canada's upstream oil and gas sector by at least 75% below 2012 levels by 2030. To achieve that objective, the proposed amendments would prohibit venting natural gas to the environment, subject to limited exceptions. They would also impose requirements on hydrocarbon combustion systems and measures to reduce fugitive methane emissions. Draft regulations are expected to be published in 2024. These requirements may result in additional costs or liabilities for our customers’ operations.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federal government enacted the Greenhouse Gas Pollution Pricing Act (GGPPA), which came into force on January 1, 2019. This regime has two parts: an output-based pricing system for large industry and a regulatory fuel charge. This system serves as a "backstop" and applies in provinces and territories that request it and in those that do not have their own emissions pricing systems in place that meet the federal standards. This ensures that there is a uniform price on emissions across the country. The backstop price under the GGPPA increased to $50 per tonne of CO2e in 2022. As of January 1, 2024, the backstop price is $65 per tonne of CO2e. That price will increase to $80 in April 2024 and the current government plan is to continue increasing that price by $15 each year until it reaches $170/tonne of CO2e in 2030.</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19, 2020, the federal government introduced the Canadian Net-Zero Emissions Accountability Act in Parliament. That Act was passed by Parliament and received Royal Assent on June 29, 2021 and binds the Government of Canada to a process intended to help Canada achieve net-zero emissions by 2050. It also establishes rolling five-year emissions-reduction targets and requires the government to develop plans to reach each target. The federal government is required to support those efforts by creating a Net-Zero Advisory Body and by publishing annual reports that describe how departments and Crown corporations are considering the financial risks and opportunities of climate change in their decision-making.</w:t>
      </w:r>
    </w:p>
    <w:p>
      <w:pPr>
        <w:pStyle w:val="TextBody"/>
        <w:bidi w:val="0"/>
        <w:spacing w:before="0" w:after="0"/>
        <w:ind w:left="0" w:right="0" w:firstLine="72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26th Conference of the Parties to the UNFCCC (COP 26), held in Glasgow between October 31 and November 13, 2021, Canada presented a strengthened climate plan and committed to an enhanced emissions reduction target of between 40 and 45 percent below 2005 levels by 2030. Following a 2021 federal election, the Government of Canada delivered a new Throne Speech in November 2021 which reiterated its intent to take action that would "go further, faster" to fight climate change. Among other things, the federal government pledged to cap and cut oil and gas sector emissions while accelerating on the path to 100 percent net zero electricity. In December 2023, the federal government announced that it intended to implement a national cap-and-trade system for oil and gas emissions in Canada and published a draft regulatory framework for public comment. Draft regulations are expected to be published in 2024. As currently proposed, the cap-and-trade system would apply to liquified natural gas producers as well as producers in the conventional oil, offshore, oil sands and natural gas production and processing subsectors. The proposed cap-and-trade system would set oil and gas sector emissions limits, to be phased in between 2026 and 2030. Producers would be required to reduce their emissions or purchase "allowances" from other facilities that have reduced their emissions. These requirements, if implemented,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federal government amended the Canadian Environmental Protection Act, 1999 (“CEPA”) in 2023. In particular, the preamble to CEPA now recognizes that every individual in Canada has a right to a healthy environment. The Government of Canada must now take into consideration this right, including the principles of environmental justice, when making decisions under CEPA, including its regulation of greenhouse gas emissions in Canada. Within two years, the Government of Canada must develop an implementation framework on how this right will be upheld while administering CEPA. Until that framework is developed, there is significant uncertainty regarding how these changes to CEPA will be implemented, and their potential to affect our customers' operations.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Alberta, GHGs are regulated pursuant to the Emissions Management and Climate Resilience Act and the Technology Innovation and Emissions Reduction Regulation (TIER Regulation). In December 2019, the TIER Regulation was deemed equivalent to the backstop prescribed by the federal GGPPA, meaning that facilities within Alberta subject to the TIER Regulation are not subject to the full costs of complying with the GGPPA. The TIER Regulation generally applies to Alberta-based facilities that emit over 100,000 tonnes of CO2e per year. Under the TIER Regulation, emissions from each facility are compared to either an industry-wide benchmark or a facility-specific benchmark which effectively permits facilities to emit GHGs up to a certain amount without being subject to the provincial carbon price. Those benchmarks “tighten” resulting in more onerous compliance costs, every year. Facilities with emissions that exceed the industry-wide benchmark or facility-specific benchmark, as applicable, must rely on one or more of the compliance options established by the TIER Regulation, such as purchase credits or offsets for each tonne of CO2e in excess of their limits. The Alberta government issues an order every year setting the price to acquire credits, which effectively dictates compliance costs. In January 2023, the Alberta government published amendments to the TIER Regulation, including increases to the carbon price and increases to annual benchmark tightening rates. These changes were implemented in order to ensure that the TIER Regulation maintains equivalency with the framework established by GGPPA. Increases to the cost of TIER Regulation credits and annual benchmark tightening rates may result in additional costs or liabilities for our customers’ operations. In addition, similar increases in stringency of provincial GHG regulatory frameworks within British Columbia and Saskatchewan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Canadian Species at Risk Act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protection measures or could result in limitations on their exploration and production activities, which could have an adverse impact on demand for our services.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Woodland caribou habitat covers large portions of several Canadian provinces including British Columbia, Alberta, and Saskatchewan. Many of our customers have existing or proposed developments in or near woodland caribou habitat. Conservation measures imposed by the federal or provincial governments could affect the business of our customers with operations near caribou habitat.</w: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Abandonment and Remediation of Oil and Gas Infrastructure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lifecycle regulator for energy resource activities, the AER oversees closure requirements, including the abandonment and reclamation of wells, well sites, facilities, facility sites, and pipelines. Historically, the AER discharged this role through its Liability Management Rating Program (AB LMR Program). The AB LMR Program relied on the ratio of a company's assets and liabilities (Liability Management Ratio or LMR) to assess whether the company would be able to address closure obligations. Where a company's liabilities exceeded their assets (resulting in a LMR of less than 1.0), the AER could require the company to post security to bring the ratio to 1.0. The AB LMR Program was developed during a period of rapid growth in the province when companies were focused on well and infrastructure expansion. In recent years, it became clear that the LMR Program needed to be updated to reflect declining production and aging infrastructure.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Supreme Court of Canada's decision in Orphan Well Association v Grant Thornton (also known as the Redwater decision), receivers and trustees can no longer avoid the AER's legislated authority to impose abandonment orders against licensees or to require a licensee to pay a security deposit before approving a license transfer when any such licensee is subject to formal insolvency proceedings. This means that insolvent estates can no longer disclaim assets that have reached the end of their productive lives (and therefore represent a net liability) in order to deal primarily with the remaining productive and valuable assets without first satisfying any abandonment and reclamation obligations associated with the insolvent estate's assets. In April 2020, the Government of Alberta passed the Liabilities Management Statutes Amendment Act, which places the burden of a defunct licensee's abandonment and reclamation obligations first on the defunct licensee's working interest partners, and second, the AER may order the orphan fund (Orphan Fund) established under the Oil and Gas Conservation Act (OGCA) to assume care and custody and accelerate the clean-up of wells or sites which do not have a responsible owner. These changes will come into force on proclamation.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changing landscape and new direction from the Redwater decision, in July 2020, the Government of Alberta began implementing changes to its liability management policy. In particular, in July 2020, the Province released a new Liability Management Framework (AB LMF) which includes a series of mechanisms and requirements to improve and expedite reclamation efforts and to require industry to better manage clean-up of oil and gas wells, pipelines and facilities. Notably, the AB LMF provided policy direction allowing the AER to take "Licensee Special Action" to assist operators in managing their assets and maintaining operations under certain circumstances.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Alberta followed the announcement of the AB LMF with amendments to the Oil and Gas Conservation Rules and the Pipeline Rules in late 2020. The changes to these rules fall into three broad categories: (i) they introduce "closure" as a defined term, which captures both abandonment and reclamation; (ii) they expand the AER's authority to initiate and supervise closure; and (iii) they permit qualifying third parties on whose property wells or facilities are located to request that licensees prepare a closure plan.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AB LMF provided Government of Alberta policy direction on managing energy sector closure requirements. The AER implements and administers that policy through directives. In April 2021, the AER made changes to Directive 67: Eligibility Requirements for Acquiring and Holding Energy Licenses and Approvals (Directive 67) in order to increase scrutiny the AER applies to ensure that authorization for oil and gas development is only granted to responsible parties. Those changes include additional requirements for industry to provide updated financial information when making certain applications to the AER and throughout the energy development lifecycle. As a result of the changes to Directive 67, the AER may revoke or restrict a company's eligibility to hold AER licenses if the AER determines that the licensee poses an "unreasonable risk", taking into account a broad range of financial and operational considerations.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AER published a new Directive 88: Licensee Life-Cycle Management (Directive 88) and supporting guidance information to further support implementing the AB LMF. Among other things, Directive 88 establishes the AER's authority to conduct a holistic licensee assessment to inform regulatory decisions about a given licensee, including by conducting a "Licensee Capability Assessment." Directive 88 also establishes the Licensee Management Program contemplated in the AB LMF which enables the AER to proactively monitor licensees to identify those at risk of not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their regulatory obligations and to use appropriate regulatory tools to address that risk. Finally, Directive 88 establishes the Inventory Reduction Program and allows the AER to set licensee-specific and industry-wide closure targets.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Complementing the AB LMF Program and associated directives, Alberta's OGCA establishes an orphan fund (Orphan Fund) to help pay the costs to suspend, abandon, remediate and reclaim a well, facility or pipeline included in the AB LMR Program if a licensee or working interest participant becomes insolvent or is unable to meet its obligations. The Orphan Fund was originally conceived to be bankrolled by licensees in the AB LMR Program who contribute to a levy administered by the AER. However, given the increase in orphaned oil and natural gas assets, the Government of Alberta has loaned the Orphan Fund approximately $335 million to carry out abandonment and reclamation work, of which, $121 million had been paid as of May 2023. In response to the COVID-19 pandemic, the Government of Alberta also covered $113 million in levy payments that licensees would otherwise have owed to the Orphan Fund, corresponding to the levy payments due for the first six months of the AER's fiscal year. A separate orphan levy applies to persons holding licenses for large facilities. Collectively, these programs, the AB LMF, and associated directives are designed to minimize the risk to the Orphan Fund posed by the unfunded liabilities of licensees and to prevent the taxpayers of Alberta from incurring costs to suspend, abandon, remediate and reclaim wells, facilities or pipelines.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and any other changes to the AER's approach to manages closure requirements for energy resource activities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British Columbia the BCER’s Comprehensive Liability Management Plan addresses liability management, improving the rate of inactive site restoration, and addressing orphan sites. The BCER uses a Liability Management Rating (LMR) program to evaluate each company’s ability to pay for site restoration. The BCER addresses dormant sites through the Dormancy and Shutdown Regulation, which ensures oil and natural gas producers responsibly bring their energy resource activities to regulatory closure within a reasonable time frame. The Dormant Sites Program is used to identify permit holders that are subject to the dormant site provisions of the Energy Resource Activities Act and the Dormancy and Shutdown Regulation. The regulation sets timelines for restoration and imposes requirements for decommissioning, site assessment, remediation and restoration. Like in Alberta, British Columbia’s Orphan Site Reclamation Fund is a levy on oil and natural gas producers that is used to pay the cost of restoring orphan sites in BC. If or when applicable to operations, any changes to the BCER’s approach to managing dormancy and closure requirements for energy resource activities may result in additional costs or liabilities for our customers’ operations.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Australian Environmental Regulations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is regulated by statutory environmental and land use controls at the federal, state and territory and local government levels which may result in land use approval, regulation of operations and compliance risk. These controls include: land use and urban design controls; controls to protect Australia’s natural environment, iconic places and Aboriginal and Torres Strait islander native title and heritage; the regulation of hard and liquid waste, including the requirement for trade waste and/or wastewater permits or licenses; the regulation of water, noise, heat, and atmospheric gases emissions; the regulation of the production, transport and storage of dangerous and hazardous materials (including asbestos); the regulation of pollution and site contamination and requirements to notify of and clean-up environmental contamination.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Controls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 federal level, the Environment Protection and Biodiversity Conservation Act 1999 (EPBC Act) is Australia’s key piece of environmental legislation. The EPBC Act protects of matters of national environmental significance, for example, threatened species and communities (e.g. Koalas), migratory species, Ramsar wetlands and world heritage properties. Activities that have the potential to impact matters protected by the EPBC Act trigger referral to the federal government for assessment and approval.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the findings of an independent review of the EPBC Act (Independent Review) recommended significant reforms including (but not limited to) introduction of legally binding ‘National Environmental Standards’, a ‘climate change’ referral trigger, measures to harness and recognize the importance of indigenous knowledge, stronger compliance and enforcement powers, proposals for revised bilateral agreements with the States and Territories to streamline the assessment and approval process of some activities regulated by the EPBC Act and criminal penalties for offenses relating to emissions-intensive actions.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federal government announced its response to the Independent Review. This response proposes various changes to the EPBC Act in line with the Independent Review, for example, the introduction of ‘National Environmental Standards’, creation of a federal Environmental Protection Agency and the introduction of a requirement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achieve ‘net positive’ outcomes. Several bills to effect some of the recommended reforms are currently before Parliament and a comprehensive draft bill is expected to be introduced in 2024 together with a draft of the proposed National Environmental Standards. Notably, the federal government is not presently proposing to introduce the climate change referral trigger recommended by the Independent Review.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 recommended reforms take effect, our obligations under, and compliance with, the EPBC Act ought to be reviewed. However, its implications for our Australian operations are not anticipated to be significant.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Ongoing awareness of these reforms is important as the legislative and policy changes may affect our customers’ operations and have impacts on the non-renewable resources sector generally.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an increasing emphasis from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federal legislation.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July 1, 2023, new obligations and reporting requirements took effect with respect to the ‘Safeguard Mechanism’ – Australia’s policy for reducing emissions from facilities that emit more than 100,000t CO2-e per financial year that has been in place since 2016. These reforms are intended to assist Australia meet its emissions reduction targets of 43% below 2005 levels by 2030 and may affect large scale industry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government has also proposed further climate-related disclosure requirements that are anticipated to take effect (for some companies) from mid-2024. These proposed disclosure requirements will oblige companies to disclose various climate-related information, including information about their greenhouse gas emissions, climate-related targets, offset contributions, transition plans, and information about strategies, plans and governance procedures/controls in place to monitor and manage climate-related risks and opportunities. If these reforms become law, we will have corporate reporting requirements in relation to these climate related matters, likely to commence in 2026.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State and Territory Controls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State and Territory level, our operations are authorized and regulated by layers of planning and environmental approvals. Queensland, New South Wales and Western Australia all have multiple acts regulating matters of the environment, conservation, vegetation management and protection of aboriginal and Torres Strait Islander use rights which are administered by each States’ independent environment protection regulator (e.g. Queensland’s Department of Environment, Science and Innovation). If amendments are made to the EPBC Act to effect new bilateral agreements, the States and Territories will likely be given further power to assess and approve certain actions regulated the EPBC Act.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state law, some specified activities, for example, sewage treatment works at our sites, may require regulation by way of environmental approvals. Such approvals may also impose monitoring and reporting obligations on the holder as well as obligations to rehabilitate the subject site once the regulated activity has ceased.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ensure that all necessary approvals, permits and licenses are in place to authorize our operations and that the conditions of those approvals, permits and licenses are complied with until the relevant operations cease (and are cleaned-up if necessary). Where approvals are not held and/or complied with, the operation may be unlawful and subject to penalties, including stop-work orders, remediation orders and financial penalties. Our Australian operations continue to comply with our existing approvals, permits and licenses.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positive obligation under state legislation to notify of an incident causing (or threatening) serious or material environmental harm. Examples of notifiable environment harm include effluent overflow, chemical leaks and chemical fires. Failure to discharge this obligation can attract significant sanctions and financial penalties.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Local Government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local government level, our operations are subject to, and regulated by, local laws administered by local government authorities. Local laws may cover matters such as operation of certain activities, management of vegetation and natural and anthropogenic hazards, actionable nuisance and fencing. Local laws differ between each local government area and we must understand and operate within these laws as they apply to our operations Australia wide.</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U.S. Environmental Regulations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In addition,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GHG Emissions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EPA has adopted rules requiring the monitoring and reporting of GHG emissions from specified large GHG emission sources in the U.S., including, offshore and onshore oil and natural gas production facilities, on an annual basis. In December 2023, the EPA issued a final rule updating New Source Performance Standards (NSPS) and providing emission guidelines to reduce methane and other pollutants from the oil and gas industry.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the U.S. Congress has, from time to time, considered legislation to reduce emissions of GHGs, in recent years, there has not been significant activity in the form of adopted legislation to reduce GHG emissions at the federal level. In the absence of federal climate legislation in the U.S., a number of state and regional efforts have emerged that are aimed at tracking and/or reducing GHG emissions, including cap and trade programs that typically require major sources of GHG emissions, such as electric power plants, to acquire and surrender emission allowances in return for emitting those GHGs. The U.S. participated in the creation of the Paris Agreement at COP 21 in December 2015. Although the U.S. had withdrawn from the Paris Agreement, in November 2020, the Biden administration officially reentered the U.S. into the agreement in February 2021. Under the Paris Agreement, the Biden Administration has committed the U.S. to reducing its greenhouse gas emissions by 50% to 52% from 2005 levels by 2030. In November 2021, the U.S.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clean energy.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Environmental Regulations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as well as the operations of our customers, are also subject to various laws and regulations addressing the management, disposal and releases of regulated substances, including the federal Resource Conservation and Recovery Act, as amended (RCRA), the federal Comprehensive Environmental Response, Compensation and Liability Act, as amended (CERCLA), also known as the Superfund law, and comparable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pStyle w:val="TextBody"/>
        <w:bidi w:val="0"/>
        <w:spacing w:before="0" w:after="0"/>
        <w:ind w:left="0" w:right="0" w:firstLine="360"/>
        <w:jc w:val="both"/>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The designation of previously unprotected species as threatened or endangered or designation of previously unprotected habitat as critical habitat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Hydraulic fracturing is an important and common practice in the oil and gas industry. The process involves the injection of water, sand and chemicals under pressure into a formation to fracture the surrounding rock and stimulate production of hydrocarbons. Certain environmental advocacy groups and regulatory agencies have suggested that additional federal, state and local laws and regulations may be needed to more closely regulate the hydraulic fracturing process, and have made claims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hydraulic fracturing techniques are harmful to surface water and drinking water resources and may cause earthquakes. Various governmental entities (within and outside the U.S.) are in the process of studying, restricting, regulating or preparing to regulate hydraulic fracturing, directly or indirectly.</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EPA already regulates certain hydraulic fracturing operations involving diesel under the Underground Injection Control program of the federal Safe Drinking Water Act. In January 2021, President Biden announced a moratorium on new oil and gas leasing on federal lands and offshore waters pending completion of a comprehensive review and reconsideration of federal oil and gas permitting and leasing practices. In August 2022, a federal district judge in Louisiana permanently enjoined the moratorium in the 13 states that filed a lawsuit against the action.</w:t>
      </w:r>
    </w:p>
    <w:p>
      <w:pPr>
        <w:pStyle w:val="TextBody"/>
        <w:bidi w:val="0"/>
        <w:spacing w:before="0" w:after="0"/>
        <w:ind w:left="0" w:right="0" w:firstLine="540"/>
        <w:jc w:val="both"/>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States and local governments may also seek to limit hydraulic fracturing activities through time, place, and manner restrictions on operations or ban the process altogether. The adoption of legislation or regulatory programs that restrict hydraulic fracturing could adversely affect, reduce or delay well drilling and completion activities, increase the cost of drilling and production, and thereby reduce demand for our services. There also exists the potential for the Biden Administration to pursue new or amended laws, regulations, executive actions and other regulatory initiatives that could impose more stringent restrictions on hydraulic fracturing, including potential restrictions on hydraulic fracturing by banning new oil and gas permitting on federal lands. While our operations are not directly affected by these actions, their impact on our oil and natural gas exploration and production customers could result in a decreased demand for the services that we provide.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7" w:before="0" w:after="0"/>
        <w:ind w:left="0" w:right="0" w:firstLine="540"/>
        <w:jc w:val="both"/>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We are subject to</w:t>
      </w:r>
      <w:r>
        <w:rPr>
          <w:color w:val="000000"/>
        </w:rPr>
        <w:t xml:space="preserve"> </w:t>
      </w:r>
      <w:r>
        <w:rPr>
          <w:rFonts w:ascii="Times New Roman;sans-serif" w:hAnsi="Times New Roman;sans-serif"/>
          <w:b w:val="false"/>
          <w:i/>
          <w:color w:val="000000"/>
          <w:sz w:val="20"/>
        </w:rPr>
        <w:t>various</w:t>
      </w:r>
      <w:r>
        <w:rPr>
          <w:color w:val="000000"/>
        </w:rPr>
        <w:t xml:space="preserve"> </w:t>
      </w:r>
      <w:r>
        <w:rPr>
          <w:rFonts w:ascii="Times New Roman;sans-serif" w:hAnsi="Times New Roman;sans-serif"/>
          <w:b w:val="false"/>
          <w:i/>
          <w:color w:val="000000"/>
          <w:sz w:val="20"/>
        </w:rPr>
        <w:t>risks and hazards due to the nature of the business activities we conduct. The risks summarized and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in this section are grouped by category. Many risks affect more than one category and the risks are not in order of significance or probability of occurrence because they have been grouped by categories.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is a summary of the risks more fully described in this Part I, Item 1A. “Risk Factors” of this Annual Report on Form 10-K. This summary should be read in connection with the Risk Factors more fully described below and should not be relied upon as an exhaustive summary of the material risks facing our business. </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Macroeconomic-Business Environment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Certain of our customers’ spending may be directly, and our business may be indirectly, affected by (i) volatile or low oil, metallurgical (met) coal, natural gas or iron ore prices; (ii) increasing production costs; or (iii) unsuccessful exploration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public health crises, pandemics and epidemics may materially affect how we and our customers are operating our and their businesses.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customers and their operations are exposed to a number of unique operating risks and challenges.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depend on several significant customers.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failure to retain our current customers, renew our existing customer contracts and obtain new customer contracts, or the termination of existing contracts, could adversely affect our business.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events in areas where we operate could negatively impact our business, and our geographic concentration could limit the number of customers seeking our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adversely affected if customers reduce their accommodations outsourcing.</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Risks Related to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operate in a highly competitive industry, and if we fail to compete effectively, our business will suffer.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operations may suffer due to over-capacity of certain types of accommodations assets in certain regions.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operating costs and limited cost recovery through pricing or contract terms may constrain our ability to make a profit.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Employee and customer labor problems could adversely affect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failure to maintain food safety or comply with government regulations related to food and beverages or serving alcoholic beverages may subject us to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majority of our major Canadian lodges are located on land subject to leases.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susceptible to seasonal earnings volatility due to adverse weather conditions in our regions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maintain positive relationships with the Indigenous people in the areas where we operate could adversely affect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Development of permanent infrastructure in the areas where we locate our assets could negatively impact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subject to risks associated with the transportation, installation and demobilization of mobile accommodations.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business could be negatively impacted by security threats, including cybersecurity threats and other disruptions.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could be disrupted by any failure of our information technology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Loss of key members of our management could adversely affect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Financial/Accounting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Currency exchange rate fluctuations could adversely affect our U.S. dollar reported results of operations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have adequate insurance for potential liabilities and insurance may not cover certain liabilities.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cyclical nature of our business and a severe prolonged downturn has, and could in the future, negatively affect the value of our long-lived assets and our goodwill.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inability to control the inherent risks of identifying, acquiring and integrating businesses that we may acquire could adversely affect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indebtedness could restrict our operations and make us more vulnerable to adverse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Legal and Regulatory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do business in Canada and Australia, whose political and regulatory environments and compliance regimes differ from those in the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subject to extensive and costly environmental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exposed to certain regulatory and financial risks related to climate change and other environmental, social and governance (ESG) related matters.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Common Shares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price and trading volume of our common shares may be volatile.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payment of dividends and repurchases of our common shares are each within the discretion of our Board of Directors, and there is no guarantee that we will pay any dividends or repurchase common shares in the future or at levels anticipated by our shareholders.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governed by the corporate laws in British Columbia, Canada.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contained in our articles and applicable Canadian and British Columbia laws could discourage a take-over attempt.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enforcement of civil liabilities against Civeo may be more difficult.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Structure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subject to various Canadian, Australian and other taxes.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remain subject to changes in tax law (in various jurisdictions) and other factors that could impact our effective tax 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potential changes to U.S. tax laws could result in Civeo being treated as a U.S. corporation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Macroeconomic Business Environment</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Certain of our customers’ spending may be directly, and our business may be indirectly, affected by (i) volatile or low oil, metallurgical (met) coal, natural gas or iron ore prices; (ii) increasing production costs; or (iii) unsuccessful exploration results.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services is sensitive to the level of exploration, development and production activity of, and the corresponding capital spending by, natural resources companies. Our business typically supports customer projects that are capital intensive and require several years to generate first production, with production lasting for decades. The economic analyses conducted by our customers in Canadian oil sands, Australian mining and global liquefied natural gas (LNG) investment areas have historically assumed a relatively conservative longer-term price outlook for production from such projects to determine economic viability. The willingness of natural resources companies to explore, develop and produce depends largely upon the availability of attractive resource prospects and the prevailing view of future commodity prices, and expenditures by our natural resources customers generally lag changes in commodity prices by at least three to six months.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met coal, LNG, iron ore and other natural resources are subject to large fluctuations in response to changes in global supply of and demand for these commodities. Other factors beyond our control that affect commodity prices include:</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worldwide economic activity including growth in and demand for oil, coal and other natural resources, particularly from developing countries, such as China and India;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activity, spending and natural resource developments in Australia and Canada;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level of global oil and gas exploration and production and the impact of government regulation or Organization of the Petroleum Exporting Countries Plus (OPEC+) policies that impact production levels and oil prices;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transportation infrastructure and refining capacity for oil, natural gas, LNG and coal;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global weather conditions, natural disasters and global health concerns;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geopolitical events such as the ongoing Russia/Ukraine and Israel/Hamas conflicts;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reduction in demand for fossil fuels due to international efforts to address climate change;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rapid technological change and the timing and extent of energy resource development, including hydraulic fracturing of horizontally drilled wells in shale discoveries and LNG;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development, commercialization, availability and economics of alternative fuels;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government, tax and environmental regulation, including climate change legislation and clean energy policies.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23, 2024, the West Texas Intermediate (WTI) price was $77.54 and the Western Canadian Select (WCS) price was $58.60, resulting in a discount (WCS Differential) at which WCS trades relative to WTI of $18.94. Should the price of WTI decline or the WCS discount to WTI widen further, our oil sands customers may delay or eliminate additional investments, reduce their spending in the oil sands region or curtail or shut-down existing operations.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effects of public health crises, pandemics and epidemics may materially affect how we and our customers are operating our and their businesses.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health crises, pandemics and epidemics, such as the COVID-19 pandemic, have adversely impacted and may in the future adversely impact, worldwide economic activity, including the operations of natural resources companies in Canada, Australia and the U.S. and the worldwide demand for oil and natural gas. Other effects of such public health crises, pandemics and epidemics include significant volatility and disruption of the global financial markets; continued volatility of commodity prices and related uncertainties around OPEC+ production; disruption of operations resulting from decreased customer demand and labor shortages; supply chain disruptions or equipment shortages; reduced capital spending by oil and gas companies; and employee impacts from illness, travel restrictions, including border closures, and other community response measures. </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extent to which our business operations and financial results may be affected by such public health crises, pandemics and epidemics depends on various factors beyond our control, such as the duration, severity and sustained geographic impact of the outbreak; the impact and effectiveness of governmental actions to contain and treat such outbreaks, including government policies and restrictions; vaccine hesitancy, vaccine mandates, and voluntary or mandatory quarantines; and the global response surrounding such uncertainties.</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Customers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customers and their operations are exposed to a number of unique operating risks and challenges which could also adversely affect us.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materially adversely affected by disruptions to our customers’ operations. The price of and demand for natural resources produced by our customers may impact their desire and/or ability to continue producing existing projects or start new projects. Customers may also experience unexpected problems, higher costs or delays in commencing, developing or producing a project. Additionally, the willingness of natural resources companies to explore, develop and produce may be impacted by pressures to limit increases in capital spending generally and on met coal and hydrocarbons in particular, as well as by cost overruns on past and current projects, which could adversely impact demand for our services. Operating risks and challenges our customers face, which may ultimately affect their need for the accommodations and services we provide,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commodity price volatility;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and adverse geological, geotechnical, seismic and mining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lack of availability or failure of the required infrastructure, including sourcing sufficient water or power, necessary to maintain or to expand their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breakdown or shortage of equipment and labor necessary to maintain their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capital project cost overruns and cost inflation;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the natural resources industry being subject to laws and regulations, including those governing air and greenhouse gas emissions, as well as various regulatory approvals, including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to land titles, mining titles and use thereof as a result of native title claims;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claims by persons living in close proximity to mining projects, which may have an impact on the consents granted;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interruptions to the operations of our customers caused by governmental action, industrial accidents, disputes or public health emergencies.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several significant customers.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several significant customers, including customers that operate in the natural resources industry.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the natural resources industry may impact our overall exposure to credit risk, either positively or negatively, in that customers may be similarly affected by changes in economic and industry conditions. With low and/or volatile oil and gas prices, some of our customers may face liquidity issues, which could impair their ability to pay or otherwise perform on their obligations. Furthermore, some of our customers may be highly leveraged and subject to their own operating and regulatory risks, which increases the risk that they may default on their obligations to us. For a more detailed explanation of our customers, see “Business” in Item 1 of this annual report.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failure to retain our current customers, renew our existing customer contracts and obtain new customer contracts, or the termination of existing contracts, could adversely affect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that we will be able to obtain new business, renew existing customer contracts at the same or higher levels of pricing, or at all, or that our current customers will not turn to competitors, cease operations, elect to (i) utilize their own, on-site accommodations or (ii) terminate contracts with 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contract intensive and we are party to many contracts with customers. Due to the volatile nature of commodity prices, our customers may not renew contracts on terms favorable to us or, in some cases, at all, and we may have difficulty obtaining new business.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Additionally, our exclusivity contracts do not include minimum room commitments, so we receive payment only if the customer utilizes our services. Finally, while we periodically review our compliance with contract terms and provisions, if customers were to dispute our contract determinations, the resolution of such disputes in a manner adverse to our interests, including customers withholding payments or modification of payment terms, could negatively affect sales and operating results.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renew the land lease associated with our McClelland Lake Lodge in Alberta, Canada, which expired in June 2023, in order to support our customer’s intent to mine the land where the lodge was located. In addition, the accompanying hospitality services contract at McClelland Lake Lodge expired in July 2023; however, we continued to provide hospitality services to the customer at our other owned lodges through January 31, 2024 under a short-term take-or-pay commitment. We completed the sale of the McClelland Lake Lodge assets in January 2024. Revenues associated with the 2023 room commitments at the lodge through July 2023 were approximately C$39 million.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contract cancellations, reduced customer utilization, the failure to renew a significant number of our existing contracts or the failure to obtain new business would have a material adverse effect on our business and results of operations.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Due to the significant geographic concentration of our business, adverse events in areas where we operate could negatively impact our business, and our geographic concentration could limit the number of customers seeking our services.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concentration of our business in three relatively small geographic areas: the oil sands region of Alberta, Canada, the coal producing, Bowen Basin region of Queensland, Australia and the iron ore producing, Pilbarra region of Western Australia, we have increased exposure in these areas to political, regulatory, environmental, labor, climate or natural disasters such as forest fires or flooding, events or developments that could disproportionately impact our operations and financial results. For example, in 2011 and 2017, cyclones and resulting flooding threatened our villages in Australia. Similarly, in 2011 and 2016, forest fires in northern Alberta impacted areas near our Canadian oil sands lodges. Moreover, global climate change may result in significant natural disasters occurring more frequently or with greater intensity, such as drought, wildfires, storms, sea-level rise, and flooding. Many of the areas in which we operate are very remote with limited local supplies, including availability of water, electricity or natural gas necessary to operate our business, and any significant adverse events such as those discussed above could impact our ability to obtain good or services and personnel.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limited number of potential customers operate in the areas in which our business is located, and occupancy at each of our lodges may be constrained by the radius which potential customers are willing to transport their workers. Our geographic concentration could limit the number of customers seeking our services, and as to any single lodge or village,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if customers reduce their accommodations outsourcing.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growth strategies depend in large part on customers outsourcing some or all of the services that we provide. Many natural resources companies in our core markets own their own accommodations facilities, while others outsource all or part of their accommodations requirements. Customers have largely built their own accommodations in the past but will outsource for additional capacity or if they perceive that outsourcing may provide quality services at a lower overall cost or allow them to 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a highly competitive industry, and if we fail to compete effectively, our business will suffer.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workforce accommodations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availability, price, location, technical knowledge and experience and safety performance. We compete with international and regional competitors, several of which are significantly larger than us. These competitors offer similar services in the geographic regions in which we operate. Many natural resources companies in our core markets own their own accommodations facilities and outsource their service requirements,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may suffer due to over-capacity of certain types of accommodations assets in certain regions.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and/or pricing of rooms and accommodation services is subject to the overall availability of rooms in a region. If demand for our assets were to decrease, or to the extent that we and our competitors have capacity in excess of current demand, we may encounter decreased pricing for, or utilization of, our assets and services, which could adversely impact our operations and profits. For example, we experienced a decrease in customer demand in 2020 for accommodations in the Canadian oil sands and our U.S. business as a result of the economic disruption caused by COVID-19, and experienced a corresponding decrease in our occupancy and profitability. Continued volatility in commodity price levels, any future global health crises, inflationary pressures, actions taken by OPEC+ to adjust production levels, geopolitical events such as the ongoing Russia/Ukraine and Israel/Hamas conflicts, and regulatory implications on such prices, among other factors, could cause our Canadian oil sands and pipeline customers to reduce production, delay expansionary and maintenance spending and defer additional investments in their oil sands assets, which would cause a decrease in customer demand for our accommodations.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Increased operating costs and limited cost recovery through pricing or contract terms may constrain our ability to make a profit.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For example, substantial increases in the cost of fuel and utilities have historically resulted in cost increases in our lodges and villages.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last eighteen months, we have experienced a significant increase in our food costs due to global inflationary pressures. While inflation has stabilized, and while we have been able to pass some of the increased costs onto our customers, we expect to continue to experience increases in our food costs from time to time due to increasing fuel prices, rising global food demand, other general inflationary pressures and rising supply chain issues affecting supply of goods. In addition, food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prices can fluctuate as a result of foreign exchange rates and temporary changes in supply, including as a result of incidences of wildfires or severe weather such as droughts, heavy rains and late freezes, or other climate effects. Climate and natural disaster events, such as forest fires or flooding, have the ability to impact local crop production, limiting supply and therefore having an upward pressure on food prices. For example, large swathes of farmland across the Australian states of New South Wales, Queensland and Victoria in 2022 were inundated with flood waters, damaging wheat and other crops including fruit and vegetables.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shortage of skilled labor could also result in higher wages due to more expensive temporary hire labor resources that would increase our labor costs, which could negatively affect our profitability. For example, we have recently been impacted by increased staff costs as a result of hospitality labor shortages in Australia due to low levels of immigration into Australia and, specifically, an acute shortage of skilled labor. The reduced levels of immigration and shortage of skilled labor subsequently led to an increased reliance on more expensive temporary labor hire resources and negatively affected our profitability. Additionally, an increased proportion of temporary labor hire resources has the effect of driving up costs due to a lack of efficiency. The nature of temporary labor hire resource positions are short term, with key skills unable to be retained in our lodges and villages due to higher staff turnover.</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our multi-year contracts often provide for annual escalation in our room rates for food, labor and utility inflation, we may be unable to fully recover costs, or the recovery may be delayed, and such increases would negatively impact our profitability on contracts that do not contain such inflation protections.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Employee and customer labor problems could adversely affect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labor intensive requiring a significant number of employees to perform housekeeping, janitorial and food service functions at our locations or locations that we manage. As our operations grow or our occupancy increases, we require additional staff to take care of our guests at a standard we deem appropriate and to operate safely. If we are unable to hire a sufficient labor force, we could be required to increase wages or use temporary labor at a higher cost and reduced efficiency. In recent years, we experienced, and expect to continue to experience, a shortage of labor for certain functions, inflationary pressures on wages, and an increasingly competitive labor market. The extent and duration of the effect of these labor market challenges are subject to numerous factors, including geopolitical events such as the ongoing Russia/Ukraine and Israel/Hamas conflicts, availability of qualified persons in the markets where we and our contracted service providers operate, inflation and unemployment levels within these markets and our reputation within the labor market. Inefficient operations or further increased labor costs resulting from these labor market challenges could negatively impact our profitability and could damage our reputation with our customers.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 of December 31, 2023, we were party to collective bargaining agreements covering 798 employees in Canada and 1,020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or adversely impact our reputation, which could adversely affect our business and results of operations. Additional unionization efforts and new collective bargaining agreements also could materially increase our costs or limit our flexibility. Collective bargaining agreements in our Canadian operations have individual expiration dates, but in no case extend beyond 2026. Enterprise bargaining agreements in our Australian operations cover certain employees working at our villages in Queensland, New South Wales and Western Australia, as well as certain employees working at our integrated services customer-owned sites in Western Australia and South Australia. These agreements either have individual expiration dates or continue until either party seeks to have such agreement cancelled, but in no case extend beyond 2024.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 failure to maintain food safety or comply with government regulations related to food and beverages or serving alcoholic beverages may subject us to liability.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Future food product recalls and health concerns associated with food contamination may also increase our raw materials costs and, from time to time, disrupt our business.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 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to third parties for the acts of the patron. We cannot guarantee that certain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majority of our major Canadian lodges are located on land subject to leases. If we are unable to renew a lease or obtain permits necessary to operate on such leased land, we could be materially and adversely affected.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major Canadian lodges are located on land subject to provincial leases. Accordingly, while we own the accommodations assets, we only own a leasehold in those properties. If we are found to be in breach of a lease, we could lose the right to use the property. In addition, our leases generally have an initial term of ten years and will expire between 2024 and 2030 unless extended.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at our own cost, which could be material.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renew an expiring land lease associated with our McClelland Lake Lodge in Alberta, Canada, which expired in June 2023, in order to support our customer’s intent to mine the land where the lodge was located. As of December 31, 2023, we had an asset retirement obligation (ARO) liability related to the McClelland Lake Lodge on our balance sheet of $0.3 million. Consistent with U.S. generally accepted accounting principles, this liability is the estimated present value of the amount of required asset removal and site remediation costs related to the retirement of assets at this location in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other ARO liabilities on our balance sheet of $16.2 million. Should the remediation requirement be accelerated, our near term cash obligation could be significantly larger than the liability currently on our balance sheet and could negatively impact our cash flows and liquidity.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in certain areas in which we operate, we are required to seek permits from local government agencies in order to build a new lodge or operate an existing lodge on leased land. We can provide no assurances that we will be able to renew our leases or permits upon expiration on similar terms, or at all. If we are unable to renew our leases or permits on similar terms, it may have an adverse effect on our business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susceptible to seasonal earnings volatility due to adverse weather conditions in our regions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operations are directly affected by seasonal differences in weather in the areas in which we operate.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quarter. During the Australian rainy season, generally between the months of November and April, our operations in Queensland and the northern parts of Western Australia can be affected by cyclones, monsoons and resultant flooding. Additionally, the areas in which we operate are susceptible to wildfires. Finally, global climate change may result in certain of these adverse weather conditions occurring more frequently or with greater intensity.</w:t>
      </w:r>
      <w:r>
        <w:rPr>
          <w:color w:val="000000"/>
        </w:rPr>
        <w:t xml:space="preserve"> </w:t>
      </w:r>
      <w:r>
        <w:rPr>
          <w:rFonts w:ascii="Times New Roman;sans-serif" w:hAnsi="Times New Roman;sans-serif"/>
          <w:b w:val="false"/>
          <w:color w:val="000000"/>
          <w:sz w:val="20"/>
        </w:rPr>
        <w:t>If any of these conditions occur, our operations could be interrupted and our earnings may be adversely impacted.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 to maintain positive relationships with the Indigenous people in the areas where we operate could adversely affect our business.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Indigenous lands. The inability to develop and maintain relationships and to be in compliance with local requirements could have an adverse effect on our business and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Development of permanent infrastructure in the areas where we locate our assets could negatively impact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specialize in providing hospitality services for workforces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operate, then demand for our hospitality services could decrease as customer employees move to the region and choose to utilize permanent housing and food service.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risks associated with the transportation, installation and demobilization of mobile accommodations.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several contracts to transport and install modular, skid-mounted accommodations and central facilities that can be quickly configured to serve a multitude of short- to medium-term accommodation needs. In connection with the transportation and installation of these facilities, we may be exposed to various risks,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delays in necessary approvals to install the facilities or objections to our activities or those of our customers aired by aboriginal or community interests, environment and/or neighborhood groups which may cause delays in the granting of such approvals and/or the overall progress of a project;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challenges during installation, including problems, defects, inclement weather conditions, land contamination, cultural heritage claims, difficult site access or industrial relations issues;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quality of our materials and workmanship, including warranties and defect liability obligations.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security threats, including cybersecurity threats and other disruptions.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face various security threats, including cybersecurity threats to gain unauthorized access to sensitive information or to render data or systems unusable or hold them for ransom;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including cybersecurity insurance,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competitive position, financial position, results of operations or cash flows. In addition, such events could result in litigation, regulatory action and potential liability, including liability under laws that protect the privacy of personal information, as well as the costs and operational consequences of implementing further data protection measures.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attacks in particular develop and evolve rapidly, including from emerging technologies, such as advanced forms of artificial intelligence. Such attacks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We have experienced, and expect to continue to confront, efforts by hackers and other third parties to gain unauthorized access or deny access to, or otherwise disrupt, our information systems and networks. While we have not experienced a material cybersecurity incident in the last three years, a material cybersecurity incident could have a material adverse effect on our business, financial condition, results of operations or liquidity.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Our business could be disrupted by any failure of our information systems.</w:t>
      </w:r>
      <w:r>
        <w:rPr>
          <w:color w:val="000000"/>
        </w:rPr>
        <w:t xml:space="preserv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systems to actively manage our accommodation services, including with respect to administrative functions, financial and operational data, ordering and point of sale processing, to enhance our ability to optimize facility utilization, occupancy, costs of goods sold and average daily rate. The failure of our information systems to perform as anticipated could damage our reputation with our customers, disrupt our business or result in, among other things, decreased revenue and increased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and operating costs, any of which could materially adversely affect our operations and operating results. Furthermore, these technologies may require refinements and upgrades, which may require significant investment by us. As various systems and technologies become outdated or new technology is required, we may not be able to replace or introduce them as quickly as needed or in a cost- effective and timely manner. As a result, we may not achieve the benefits we may have been anticipating from any new technology or system</w:t>
      </w:r>
      <w:r>
        <w:rPr>
          <w:rFonts w:ascii="Calibri;sans-serif" w:hAnsi="Calibri;sans-serif"/>
          <w:b w:val="false"/>
          <w:color w:val="000000"/>
          <w:sz w:val="22"/>
        </w:rPr>
        <w:t>.</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 of key members of our management could adversely affect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Financial/Accounting Risks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Currency exchange rate fluctuations could adversely affect our U.S. dollar reported results of operations and financial position.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we are exposed to currency exchange risk primarily between the U.S. dollar and the Canadian and Australian dollars. For the year ended December 31, 2023, 98%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 We may attempt to limit the risks of currency fluctuation where possible by entering into financial instruments to protect against foreign currency exposure, but, to date, we have not entered into any foreign currency financial instruments. Our efforts to limit exchange risks may be unsuccessful, thereby exposing us to foreign currency fluctuations that could cause our results of operations, financial condition and cash flows to deteriorate.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have adequate insurance for potential liabilities and insurance may not cover certain liabilities.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including cyber risk insurance,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the insurance policies of Oil States International, Inc. (Oil States) for occurrences prior to the completion of our spin-off from Oil States in May 2014 (the Spin-Off). The specifications and insured limits under those policies, however, may be insufficient for such claims. We also face other risks related to our insurance coverage, including (i) we may not be able to continue to obtain insurance on commercially reasonable terms; (ii) the counterparties to our insurance contracts may pose credit risks; (iii) we may incur losses from interruption of our business that exceed our insurance coverage; and (iv) we may not be able to procure insurance for certain risks due to various factors including insurance market constraints.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cyclical nature of our business and a severe prolonged downturn has, and could in the future, negatively affect the value of our long-lived assets and our goodwill.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impairments of our long-lived assets of $1.4 million, $5.7 million and $7.9 million in 2023, 2022 and 2021, respectively. As of December 31, 2023, goodwill at our Australian reporting unit represented 1% of total assets, or $7.7 million.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us to recognize further impairment losses on our long-lived assets or on the goodwill at our Australian reporting unit include, among other things, extended periods of limited or no activity by our customers at our lodges or villages, increased or unanticipated competition, and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inability to control the inherent risks of identifying, acquiring and integrating businesses that we may acquire, including any related increases in debt or issuances of equity securities, could adversely affect our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The success of any acquisitions we make depends, in large part, on our ability to realize the anticipated benefits, including operating synergies from combining our businesses, which were previously operated independently, and retaining and integrating key employees, vendors and customers from the acquired businesses. An inability to realize expected strategic advantages as a result of the acquisition would negatively affect the anticipated benefits of the acquisition.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an acquisition may bring us into businesses we have not previously conducted or geographies in which we have not previously operated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indebtedness could restrict our operations and make us more vulnerable to adverse economic conditions.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approximately $65.6 million outstanding under the revolving portion of our Syndicated Facility Agreement (Credit Agreement), $1.4 million of outstanding letters of credit and an additional $133.1 million in remaining capacity to borrow under the revolving portion of the Credit Agreement. If market or other economic conditions remain depressed or further deteriorate, our borrowing capacity may be reduced.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Agreement contains, and any future indebtedness we incur may contain, a number of restrictive covenants that impose significant operating and financial restrictions on us and may limit our ability to, among other things, borrow funds, dispose of assets, pay dividends and make certain investments. In addition, these covenants also may limit our ability to obtain future financings, make needed capital expenditures, withstand a continued downturn in our business or a downturn in the economy in general or otherwise conduct necessary corporate activities. Our ability to comply with these covenants may be affected by events beyond our control. Declines in commodity prices, or a prolonged period of commodity prices at depressed levels, could eventually result in our failing to meet one or more of the financial covenants under the Credit Agreement, which could require us to refinance or amend such obligations resulting in the payment of consent fees or higher interest rates, or require us to raise additional capital at an inopportune time or on terms not favorable to 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these covenants, ratios or tests could also result in an event of default. A default under the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our debt, including repaying outstanding borrowings under our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including dividend payments and share repurchases,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Legal and Regulatory Risks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business in Canada and Australia, whose political and regulatory environments and compliance regimes differ from those in the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attributable to operations in Canada and Australia. These activities accounted for 98% of our consolidated revenue in the year ended December 31, 2023. Risks associated with our operations in Canada and Australia include, but are not limited to, (i) different taxing regimes; (ii) changing political conditions at the federal, provincial or state level; (iii) changing international and U.S. monetary policies; and (iv) regional economic downturns.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regimes in these countries are substantially different than those in the U.S. and may be unfamiliar to U.S. investors. Violations of non-U.S. laws could result in monetary and criminal penalties against us or our subsidiaries and could damage our reputation and, therefore, our ability to do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and costly environmental laws and regulations that may require us to take actions that will adversely affect our results of operations.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There is inherent risk of environmental costs and liabilities in our business as a result of historical industry operations and waste disposal practices, which include air emissions and waste water discharges as well as our handling of petroleum hydrocarbons related to our operations.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laws and regulations are subject to change in the future, possibly resulting in more stringent requirements. The implementation of new laws and regulations could result in materially increased costs, stricter standards and enforcement, increased reporting obligations,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scientists have concluded that increasing concentrations of greenhouse gases (GHG) in the earth’s atmosphere may produce climate changes that have significant physical effects, such as increased frequency and severity of storms, droughts, and floods and other climatic events.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by us to comply with applicable environmental laws and regulations may result in governmental authorities taking actions against our business that could adversely impact our business and results of operations, including the issuance of administrative, civil and criminal penalties; denial or revocation of permits or other authorizations; reduction or cessation of operations; and performance of site investigatory, remedial or other corrective actions.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exposed to certain regulatory and financial risks related to climate change and other ESG-related matters.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and other ESG-related matters are receiving increasing attention from the media, scientists and legislators alike, which has resulted in legislative, regulatory and other initiatives, including international agreements, to reduce greenhouse gas emissions, such as carbon dioxide and methane, and proposed regulations to increase climate change reporting obligations. Significant focus is being made on companies that are active producers of fossil fuels, or companies which serve such producers.</w:t>
      </w:r>
    </w:p>
    <w:p>
      <w:pPr>
        <w:pStyle w:val="TextBody"/>
        <w:bidi w:val="0"/>
        <w:spacing w:before="0" w:after="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Efforts have been made and continue to be made in the international community toward the adoption of international treaties or protocols that would address global climate change issues and impose reductions of hydrocarbon-based fuels. There are a number of legislative and regulatory proposals to address greenhouse gas emissions, including increased fuel efficiency standards, carbon taxes or cap and trade systems, restrictive permitting, and incentives for renewable energy, which are in various phases of discussion or implementation. Moreover, such legislation, regulations and proposals are subject to frequent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by regulatory authorities. The outcome of Canadian, Australian and U.S. federal, regional, provincial and state actions to address global climate change could result in a variety of regulatory programs including potential new regulations, additional charges to fund energy efficiency activities, or other regulatory actions. These actions could both (i) directly impact us due to increased costs associated with our operations, and (ii) indirectly impact us due to increased costs of and/or reduced demand for our customers' operations, and resulting reduced demand for our services.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adoption of these or similar proposals by Canadian, Australian or U.S. federal, regional, provincial, state or local governments mandating a substantial reduction in greenhouse gas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and assess acquisitions. Furthermore, members of the investment community, as well as political advocacy groups, are increasing their focus on ESG practices and disclosures by public companies, and concerns over climate change have resulted in, and are expected to continue to result in, the adoption of regulatory requirements for climate-related disclosures. As a result, we may continue to face increasing pressure regarding our ESG disclosures and practices, and mandatory reporting obligations could increase our compliance burden and costs. We publish an annual ESG Report, which outlines our progress and ongoing efforts to advance our ESG initiatives. Our disclosures on these matters rely on management’s expectations as of the date the statements are first made, as well as standards for measuring progress that are still in development, and may change or fail to be realized. These expectations and standards may continue to evolve. If our ESG disclosures and practices do not meet regulatory, investor or other stakeholder expectations and standards, which continue to evolve, it could have a material adverse effect on our business or demand for our services. At the same time, some stakeholders and regulators have increasingly expressed or pursued opposing views, legislation, and investment expectations with respect to ESG, including the enactment or proposal of “anti-ESG” legislation or policies. By publishing our annual ESG Report, our business may also face increased scrutiny related to ESG activities and be unable to satisfy all stakeholders. Additionally, members of the investment community may screen our ESG disclosures and performance before investing in our common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1. “Business - Government Regulation” of this annual report for a more detailed description of our climate-change related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Common Shares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The market price and trading volume of our common shares may be volatile.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shares has historically experienced and may continue to experience volatility. For example, during 2023, the market price of our common shares ranged from a low of $17.87 per share to a high of $36.88 per share. The market price of our common shares may be influenced by many factors, some of which are beyond our control, including those described above and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financial estimates by analysts and our inability to meet those financial estimates;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strategic actions by us or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by us or our competitors of significant contracts, acquisitions, joint marketing relationships, joint ventures or capital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variations in our quarterly operating results and those of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economic and stock market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business and our industry, including those discussed above;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conditions or trends in our industry, markets or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geopolitical events or terrorist acts, including cybersecurity threats;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trading volume of our common shares;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majority of our common shares being held by a few shareholders;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policy on share repurchases and dividend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sales of our common shares or other securities by us, members of our management team or our existing shareholders;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investor perceptions of the investment opportunity associated with our industry or common shares relative to other investment alternatives.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may materially reduce the market price of our common shares, regardless of our operating performance. In addition, our average daily trading volume on the New York Stock Exchange has historically been low, which may result in greater price volatility.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recent years the stock market has experienced substantial price and volume fluctuations. This volatility has had a significant effect on the market prices of securities issued by many companies for reasons potentially unrelated to their operating performance. For example, our share price may experience substantial volatility due to uncertainty regarding commodity prices. These market fluctuations, regardless of the cause, may materially and adversely affect our share price, regardless of our operating results. Price volatility may cause the average price at which we repurchase our common shares (see Note 17 – Share Repurchase Programs and Dividends for a discussion of repurchases of our common shares) in a given period to exceed the share price at a given point in time. In addition, stock market volatility may impact our ability to access the capital markets in the future on acceptable terms or at all. Furthermore, 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The payment of dividends and repurchases of our common shares are each within the discretion of our Board of Directors, and there is no guarantee that we will pay any dividends or repurchase common shares in the future or at levels anticipated by our shareholders.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all future payments of dividends or repurchases of common shares pursuant to our share repurchase program, if any, are each subject to the discretion of the Board of Directors (Board) and will depend upon business conditions, results of operations, financial condition and other factors. Our Board may, without advance notice, discontinue the payment of dividends or suspend or terminate our share repurchase program. There can be no assurance that we will make dividend payments or repurchase our common shares in the future. The payment of dividends on our common shares or repurchase of shares under our share repurchase program could diminish our cash reserves, which may impact our ability to finance future growth and to pursue possible future strategic growth projects. In addition, any elimination of, or downward revision in, our dividend policy or our share repurchase program could have an adverse effect on the market price of our common shares. While the U.S. has imposed an excise tax on U.S. domestic corporations repurchasing stock, our share repurchase program is not currently subject to this tax. A similar 2% tax has been imposed in Canada, effective January 1, 2024, which applies to us and may impact the tax efficiency of our share repurchase program.</w: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governed by the corporate laws in British Columbia, Canada which in some cases have a different effect on shareholders than the corporate laws in Delaware,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There are material differences between the </w:t>
      </w:r>
      <w:r>
        <w:rPr>
          <w:rFonts w:ascii="Times New Roman;sans-serif" w:hAnsi="Times New Roman;sans-serif"/>
          <w:b w:val="false"/>
          <w:i/>
          <w:color w:val="000000"/>
          <w:sz w:val="20"/>
        </w:rPr>
        <w:t>Business Corporations Act</w:t>
      </w:r>
      <w:r>
        <w:rPr>
          <w:color w:val="000000"/>
        </w:rPr>
        <w:t xml:space="preserve"> </w:t>
      </w:r>
      <w:r>
        <w:rPr>
          <w:rFonts w:ascii="Times New Roman;sans-serif" w:hAnsi="Times New Roman;sans-serif"/>
          <w:b w:val="false"/>
          <w:color w:val="000000"/>
          <w:sz w:val="20"/>
        </w:rPr>
        <w:t>(British Columbia) (BCBCA) as compared to the Delaware General Corporation Law (DGCL). Some of these material differences include the following: (i)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(ii)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contained in our articles provide for a classified Board,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to issue series of preferred shares without shareholder approval. If our Board elects to issue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Times New Roman;sans-serif" w:hAnsi="Times New Roman;sans-serif"/>
          <w:b w:val="false"/>
          <w:i/>
          <w:color w:val="000000"/>
          <w:sz w:val="20"/>
        </w:rPr>
        <w:t xml:space="preserve">Take-Over Bids and Issuer Bids </w:t>
      </w:r>
      <w:r>
        <w:rPr>
          <w:rFonts w:ascii="Times New Roman;sans-serif" w:hAnsi="Times New Roman;sans-serif"/>
          <w:b w:val="false"/>
          <w:color w:val="000000"/>
          <w:sz w:val="20"/>
        </w:rPr>
        <w:t>of the Canadian Securities Administrators, which provide a heightened threshold for shareholder acceptance of third-party acquisition offers and could discourage take-over attempts that could result in a premium over the market price for our common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prevent or delay a change of control and may deprive or limit strategic opportunities for our shareholders to sell their common shares and/or affect the market price of our common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enforcement of civil liabilities against Civeo may be more difficult.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Structure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various Canadian, Australian and other taxes.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(including our Canadian and Australian tax rate) are dependent on a variety of factors, many of which are beyond our ability to control, such as changes in the rate of economic growth in jurisdictions in which we operate, currency exchange rate fluctuations (especially between Canadian and U.S. dollars and Australian and U.S. dollars), and significant changes in trade, monetary or fiscal policies of Canada and Australia, including changes in interest rates, withholding taxes, tax treaties and federal and provincial tax rates generally. The impact of these factors, individually and in the aggregate, is difficult to predict, in part because the occurrence of any number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Canada’s tax rules under the Income Tax Act (Canada) (the Canadian Tax Act) allow for favorable tax treatment related to the repatriation of certain dividends from foreign affiliates. If it becomes necessary or desirable to repatriate earnings from subsidiaries, repatriating earnings could, in certain circumstances, give rise to the imposition of potentially significant withholding taxes by the jurisdictions in which such amounts were earned, without our receiving the benefit of any offsetting tax credits, which could adversely impact our effective tax rate and cash flows. These tax rules are complicated and could change over time. Any such changes could have a material impact on our overall tax rate.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Canada has also introduced tax rules governing “foreign affiliate dumping” in the Canadian Tax Act that can have adverse tax consequences in respect of non-Canadian business activities and investments for Canadian corporations that are controlled by non-Canadian corporations. These rules would have a negative impact on us to the extent that we became controlled by a non-Canadian resident corporation.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remain subject to changes in tax law (in various jurisdictions) and other factors that could impact our effective tax rate.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laws of Canada, Australia and the U.S. could change in the future, and such changes could cause a material change in our effective corporate tax rate. As a result, our realized effective tax rate may be materially different from our current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Congress, government agencies in non-U.S. jurisdictions where we and our affiliates do business, and the Organization for Economic Co-operation and Development (the “OECD”) have recently focused on issues related to the taxation of multinational corporations. For example, the OECD has proposed a two-pillar plan to reform international taxation, with proposals to ensure a fairer distribution of profits among countries and to impose a floor on tax competition through the introduction of a global minimum tax. As a result, the tax laws in the U.S. and other countries in which we and our affiliates do business could change on a prospective or retroactive basis (or both), and any such changes could materially adversely affect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potential changes to U.S. tax laws could result in Civeo being treated as a U.S. corporation for U.S. federal income tax purposes.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historically been regarded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If Civeo were to be treated as a U.S. corporation for U.S. federal income tax purposes, it could be subject to substantially greater U.S. federal income tax liability.</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developing, implementing and maintaining robust cybersecurity measures to safeguard our information systems and protect the confidentiality, integrity and availability of our data. Our processes for assessing, identifying, and managing material risks from cybersecurity threats have been integrated into our overall risk management system and processes. Cybersecurity events are collected, evaluated and, when appropriate, escalated to the Chief Information Security Officer (CISO) for impact analysis utilizing the cybersecurity risk management policy.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risks are monitored and evaluated by management through an internal compliance program with oversight by internal audit. We engage a variety of cybersecurity partners to perform penetration testing and quarterly audits on our cybersecurity profile. These partnerships enable us to leverage specialized knowledge and insights, and are meant to help our cybersecurity strategies and processes in remaining risk appropriate. In order to promote a company-wide culture of cybersecurity risk management, management has also implemented a variety of required programs to both test and train our employees on cybersecurity fundamentals, including both annual and ongoing information security awareness training.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policies and procedures encompass data privacy, incident response, information security and risks from our use of third-party vendors. In order to help develop these policies and procedures, we monitor the privacy and cybersecurity laws, regulations and guidance applicable to us in the regions where we do business, as well as proposed privacy and cybersecurity laws, regulations, guidance and emerging risks.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conducted a cyber breach simulation exercise with the assistance of a third party cybersecurity consultant. The exercise focused on incident management and communication processes. Company business functions, executive management and members of the Board participated. The goal was to identify opportunities for greater efficiency, coordination, and alignment.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face risks from various security threats, including cybersecurity threats to gain unauthorized access to sensitive information or to render data or systems unusable or hold them for ransom. Cybersecurity attacks in particular develop and evolve rapidly, including from emerging technologies, such as advanced forms of artificial intelligence. Such attacks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We have experienced, and expect to continue to confront, efforts by hackers and other third parties to gain unauthorized access or deny access to, or otherwise disrupt, our information systems and networks. Risks from cybersecurity threats, including as a result of any previous cybersecurity incidents, have not materially affected us, including our business strategy, results of operations, or financial condition, but we face certain ongoing risks from cybersecurity threats that, if realized, are reasonably likely to have such an affect. See Part I, Item 1A, “Risk Factors,” under the heading “Risks Related to Our Operations - Our business could be negatively impacted by security threats, including cybersecurity threats and other disruptions” for more information regarding the risks we face.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Part I, Item 1A, “Risk Factors,” under the heading “Financial/Accounting Risks – We may not have adequate insurance for potential liabilities and insurance may not cover certain liabilities,” we maintain cyber risk insurance to mitigate our exposure to these threats.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Risk oversight is a responsibility of the Board. The Board has delegated responsibility for monitoring technology and cybersecurity risks to the Audit Committee. The Board reviews the Company's cybersecurity risk posture, strategy and execution on at least an annual basis while the Audit Committee receives cybersecurity updates quarterly.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CISO and executive management play a pivotal role in informing the Audit Committee on cybersecurity risks. Executive management, including the CISO, regularly meets with the Audit Committee to discuss cybersecurity risks, review quarterly cyber metrics and oversee progress against our annual action plans. These briefings may encompass a broad range of topics, including: </w:t>
      </w:r>
    </w:p>
    <w:p>
      <w:pPr>
        <w:pStyle w:val="TextBody"/>
        <w:bidi w:val="0"/>
        <w:spacing w:before="0" w:after="0"/>
        <w:ind w:left="0" w:right="0" w:firstLine="54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 xml:space="preserve">Current cybersecurity landscape and emerging threats;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 xml:space="preserve">Status of ongoing cybersecurity initiatives and strategies;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Incident reports and learnings from any cybersecurity events;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Compliance with regulatory requirements and industry standards.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scheduled meetings, the Audit Committee and executive management maintain an ongoing dialogue regarding emerging or potential cybersecurity risks.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Primary responsibility for assessing, monitoring and managing our cybersecurity risks rests with the CISO. Our CISO has cybersecurity expertise from over 18 years of experience in the field of cybersecurity. His background includes extensive experience as CISO at Civeo and previously for a Fortune 500 company. He also oversees our cybersecurity governance programs, assists with testing our compliance with applicable standards, leads our efforts to remediate known risks and leads our employee training program.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CISO is informed about the latest developments in cybersecurity, including potential threats and innovative risk management techniques. The CISO implements and oversees processes for the monitoring of our information systems. This includes the deployment of advanced security measures and regular system audits to identify potential vulnerabilities. The Company deploys a Security Operations Center team who monitor and escalate cybersecurity events. In the event of a cybersecurity incident, the CISO is equipped with an incident response plan, which is intended to mitigate the impact of the incident and includes long-term strategies for remediation and prevention of future incidents.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CISO regularly updates executive management on cybersecurity risks and incidents. Significant cybersecurity matters and certain strategic risk management decisions are escalated to the Audit Committee and the Board.</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2.</w:t>
      </w:r>
      <w:r>
        <w:rPr>
          <w:color w:val="000000"/>
        </w:rPr>
        <w:t xml:space="preserve"> </w:t>
      </w:r>
      <w:r>
        <w:rPr>
          <w:rFonts w:ascii="Times New Roman;sans-serif" w:hAnsi="Times New Roman;sans-serif"/>
          <w:b/>
          <w:i/>
          <w:color w:val="000000"/>
          <w:sz w:val="20"/>
        </w:rPr>
        <w:t>Properties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information about our principal properties and facilities as of December 31, 2023. Except as indicated, we own all of the properties or facilities listed below. Each of the properties is encumbered by our secured credit facilities. See </w:t>
      </w:r>
      <w:r>
        <w:rPr>
          <w:color w:val="000000"/>
        </w:rPr>
        <w:t>“</w:t>
      </w:r>
      <w:r>
        <w:rPr>
          <w:rFonts w:ascii="Times New Roman;sans-serif" w:hAnsi="Times New Roman;sans-serif"/>
          <w:b w:val="false"/>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in Item 7 and Note 11 – Debt to the notes to consolidated financial statements included in Item 8 of this annual report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concerning our credit facilities. For a discussion about how each of our business segments utilizes its respective properties, see Item 1, “Business” of this annual report.</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89"/>
        <w:gridCol w:w="1552"/>
        <w:gridCol w:w="1568"/>
        <w:gridCol w:w="512"/>
        <w:gridCol w:w="512"/>
        <w:gridCol w:w="514"/>
        <w:gridCol w:w="109"/>
        <w:gridCol w:w="109"/>
        <w:gridCol w:w="109"/>
        <w:gridCol w:w="1008"/>
        <w:gridCol w:w="998"/>
        <w:gridCol w:w="1425"/>
      </w:tblGrid>
      <w:tr>
        <w:trPr/>
        <w:tc>
          <w:tcPr>
            <w:tcW w:w="178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w:t>
              <w:br/>
              <w:t>Square</w:t>
              <w:br/>
              <w:t>Footage/Acreage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Canada: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Wapasu Creek Lodge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Village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Conklin Lodge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Beaver River and Athabasca Lodges</w:t>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1" w:type="dxa"/>
            <w:gridSpan w:val="3"/>
            <w:tcBorders/>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Kitimat, British Columbia</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Sitka Lodge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 and lodges)</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and Borealis Lodges</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Acheson, Alberta (lease)</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warehouse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Vanderhoof, British Columbia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yard</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Greywolf Lodge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Anzac Lodge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Edmonton, Alberta (lease)</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86,376 sq.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commercial production kitchen</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Calgary, Alberta (lease)</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Australia:</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Coppabella, Queensland, Australia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Coppabella Village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Narrabri, New South Wales, Australia</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Narrabri Village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Boggabri, New South Wales, Australia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Boggabri Village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Dysart, Queensland, Australia</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Dysart Village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Middlemount, Queensland, Australia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Middlemount Village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Karratha, Western Australia, Australia (owned and leased land)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Karratha Village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Nebo, Queensland, Australia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Nebo Village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Moranbah, Queensland, Australia</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Moranbah Village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Sydney, New South Wales, Australia (lease)</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11,518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Perth, Western Australia, Australia (lease)</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6,921 sq.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Brisbane, Queensland, Australia (lease)</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5,543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 (lease)</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8,900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offices</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Sulphur, Louisiana </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Acadian Acres land only</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Killdeer, North Dakota</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Killdeer Lodge</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own various undeveloped properties in British Columbia.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leases are at competitive or market rates and do not anticipate any difficulty in leasing additional suitable space upon expiration of our current lease terms.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Leased land for our lodge properties in Canada refers to land leased from the Alberta government. We also lease land for our Karratha Village from the state government in Australia. Generally, these leases have an initial term of ten years and are scheduled to expire between 2024 and 2030.</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ind w:left="0" w:right="0" w:firstLine="54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3.</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 xml:space="preserve">5. </w:t>
      </w:r>
      <w:r>
        <w:rPr>
          <w:rFonts w:ascii="Times New Roman;sans-serif" w:hAnsi="Times New Roman;sans-serif"/>
          <w:b/>
          <w:i/>
          <w:color w:val="000000"/>
          <w:sz w:val="20"/>
        </w:rPr>
        <w:t>Market for Registrant's Common Equity, Related Shareholder Matters and 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for Our Common Shares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shares trade on the New York Stock Exchange under the trading symbol “CVEO”.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23, 2024, there were 21 holders of record of Civeo common shares.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Information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pay regular quarterly dividends on our common shares, with all future dividend payments subject to quarterly review and approval by our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 </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and chart compare the cumulative total return to holders of our common shares with the cumulative total returns of the Standard &amp; Poor's 500 Stock Index, Philadelphia OSX and with that of our peer group, for the period from December 31, 2018 to December 31, 2023. The graph and chart show the value, at the dates indicated, of $100 invested at December 31, 2018 and assume the reinvestment of all dividends, as applicable.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peer group consists of the following:</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770"/>
        <w:gridCol w:w="1542"/>
        <w:gridCol w:w="1548"/>
        <w:gridCol w:w="1602"/>
        <w:gridCol w:w="1546"/>
        <w:gridCol w:w="2197"/>
      </w:tblGrid>
      <w:tr>
        <w:trPr/>
        <w:tc>
          <w:tcPr>
            <w:tcW w:w="177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Badger Daylighting Ltd.</w:t>
            </w:r>
          </w:p>
        </w:tc>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Energy Service, Inc.</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Diamond Group Limited</w:t>
            </w:r>
          </w:p>
        </w:tc>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American Construction Group</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Dexterra Group</w:t>
            </w:r>
          </w:p>
        </w:tc>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States International, Inc.</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Enerflex Ltd.</w:t>
            </w:r>
          </w:p>
        </w:tc>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Drilling Corporation</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Forum Energy Technologies, Inc.</w:t>
            </w:r>
          </w:p>
        </w:tc>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Energy Services Inc.</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w:t>
            </w:r>
          </w:p>
        </w:tc>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Hospitality Corp.</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McGrath RentCorp</w:t>
            </w:r>
            <w:r>
              <w:rPr>
                <w:color w:val="000000"/>
              </w:rPr>
              <w:t xml:space="preserve"> </w:t>
            </w:r>
          </w:p>
        </w:tc>
        <w:tc>
          <w:tcPr>
            <w:tcW w:w="5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Tetra Technologies, Inc.</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Newpark Resources, Inc.</w:t>
            </w:r>
          </w:p>
        </w:tc>
        <w:tc>
          <w:tcPr>
            <w:tcW w:w="5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Energy Services Inc.</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The current peer group remain unchanged for 2023 with the exception of the removal of Exterran Corporation, as they were acquired by Enerflex Ltd.</w:t>
            </w:r>
          </w:p>
        </w:tc>
      </w:tr>
    </w:tbl>
    <w:p>
      <w:pPr>
        <w:pStyle w:val="TextBody"/>
        <w:bidi w:val="0"/>
        <w:spacing w:before="0" w:after="0"/>
        <w:ind w:left="0" w:right="0" w:hanging="360"/>
        <w:jc w:val="left"/>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540"/>
        <w:jc w:val="both"/>
        <w:rPr/>
      </w:pPr>
      <w:r>
        <w:rPr/>
        <w:drawing>
          <wp:inline distT="0" distB="0" distL="0" distR="0">
            <wp:extent cx="6172200" cy="5124450"/>
            <wp:effectExtent l="0" t="0" r="0" b="0"/>
            <wp:docPr id="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 descr=""/>
                    <pic:cNvPicPr>
                      <a:picLocks noChangeAspect="1" noChangeArrowheads="1"/>
                    </pic:cNvPicPr>
                  </pic:nvPicPr>
                  <pic:blipFill>
                    <a:blip r:embed="rId4"/>
                    <a:stretch>
                      <a:fillRect/>
                    </a:stretch>
                  </pic:blipFill>
                  <pic:spPr bwMode="auto">
                    <a:xfrm>
                      <a:off x="0" y="0"/>
                      <a:ext cx="6172200" cy="51244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675"/>
        <w:gridCol w:w="591"/>
        <w:gridCol w:w="595"/>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5"/>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12/31/23</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Civeo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136.22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207.21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PHLX Oil Service Sector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114.47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Peer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168.01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above is furnished and not filed for purposes of the Securities Act and the Exchange Act. The performance graph is not soliciting material subject to Regulation 14A.</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Repurchases of Registered Equity Securities by Registrant or its Affiliates in the Fourth Quarter</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of our common shares during the three months ended December 31, 2023.</w:t>
      </w:r>
    </w:p>
    <w:tbl>
      <w:tblPr>
        <w:tblW w:w="10205" w:type="dxa"/>
        <w:jc w:val="left"/>
        <w:tblInd w:w="0" w:type="dxa"/>
        <w:tblLayout w:type="fixed"/>
        <w:tblCellMar>
          <w:top w:w="28" w:type="dxa"/>
          <w:left w:w="28" w:type="dxa"/>
          <w:bottom w:w="28" w:type="dxa"/>
          <w:right w:w="28" w:type="dxa"/>
        </w:tblCellMar>
      </w:tblPr>
      <w:tblGrid>
        <w:gridCol w:w="636"/>
        <w:gridCol w:w="443"/>
        <w:gridCol w:w="446"/>
        <w:gridCol w:w="591"/>
        <w:gridCol w:w="499"/>
        <w:gridCol w:w="500"/>
        <w:gridCol w:w="109"/>
        <w:gridCol w:w="109"/>
        <w:gridCol w:w="109"/>
        <w:gridCol w:w="286"/>
        <w:gridCol w:w="812"/>
        <w:gridCol w:w="159"/>
        <w:gridCol w:w="109"/>
        <w:gridCol w:w="109"/>
        <w:gridCol w:w="109"/>
        <w:gridCol w:w="895"/>
        <w:gridCol w:w="825"/>
        <w:gridCol w:w="827"/>
        <w:gridCol w:w="884"/>
        <w:gridCol w:w="792"/>
        <w:gridCol w:w="795"/>
        <w:gridCol w:w="161"/>
      </w:tblGrid>
      <w:tr>
        <w:trPr/>
        <w:tc>
          <w:tcPr>
            <w:tcW w:w="6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color w:val="000000"/>
              </w:rPr>
              <w:t xml:space="preserve"> </w:t>
            </w:r>
            <w:r>
              <w:rPr>
                <w:rFonts w:ascii="Times New Roman;sans-serif" w:hAnsi="Times New Roman;sans-serif"/>
                <w:b/>
                <w:color w:val="000000"/>
                <w:sz w:val="12"/>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shares purchased as part of publicly announced plans or programs </w:t>
            </w:r>
          </w:p>
        </w:tc>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be purchased under the plans or programs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 2023 - October 31, 2023</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99,521 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99,521 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600,769 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2023 - November 30, 2023</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587,869 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2023 - December 31, 2023</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579,537 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120,753 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120,753 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579,537 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In August 2023, our Board authorized a common share repurchase program to repurchase up to 5.0% of our total common shares which were issued and outstanding at the time of approval, or 742,134 common shares, over a twelve month period. We repurchased an aggregate of 120,753 of our common shares outstanding for approximately $2.4 million during the three months ended December 31, 2023.</w:t>
      </w:r>
    </w:p>
    <w:p>
      <w:pPr>
        <w:pStyle w:val="TextBody"/>
        <w:bidi w:val="0"/>
        <w:spacing w:before="0" w:after="0"/>
        <w:ind w:left="0" w:right="0" w:firstLine="540"/>
        <w:jc w:val="both"/>
        <w:rPr/>
      </w:pPr>
      <w:r>
        <w:rPr/>
      </w:r>
    </w:p>
    <w:p>
      <w:pPr>
        <w:pStyle w:val="TextBody"/>
        <w:bidi w:val="0"/>
        <w:spacing w:lineRule="auto" w:line="288" w:before="0" w:after="0"/>
        <w:ind w:left="0" w:right="0" w:firstLine="9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6.</w:t>
      </w:r>
      <w:r>
        <w:rPr>
          <w:color w:val="000000"/>
        </w:rPr>
        <w:t xml:space="preserve"> </w:t>
      </w:r>
      <w:r>
        <w:rPr>
          <w:rFonts w:ascii="Times New Roman;sans-serif" w:hAnsi="Times New Roman;sans-serif"/>
          <w:b/>
          <w:i/>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ind w:left="0" w:right="0" w:firstLine="54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7.</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color w:val="000000"/>
        </w:rPr>
      </w:pPr>
      <w:r>
        <w:rPr>
          <w:color w:val="000000"/>
        </w:rPr>
        <w:t>“</w:t>
      </w:r>
      <w:r>
        <w:rPr>
          <w:rFonts w:ascii="Times New Roman;sans-serif" w:hAnsi="Times New Roman;sans-serif"/>
          <w:b w:val="false"/>
          <w:color w:val="000000"/>
          <w:sz w:val="20"/>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of this annual report generally discusses key operating and financial data as of and for the years ended 2023 and 2022 and provides year-over-year comparisons for such periods. For a similar discussion and year-over-year comparisons to our 2021 results, refer to "Management’s Discussion and Analysis of Financial Condition and Results of Operations" in Part II, Item 7 of our Annual Report on Form 10-K for the year ended December 31, 2022, filed with the Securities and Exchange Commission on March 1, 2023.</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the Business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suite of hospitality services for our guests in the natural resources industry,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operate in some of the world’s most active oil, metallurgical (met) coal, liquefied natural gas (LNG) and iron ore producing regions, where, in many cases, traditional accommodations and related infrastructure often are not accessible, sufficient or cost effective. Our customers include major and independent oil companies, mining companies, engineering companies and oilfield and mining service companies. We operate in two principal reportable business segments – Canada and Australia.</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annual report to “dollars” or “$” are to United States (U.S.) dollars.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 and Macroeconomic Environment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production costs, economic growth, global commodity supply/demand, estimates of resource production and the expectations of our customers' shareholders. As a result, demand for our hospitality services is largely sensitive to expected commodity prices, principally related to oil, met coal,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and other markets, including governmental measures introduced to fight climate change.</w: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color w:val="000000"/>
          <w:sz w:val="20"/>
        </w:rPr>
        <w:t>Commodity Prices</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continued uncertainty around commodity price levels, including the impact of inflationary pressures, actions taken by Organization of the Petroleum Exporting Countries Plus (OPEC+) to adjust production levels, geopolitical events such as the ongoing Russia/Ukraine and Israel/Hamas conflicts and rising geopolitical risks in the Middle East, U.S. oil production levels and regulatory implications on such prices. In particular, these items could cause our Canadian oil sands and pipeline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customers to reduce production, delay expansionary and maintenance spending and defer additional investments in their oil sands assets.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Recent Commodity Prices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Recent West Texas Intermediate (WTI) crude, Western Canadian Select (WCS) crude, met coal and iron ore pricing trends are as follows:</w:t>
      </w:r>
    </w:p>
    <w:p>
      <w:pPr>
        <w:pStyle w:val="TextBody"/>
        <w:bidi w:val="0"/>
        <w:spacing w:lineRule="auto" w:line="288" w:before="0" w:after="0"/>
        <w:ind w:left="0" w:right="0" w:firstLine="540"/>
        <w:jc w:val="both"/>
        <w:rPr>
          <w:color w:val="000000"/>
        </w:rPr>
      </w:pPr>
      <w:r>
        <w:rPr>
          <w:color w:val="000000"/>
        </w:rPr>
        <w:t> </w:t>
      </w:r>
    </w:p>
    <w:tbl>
      <w:tblPr>
        <w:tblW w:w="8810" w:type="dxa"/>
        <w:jc w:val="center"/>
        <w:tblInd w:w="0" w:type="dxa"/>
        <w:tblLayout w:type="fixed"/>
        <w:tblCellMar>
          <w:top w:w="28" w:type="dxa"/>
          <w:left w:w="28" w:type="dxa"/>
          <w:bottom w:w="28" w:type="dxa"/>
          <w:right w:w="28" w:type="dxa"/>
        </w:tblCellMar>
      </w:tblPr>
      <w:tblGrid>
        <w:gridCol w:w="1211"/>
        <w:gridCol w:w="1061"/>
        <w:gridCol w:w="1073"/>
        <w:gridCol w:w="109"/>
        <w:gridCol w:w="109"/>
        <w:gridCol w:w="109"/>
        <w:gridCol w:w="211"/>
        <w:gridCol w:w="616"/>
        <w:gridCol w:w="109"/>
        <w:gridCol w:w="109"/>
        <w:gridCol w:w="109"/>
        <w:gridCol w:w="109"/>
        <w:gridCol w:w="211"/>
        <w:gridCol w:w="616"/>
        <w:gridCol w:w="109"/>
        <w:gridCol w:w="109"/>
        <w:gridCol w:w="109"/>
        <w:gridCol w:w="109"/>
        <w:gridCol w:w="243"/>
        <w:gridCol w:w="831"/>
        <w:gridCol w:w="125"/>
        <w:gridCol w:w="109"/>
        <w:gridCol w:w="109"/>
        <w:gridCol w:w="109"/>
        <w:gridCol w:w="211"/>
        <w:gridCol w:w="7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Average Price </w:t>
            </w:r>
            <w:r>
              <w:rPr>
                <w:rFonts w:ascii="Times New Roman;sans-serif" w:hAnsi="Times New Roman;sans-serif"/>
                <w:b w:val="false"/>
                <w:color w:val="000000"/>
                <w:sz w:val="13"/>
              </w:rPr>
              <w:t>(1)</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br/>
              <w:t>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br/>
              <w:t>Crude</w:t>
              <w:br/>
              <w:t>(per bbl)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WCS</w:t>
              <w:br/>
              <w:t>Crude</w:t>
              <w:br/>
              <w:t>(per bbl)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Hard</w:t>
              <w:br/>
              <w:t xml:space="preserve">Coking Coal </w:t>
              <w:br/>
              <w:t>(Met Coal)</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Iron</w:t>
              <w:br/>
              <w:t>Ore</w:t>
              <w:br/>
              <w:t>(per tonne)</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 through February 23,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Source: WTI crude prices are from U.S. Energy Information Administration, WCS crude prices and iron ore prices are from Bloomberg and hard coking coal prices are from IHS Markit.</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WTI Crude.</w:t>
      </w:r>
      <w:r>
        <w:rPr>
          <w:color w:val="000000"/>
        </w:rPr>
        <w:t xml:space="preserve"> </w:t>
      </w:r>
      <w:r>
        <w:rPr>
          <w:rFonts w:ascii="Times New Roman;sans-serif" w:hAnsi="Times New Roman;sans-serif"/>
          <w:b w:val="false"/>
          <w:color w:val="000000"/>
          <w:sz w:val="20"/>
        </w:rPr>
        <w:t xml:space="preserve">After reaching historic lows in early 2020 during the start of the COVID-19 pandemic, global oil prices increased to above $100 per barrel in the second quarter 2022. In the second half of 2022 and throughout 2023, oil prices declined due to (i) rising fears of a recession resulting from severe inflation and rising interest rates, (ii) resulting lower demand for oil and (iii) increasing U.S. oil production. In an effort to support the price of oil amidst demand concerns, OPEC+ countries announced additional oil production cuts through the end of 2023. These production cuts, coupled with the rising geopolitical risks in the Middle East, resulted in increased oil prices in the third quarter and early part of the fourth quarter of 2023, before reducing in the latter part of the fourth quarter back to levels consistent with the first six months of 2023. </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WCS Crude.</w:t>
      </w:r>
      <w:r>
        <w:rPr>
          <w:color w:val="000000"/>
        </w:rPr>
        <w:t xml:space="preserve"> </w:t>
      </w:r>
      <w:r>
        <w:rPr>
          <w:rFonts w:ascii="Times New Roman;sans-serif" w:hAnsi="Times New Roman;sans-serif"/>
          <w:b w:val="false"/>
          <w:color w:val="000000"/>
          <w:sz w:val="20"/>
        </w:rPr>
        <w:t>In Canada, WCS crude is the benchmark price for our oil sands customers. Pricing for WCS is driven by several factors, including the 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is approximately 98% complete, with mechanical completion expected to occur in the first quarter 2024, commercial service expected to begin in April 2024 and volumes expected to ramp up to full capacity by year end 2024.</w: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WCS prices in the fourth quarter of 2023 averaged $55.31 per barrel compared to an average of $54.72 in the fourth quarter of 2022. The WCS Differential decreased from $27.39 per barrel at the end of the fourth quarter of 2022 to $19.35 at the end of the fourth quarter of 2023. As of February 23, 2024, the WTI price was $77.54 and the WCS price was $58.60, resulting in a WCS Differential of $18.94. </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 xml:space="preserve">Met Coal. </w:t>
      </w:r>
      <w:r>
        <w:rPr>
          <w:rFonts w:ascii="Times New Roman;sans-serif" w:hAnsi="Times New Roman;sans-serif"/>
          <w:b w:val="false"/>
          <w:color w:val="000000"/>
          <w:sz w:val="20"/>
        </w:rPr>
        <w:t xml:space="preserve">In Australia, 84% of our rooms are located in the Bowen Basin of Queensland, Australia and primarily serve met coal mines in that region. Met coal pricing and production growth in the Bowen Basin region is predominantly influenced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the level of global steel production, which decreased by 0.1% during 2023 compared to 2022. The decrease year-over-year was the result of weaker production in December 2023 from China, offset by stronger production throughout 2023 from both Europe and Russia. As of February 23, 2024, met coal spot prices were $311.40 per tonne. Steel output is forecast to improve marginally through 2024, with large infrastructure rollouts in a number of major economies including the U.S. and India.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Met coal prices remained over $200 per tonne during 2023, which supported existing producers, and also assisted new and expansion projects. In the last quarter of 2023, met coal prices averaged over $330 per tonne which continues to provide a positive short-term outlook for producing projects, though future investment could be impacted by the increase in the Queensland royalty scheme introduced in 2022. Analysts forecast prices to remain elevated in the near term but to fall below $300 per tonne in 2024 as supply side pressures are expected to ease and Chinese met coal imports fall following high restocking levels.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Iron Ore.</w:t>
      </w:r>
      <w:r>
        <w:rPr>
          <w:color w:val="000000"/>
        </w:rPr>
        <w:t xml:space="preserve"> </w:t>
      </w:r>
      <w:r>
        <w:rPr>
          <w:rFonts w:ascii="Times New Roman;sans-serif" w:hAnsi="Times New Roman;sans-serif"/>
          <w:b w:val="false"/>
          <w:color w:val="000000"/>
          <w:sz w:val="20"/>
        </w:rPr>
        <w:t>Iron ore prices remained consistently above $100 per tonne throughout 2023 and averaged over $130 per tonne in late December 2023, following a sustained period of high prices. Analysts are forecasting 2024 prices to remain over $100 per tonne on average.</w:t>
      </w:r>
    </w:p>
    <w:p>
      <w:pPr>
        <w:pStyle w:val="TextBody"/>
        <w:bidi w:val="0"/>
        <w:spacing w:lineRule="auto" w:line="288" w:before="160" w:after="160"/>
        <w:jc w:val="both"/>
        <w:rPr/>
      </w:pPr>
      <w:r>
        <w:rPr>
          <w:rFonts w:ascii="Times New Roman;sans-serif" w:hAnsi="Times New Roman;sans-serif"/>
          <w:b/>
          <w:color w:val="000000"/>
          <w:sz w:val="20"/>
        </w:rPr>
        <w:t>Other</w:t>
      </w:r>
      <w:r>
        <w:rPr>
          <w:color w:val="000000"/>
        </w:rPr>
        <w:t xml:space="preserve"> </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Inflationary Pressures.</w:t>
      </w:r>
      <w:r>
        <w:rPr>
          <w:color w:val="000000"/>
        </w:rPr>
        <w:t xml:space="preserve"> </w:t>
      </w:r>
      <w:r>
        <w:rPr>
          <w:rFonts w:ascii="Times New Roman;sans-serif" w:hAnsi="Times New Roman;sans-serif"/>
          <w:b w:val="false"/>
          <w:color w:val="000000"/>
          <w:sz w:val="20"/>
        </w:rPr>
        <w:t>During 2022 and 2023, inflationary pressures and supply chain disruptions have been, and continue to be,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 xml:space="preserve">Labor Shortages. </w:t>
      </w:r>
      <w:r>
        <w:rPr>
          <w:rFonts w:ascii="Times New Roman;sans-serif" w:hAnsi="Times New Roman;sans-serif"/>
          <w:b w:val="false"/>
          <w:color w:val="000000"/>
          <w:sz w:val="20"/>
        </w:rPr>
        <w:t xml:space="preserve">In addition to the macro inflationary impacts on labor costs noted above, during the COVID-19 pandemic, we were, and continue to be, impacted by increased staff costs as a result of hospitality labor shortages in Australia as government-imposed and voluntary social distancing and quarantining impacted travel. This labor shortage has been exacerbated by significantly reduced migration in and around Australia affecting labor availability, which has subsequently led to an increased reliance on more expensive temporary labor resources. </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LNG.</w:t>
      </w:r>
      <w:r>
        <w:rPr>
          <w:color w:val="000000"/>
        </w:rPr>
        <w:t xml:space="preserve"> </w:t>
      </w:r>
      <w:r>
        <w:rPr>
          <w:rFonts w:ascii="Times New Roman;sans-serif" w:hAnsi="Times New Roman;sans-serif"/>
          <w:b w:val="false"/>
          <w:color w:val="000000"/>
          <w:sz w:val="20"/>
        </w:rPr>
        <w:t xml:space="preserve">Our Sitka Lodge supports the LNG Canada project and related pipeline projects. 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 between Russia/Ukraine and Israel/Hamas has further highlighted the need for secure natural gas supply globally, particularly in Europe. Accordingly, additional investment in LNG supply will be needed to meet the resulting expected long-term LNG demand growth.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The Kitimat LNG Facility is nearing completion and expected to be operational in 2024. British Columbia LNG activity and related pipeline projects are a material driver of activity for our Sitka Lodge, as well as for our mobile assets, which were contracted to serve several designated portions of the related pipeline construction activity. The majority of our contracted commitments associated with the Coastal GasLink Pipeline, the pipeline constructed to transport natural gas feedstock to LNGC, were completed in the fourth quarter of 2023.</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McClelland Lake Lodge</w:t>
      </w:r>
      <w:r>
        <w:rPr>
          <w:rFonts w:ascii="Times New Roman;sans-serif" w:hAnsi="Times New Roman;sans-serif"/>
          <w:b/>
          <w:i/>
          <w:color w:val="000000"/>
          <w:sz w:val="24"/>
        </w:rPr>
        <w:t>.</w:t>
      </w:r>
      <w:r>
        <w:rPr>
          <w:color w:val="000000"/>
        </w:rPr>
        <w:t xml:space="preserve"> </w:t>
      </w:r>
      <w:r>
        <w:rPr>
          <w:rFonts w:ascii="Times New Roman;sans-serif" w:hAnsi="Times New Roman;sans-serif"/>
          <w:b w:val="false"/>
          <w:color w:val="000000"/>
          <w:sz w:val="20"/>
        </w:rPr>
        <w:t>We did not renew an expiring land lease associated with our McClelland Lake Lodge in Alberta, Canada, which expired in June 2023, in order to support our customer’s intent to mine the land where the lodge was located. In addition, the accompanying hospitality services contract at McClelland Lake Lodge expired in July 2023; however, we continued to provide hospitality services to the customer at our other owned lodges through January 31, 2024 under a short-term take-or-pay commitment. Subsequent to this date, we have continued to provide such services at our other lodges; however, not pursuant to a take-or-pay commitment. Our assets were demobilized and completely removed from the existing site in January 2024. During the third quarter of 2023, we entered into a definitive agreement to sell our McClelland Lake Lodge assets to a U.S.-based mining project for approximately C$49 million, or US$36 million. The transaction was completed in January 2024. During the third and fourth quarters of 2023, we recognized $14.2 million in demobilization costs and received $28.2 million in cash proceeds associated with the sale. We expect to recognize the remaining demobilization costs and the proceeds of the sale in the first quarter of 2024.</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 xml:space="preserve">U.S. Business. </w:t>
      </w:r>
      <w:r>
        <w:rPr>
          <w:rFonts w:ascii="Times New Roman;sans-serif" w:hAnsi="Times New Roman;sans-serif"/>
          <w:b w:val="false"/>
          <w:color w:val="000000"/>
          <w:sz w:val="20"/>
        </w:rPr>
        <w:t xml:space="preserve">In the first quarter of 2023, we sold our accommodation assets in Louisiana. In addition, in the second half of 2022, we sold both our U.S. wellsite services and offshore businesses. Our remaining U.S. business supports completion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Bakken. U.S. oil completion activity will continue to be impacted by oil prices, pipeline capacity, federal energy policies and availability of capital to support exploration and production completion plans.</w:t>
      </w:r>
    </w:p>
    <w:p>
      <w:pPr>
        <w:pStyle w:val="TextBody"/>
        <w:bidi w:val="0"/>
        <w:spacing w:lineRule="auto" w:line="288" w:before="0" w:after="0"/>
        <w:ind w:left="0" w:right="0" w:firstLine="540"/>
        <w:jc w:val="both"/>
        <w:rPr/>
      </w:pPr>
      <w:r>
        <w:rPr>
          <w:rFonts w:ascii="Times New Roman;sans-serif" w:hAnsi="Times New Roman;sans-serif"/>
          <w:b/>
          <w:i/>
          <w:color w:val="000000"/>
          <w:sz w:val="20"/>
        </w:rPr>
        <w:t>Foreign Currency Exchange Rates.</w:t>
      </w:r>
      <w:r>
        <w:rPr>
          <w:color w:val="000000"/>
        </w:rPr>
        <w:t xml:space="preserve"> </w:t>
      </w:r>
      <w:r>
        <w:rPr>
          <w:rFonts w:ascii="Times New Roman;sans-serif" w:hAnsi="Times New Roman;sans-serif"/>
          <w:b w:val="false"/>
          <w:color w:val="000000"/>
          <w:sz w:val="20"/>
        </w:rPr>
        <w:t xml:space="preserve">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profits/losses are translated into U.S. dollars for U.S. generally accepted accounting principles financial reporting purposes. The following tables summarize the fluctuations in the exchange rates between the U.S. dollar and each of the Canadian dollar and the Australian dollar: </w:t>
      </w:r>
    </w:p>
    <w:tbl>
      <w:tblPr>
        <w:tblW w:w="7504" w:type="dxa"/>
        <w:jc w:val="center"/>
        <w:tblInd w:w="0" w:type="dxa"/>
        <w:tblLayout w:type="fixed"/>
        <w:tblCellMar>
          <w:top w:w="28" w:type="dxa"/>
          <w:left w:w="28" w:type="dxa"/>
          <w:bottom w:w="28" w:type="dxa"/>
          <w:right w:w="28" w:type="dxa"/>
        </w:tblCellMar>
      </w:tblPr>
      <w:tblGrid>
        <w:gridCol w:w="1200"/>
        <w:gridCol w:w="1056"/>
        <w:gridCol w:w="1059"/>
        <w:gridCol w:w="224"/>
        <w:gridCol w:w="224"/>
        <w:gridCol w:w="228"/>
        <w:gridCol w:w="110"/>
        <w:gridCol w:w="110"/>
        <w:gridCol w:w="110"/>
        <w:gridCol w:w="224"/>
        <w:gridCol w:w="224"/>
        <w:gridCol w:w="228"/>
        <w:gridCol w:w="110"/>
        <w:gridCol w:w="110"/>
        <w:gridCol w:w="110"/>
        <w:gridCol w:w="250"/>
        <w:gridCol w:w="250"/>
        <w:gridCol w:w="251"/>
        <w:gridCol w:w="110"/>
        <w:gridCol w:w="110"/>
        <w:gridCol w:w="110"/>
        <w:gridCol w:w="321"/>
        <w:gridCol w:w="321"/>
        <w:gridCol w:w="4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(0.028)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Australian dollar to U.S. dollar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tbl>
      <w:tblPr>
        <w:tblW w:w="6774" w:type="dxa"/>
        <w:jc w:val="center"/>
        <w:tblInd w:w="0" w:type="dxa"/>
        <w:tblLayout w:type="fixed"/>
        <w:tblCellMar>
          <w:top w:w="28" w:type="dxa"/>
          <w:left w:w="28" w:type="dxa"/>
          <w:bottom w:w="28" w:type="dxa"/>
          <w:right w:w="28" w:type="dxa"/>
        </w:tblCellMar>
      </w:tblPr>
      <w:tblGrid>
        <w:gridCol w:w="939"/>
        <w:gridCol w:w="826"/>
        <w:gridCol w:w="829"/>
        <w:gridCol w:w="224"/>
        <w:gridCol w:w="224"/>
        <w:gridCol w:w="228"/>
        <w:gridCol w:w="109"/>
        <w:gridCol w:w="109"/>
        <w:gridCol w:w="109"/>
        <w:gridCol w:w="224"/>
        <w:gridCol w:w="224"/>
        <w:gridCol w:w="228"/>
        <w:gridCol w:w="109"/>
        <w:gridCol w:w="109"/>
        <w:gridCol w:w="109"/>
        <w:gridCol w:w="250"/>
        <w:gridCol w:w="250"/>
        <w:gridCol w:w="251"/>
        <w:gridCol w:w="109"/>
        <w:gridCol w:w="109"/>
        <w:gridCol w:w="109"/>
        <w:gridCol w:w="321"/>
        <w:gridCol w:w="321"/>
        <w:gridCol w:w="4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to U.S. dollar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fluctuations of the Canadian and Australian dollars have had and will continue to have an impact on the translation of earnings generated from our Canadian and Australian subsidiaries and, therefore, our financial results.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Capital Expenditures.</w:t>
      </w:r>
      <w:r>
        <w:rPr>
          <w:color w:val="000000"/>
        </w:rPr>
        <w:t xml:space="preserve"> </w:t>
      </w:r>
      <w:r>
        <w:rPr>
          <w:rFonts w:ascii="Times New Roman;sans-serif" w:hAnsi="Times New Roman;sans-serif"/>
          <w:b w:val="false"/>
          <w:color w:val="000000"/>
          <w:sz w:val="20"/>
        </w:rPr>
        <w:t xml:space="preserve">We continue to monitor the global economy, commodity prices, demand for crude oil, met coal, LNG and iron ore, inflation and the resultant impact on the capital spending plans of our customers in order to plan our business activities. We currently expect that our 2024 capital expenditures will be in the range of approximately $30 million to $35 million, compared to 2023 capital expenditures of $31.6 million. Our 2023 capital expenditures included approximately $10 million related to village enhancements in Australia, for which our customer has reimbursed us, resulting in a net negligible cash flow impact in 2023 for these expenditures. We may adjust our capital expenditure plans in the future as we continue to monitor customer activity.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See “Liquidity and Capital Resources</w:t>
      </w:r>
      <w:r>
        <w:rPr>
          <w:color w:val="000000"/>
        </w:rPr>
        <w:t xml:space="preserve">” </w:t>
      </w:r>
      <w:r>
        <w:rPr>
          <w:rFonts w:ascii="Times New Roman;sans-serif" w:hAnsi="Times New Roman;sans-serif"/>
          <w:b w:val="false"/>
          <w:color w:val="000000"/>
          <w:sz w:val="20"/>
        </w:rPr>
        <w:t>below for further discussion of 2024 and 2023 capital expenditures.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Unless otherwise indicated, discussion of results for the</w:t>
      </w:r>
      <w:r>
        <w:rPr>
          <w:color w:val="000000"/>
        </w:rPr>
        <w:t xml:space="preserve"> </w:t>
      </w:r>
      <w:r>
        <w:rPr>
          <w:rFonts w:ascii="Times New Roman;sans-serif" w:hAnsi="Times New Roman;sans-serif"/>
          <w:b w:val="false"/>
          <w:i/>
          <w:color w:val="000000"/>
          <w:sz w:val="20"/>
        </w:rPr>
        <w:t>year</w:t>
      </w:r>
      <w:r>
        <w:rPr>
          <w:color w:val="000000"/>
        </w:rPr>
        <w:t xml:space="preserve"> </w:t>
      </w:r>
      <w:r>
        <w:rPr>
          <w:rFonts w:ascii="Times New Roman;sans-serif" w:hAnsi="Times New Roman;sans-serif"/>
          <w:b w:val="false"/>
          <w:i/>
          <w:color w:val="000000"/>
          <w:sz w:val="20"/>
        </w:rPr>
        <w:t>ended</w:t>
      </w:r>
      <w:r>
        <w:rPr>
          <w:color w:val="000000"/>
        </w:rPr>
        <w:t xml:space="preserve"> </w:t>
      </w:r>
      <w:r>
        <w:rPr>
          <w:rFonts w:ascii="Times New Roman;sans-serif" w:hAnsi="Times New Roman;sans-serif"/>
          <w:b w:val="false"/>
          <w:i/>
          <w:color w:val="000000"/>
          <w:sz w:val="20"/>
        </w:rPr>
        <w:t>December 31, 2023</w:t>
      </w:r>
      <w:r>
        <w:rPr>
          <w:color w:val="000000"/>
        </w:rPr>
        <w:t xml:space="preserve"> </w:t>
      </w:r>
      <w:r>
        <w:rPr>
          <w:rFonts w:ascii="Times New Roman;sans-serif" w:hAnsi="Times New Roman;sans-serif"/>
          <w:b w:val="false"/>
          <w:i/>
          <w:color w:val="000000"/>
          <w:sz w:val="20"/>
        </w:rPr>
        <w:t>is based on a comparison with the corresponding period of 2022.</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i/>
          <w:color w:val="000000"/>
          <w:sz w:val="20"/>
        </w:rPr>
        <w:t>Results of Operations</w:t>
      </w:r>
      <w:r>
        <w:rPr>
          <w:color w:val="000000"/>
        </w:rPr>
        <w:t xml:space="preserve"> – </w:t>
      </w:r>
      <w:r>
        <w:rPr>
          <w:rFonts w:ascii="Times New Roman;sans-serif" w:hAnsi="Times New Roman;sans-serif"/>
          <w:b/>
          <w:i/>
          <w:color w:val="000000"/>
          <w:sz w:val="20"/>
        </w:rPr>
        <w:t>Year Ended December 31, 2023</w:t>
      </w:r>
      <w:r>
        <w:rPr>
          <w:color w:val="000000"/>
        </w:rPr>
        <w:t xml:space="preserve"> </w:t>
      </w:r>
      <w:r>
        <w:rPr>
          <w:rFonts w:ascii="Times New Roman;sans-serif" w:hAnsi="Times New Roman;sans-serif"/>
          <w:b/>
          <w:i/>
          <w:color w:val="000000"/>
          <w:sz w:val="20"/>
        </w:rPr>
        <w:t xml:space="preserve">Compared to Year Ended December 31, 2022 </w:t>
      </w:r>
    </w:p>
    <w:p>
      <w:pPr>
        <w:pStyle w:val="TextBody"/>
        <w:bidi w:val="0"/>
        <w:spacing w:lineRule="auto" w:line="288" w:before="0" w:after="0"/>
        <w:ind w:left="0" w:right="0" w:firstLine="180"/>
        <w:jc w:val="left"/>
        <w:rPr>
          <w:color w:val="000000"/>
        </w:rPr>
      </w:pPr>
      <w:r>
        <w:rPr>
          <w:color w:val="000000"/>
        </w:rPr>
        <w:t> </w:t>
      </w:r>
    </w:p>
    <w:tbl>
      <w:tblPr>
        <w:tblW w:w="8674" w:type="dxa"/>
        <w:jc w:val="center"/>
        <w:tblInd w:w="0" w:type="dxa"/>
        <w:tblLayout w:type="fixed"/>
        <w:tblCellMar>
          <w:top w:w="28" w:type="dxa"/>
          <w:left w:w="28" w:type="dxa"/>
          <w:bottom w:w="28" w:type="dxa"/>
          <w:right w:w="28" w:type="dxa"/>
        </w:tblCellMar>
      </w:tblPr>
      <w:tblGrid>
        <w:gridCol w:w="1686"/>
        <w:gridCol w:w="1475"/>
        <w:gridCol w:w="1488"/>
        <w:gridCol w:w="196"/>
        <w:gridCol w:w="736"/>
        <w:gridCol w:w="109"/>
        <w:gridCol w:w="109"/>
        <w:gridCol w:w="109"/>
        <w:gridCol w:w="109"/>
        <w:gridCol w:w="196"/>
        <w:gridCol w:w="736"/>
        <w:gridCol w:w="109"/>
        <w:gridCol w:w="109"/>
        <w:gridCol w:w="109"/>
        <w:gridCol w:w="109"/>
        <w:gridCol w:w="196"/>
        <w:gridCol w:w="721"/>
        <w:gridCol w:w="109"/>
        <w:gridCol w:w="109"/>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McClelland Lake Lodge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operating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(expense)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Civeo Corporation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attributable to Class A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Civeo common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attributable to Civeo for 2023 of $30.2 million, or $2.01 per diluted share. As further discussed below, net income included (i) $28.3 million of net gains associated with the sale of the McClelland Lake Lodge in Canada and (ii) a $1.4 million pre-tax loss resulting from the impairment of fixed assets included in Impairment expense.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attributable to Civeo for 2022 of $2.2 million, or $0.21 loss per diluted share. As further discussed below, net income included a $5.7 million pre-tax loss resulting from the impairment of fixed assets included in Impairment expense.</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Consolidated revenues increased $3.8 million, or 1%, in 2023 compared to 2022. This increase was primarily due to (i) increased occupancy at our Civeo owned villages in the Australian Bowen Basin and Gunnedah Basin and (ii) increased activity at our integrated services villages in Western Australia. These items were partially offset by (i) decreased mobile asset activity from pipeline projects in Canada, (ii) lower billed rooms at our Canadian lodges, (iii) reduced activity in the U.S. operations due to the sale of our wellsite and offshore businesses in the second half of 2022 and (iv) a weaker Australian and Canadian dollar relative to the U.S. dollar in 2023 compared to 2022. See the discussion of segment results of operations below for further information.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color w:val="000000"/>
          <w:sz w:val="20"/>
        </w:rPr>
        <w:t>Cost of Sales and Services.</w:t>
      </w:r>
      <w:r>
        <w:rPr>
          <w:color w:val="000000"/>
        </w:rPr>
        <w:t xml:space="preserve"> </w:t>
      </w:r>
      <w:r>
        <w:rPr>
          <w:rFonts w:ascii="Times New Roman;sans-serif" w:hAnsi="Times New Roman;sans-serif"/>
          <w:b w:val="false"/>
          <w:color w:val="000000"/>
          <w:sz w:val="20"/>
        </w:rPr>
        <w:t xml:space="preserve">Our consolidated cost of sales and services increased $13.2 million, or 3%, in 2023 compared to 2022. This increase was primarily due to (i) increased occupancy at our Civeo owned villages in the Australian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Bowen Basin and Gunnedah Basin, (ii) increased activity at our integrated services villages in Western Australia and (iii) increased operating costs due to inflationary pressures in Australia. These items were partially offset by (i) reduced activity in the U.S. operations due to the sale of our wellsite and offshore businesses in the second half of 2022, (ii) lower costs related to reduced mobile asset activity in Canada, (iii) lower billed rooms at our Canadian lodges and (iv) a weaker Australian and Canadian dollar relative to the U.S. dollar in 2023 compared to 2022. See the discussion of segment results of operations below for further information.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Selling, General and Administrative Expenses.</w:t>
      </w:r>
      <w:r>
        <w:rPr>
          <w:color w:val="000000"/>
        </w:rPr>
        <w:t xml:space="preserve"> </w:t>
      </w:r>
      <w:r>
        <w:rPr>
          <w:rFonts w:ascii="Times New Roman;sans-serif" w:hAnsi="Times New Roman;sans-serif"/>
          <w:b w:val="false"/>
          <w:color w:val="000000"/>
          <w:sz w:val="20"/>
        </w:rPr>
        <w:t xml:space="preserve">SG&amp;A expense increased $2.6 million, or 4%, in 2023 compared to 2022. This increase was primarily due to higher compensation expense of $2.4 million, higher information technology expense of $2.3 million and higher incentive compensation costs of $2.0 million. The increase in compensation expense was primarily due to increased staff and recruitment costs. The increase in information technology expense was related to ongoing investment in our newly implemented human capital management (HCM) system and set-up costs incurred in a cloud computing arrangement for the HCM system, which are being amortized through SG&amp;A expense instead of depreciation and amortization expense. These items were partially offset by lower share-based compensation expense of $3.9 million and a weaker Australian and Canadian dollar relative to the U.S. dollar in 2023 compared to 2022 resulted in a $2.1 million decrease in SG&amp;A expense. The decrease in share-based compensation expense was due to a relative decrease in our share price during 2023 compared to 2022.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Depreciation and Amortization Expense.</w:t>
      </w:r>
      <w:r>
        <w:rPr>
          <w:color w:val="000000"/>
        </w:rPr>
        <w:t xml:space="preserve"> </w:t>
      </w:r>
      <w:r>
        <w:rPr>
          <w:rFonts w:ascii="Times New Roman;sans-serif" w:hAnsi="Times New Roman;sans-serif"/>
          <w:b w:val="false"/>
          <w:color w:val="000000"/>
          <w:sz w:val="20"/>
        </w:rPr>
        <w:t xml:space="preserve">Depreciation and amortization expense decreased $12.1 million, or 14%, in 2023 compared to 2022. The decrease was primarily due to (i) the sale of our wellsite and offshore businesses in the U.S. in the second half of 2022, (ii) certain assets becoming fully depreciated in Canada in the second quarter of 2023 and (iii) lower depreciation and amortization expense due to a weaker Australian and Canadian dollar relative to the U.S. dollar in 2023 compared to 2022. This was partially offset by the shortening of the useful lives on certain assets in Canada, including the McClelland Lake Lodge.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Impairment Expense.</w:t>
      </w:r>
      <w:r>
        <w:rPr>
          <w:color w:val="000000"/>
        </w:rPr>
        <w:t xml:space="preserve"> </w:t>
      </w:r>
      <w:r>
        <w:rPr>
          <w:rFonts w:ascii="Times New Roman;sans-serif" w:hAnsi="Times New Roman;sans-serif"/>
          <w:b w:val="false"/>
          <w:color w:val="000000"/>
          <w:sz w:val="20"/>
        </w:rPr>
        <w:t>We recorded pre-tax impairment expense of $1.4 million in 2023 associated with long-lived assets in the U.S. We recorded pre-tax impairment expense of $5.7 million in 2022 associated with long-lived assets in the U.S. and our Australian reporting unit.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to the notes to the consolidated financial statements included in Item 8 of this annual report for further discussion.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Gain on Sale of McClelland Lake Lodge Assets, net.</w:t>
      </w:r>
      <w:r>
        <w:rPr>
          <w:color w:val="000000"/>
        </w:rPr>
        <w:t xml:space="preserve"> </w:t>
      </w:r>
      <w:r>
        <w:rPr>
          <w:rFonts w:ascii="Times New Roman;sans-serif" w:hAnsi="Times New Roman;sans-serif"/>
          <w:b w:val="false"/>
          <w:color w:val="000000"/>
          <w:sz w:val="20"/>
        </w:rPr>
        <w:t>We recorded $18.6 million in 2023 related to net gains associated with the sale of the McClelland Lake Lodge. The remaining net gains related to the sale of the McClelland Lake Lodge will be recognized in the first quarter of 2024.</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color w:val="000000"/>
          <w:sz w:val="20"/>
        </w:rPr>
        <w:t>Operating Income.</w:t>
      </w:r>
      <w:r>
        <w:rPr>
          <w:color w:val="000000"/>
        </w:rPr>
        <w:t xml:space="preserve"> </w:t>
      </w:r>
      <w:r>
        <w:rPr>
          <w:rFonts w:ascii="Times New Roman;sans-serif" w:hAnsi="Times New Roman;sans-serif"/>
          <w:b w:val="false"/>
          <w:color w:val="000000"/>
          <w:sz w:val="20"/>
        </w:rPr>
        <w:t>Operating income increased $22.5 million, or 132%, in 2023 compared to 2022 primarily due to a net gain on sale of McClelland Lake Lodge assets, higher activity levels in Australia and lower depreciation and amortization and impairment expenses in 2023 compared to 2022. These items were partially offset by reduced mobile asset activity in Canada and increased operating costs due to inflationary pressures in 2023 compared to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Interest (Expense) Income, net.</w:t>
      </w:r>
      <w:r>
        <w:rPr>
          <w:color w:val="000000"/>
        </w:rPr>
        <w:t xml:space="preserve"> </w:t>
      </w:r>
      <w:r>
        <w:rPr>
          <w:rFonts w:ascii="Times New Roman;sans-serif" w:hAnsi="Times New Roman;sans-serif"/>
          <w:b w:val="false"/>
          <w:color w:val="000000"/>
          <w:sz w:val="20"/>
        </w:rPr>
        <w:t>Net interest expense increased $1.6 million, or 14%, in 2023 compared to 2022 primarily related to higher interest rates on credit facility borrowings during 2023 compared to 2022, partially offset by lower average debt levels.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 xml:space="preserve">Other Income. </w:t>
      </w:r>
      <w:r>
        <w:rPr>
          <w:rFonts w:ascii="Times New Roman;sans-serif" w:hAnsi="Times New Roman;sans-serif"/>
          <w:b w:val="false"/>
          <w:color w:val="000000"/>
          <w:sz w:val="20"/>
        </w:rPr>
        <w:t>Consolidated other income increased $8.7 million, or 170%, in 2023 compared to 2022. Other income in 2023 included $9.7 million in reimbursements associated with the dismantlement of the McClelland Lake Lodge. In addition, 2023 included gains related to the sale of our Acadian Acres accommodation assets in the U.S. and a gain on the settlement of an ARO in Canada. Other income in 2022 included $4.7 million in gains on the sale of assets primarily related to our Kambalda village and undeveloped land holdings in Australia, our wellsite and offshore businesses in the U.S. and various mobile assets across Canada, Australia and the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Income Tax (Expense) Benefit.</w:t>
      </w:r>
      <w:r>
        <w:rPr>
          <w:color w:val="000000"/>
        </w:rPr>
        <w:t xml:space="preserve">  </w:t>
      </w:r>
      <w:r>
        <w:rPr>
          <w:rFonts w:ascii="Times New Roman;sans-serif" w:hAnsi="Times New Roman;sans-serif"/>
          <w:b w:val="false"/>
          <w:color w:val="000000"/>
          <w:sz w:val="20"/>
        </w:rPr>
        <w:t xml:space="preserve">Our income tax expense for 2023 totaled $10.6 million, or 26.3% of pretax income, compared to an expense of $4.4 million, or 41.0% of pretax income for 2022. Our effective tax rate for 2023 and 2022 was higher than the Canadian federal statutory rate of 15%, primarily due to pre-tax income in Australia being taxed at the higher Australian income tax rate of 30%. Additionally, due to the full valuation allowances maintained in both Canada and the U.S., no tax expense or benefit was recorded related to pre-tax income in Canada and the U.S. In 2023, tax expense in Canada and the U.S. was offset by a valuation allowance release of $1.7 million and $0.8 million, respectively. In 2022, tax expense in Canada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was offset by a valuation allowance release of $0.6 million and the tax benefit in the U.S. was offset by an increase to the valuation allowance of $1.0 million.</w:t>
      </w:r>
    </w:p>
    <w:p>
      <w:pPr>
        <w:pStyle w:val="TextBody"/>
        <w:bidi w:val="0"/>
        <w:spacing w:before="0" w:after="0"/>
        <w:ind w:left="0" w:right="0" w:firstLine="540"/>
        <w:jc w:val="both"/>
        <w:rPr/>
      </w:pPr>
      <w:r>
        <w:rPr/>
      </w:r>
    </w:p>
    <w:p>
      <w:pPr>
        <w:pStyle w:val="TextBody"/>
        <w:bidi w:val="0"/>
        <w:spacing w:lineRule="auto" w:line="276" w:before="0" w:after="0"/>
        <w:ind w:left="0" w:right="0" w:firstLine="540"/>
        <w:jc w:val="left"/>
        <w:rPr/>
      </w:pPr>
      <w:r>
        <w:rPr>
          <w:rFonts w:ascii="Times New Roman;sans-serif" w:hAnsi="Times New Roman;sans-serif"/>
          <w:b/>
          <w:color w:val="000000"/>
          <w:sz w:val="20"/>
        </w:rPr>
        <w:t>Other Comprehensive</w:t>
      </w:r>
      <w:r>
        <w:rPr>
          <w:color w:val="000000"/>
        </w:rPr>
        <w:t xml:space="preserve"> </w:t>
      </w:r>
      <w:r>
        <w:rPr>
          <w:rFonts w:ascii="Times New Roman;sans-serif" w:hAnsi="Times New Roman;sans-serif"/>
          <w:b/>
          <w:color w:val="000000"/>
          <w:sz w:val="20"/>
        </w:rPr>
        <w:t>Income</w:t>
      </w:r>
      <w:r>
        <w:rPr>
          <w:color w:val="000000"/>
        </w:rPr>
        <w:t xml:space="preserve"> </w:t>
      </w:r>
      <w:r>
        <w:rPr>
          <w:rFonts w:ascii="Times New Roman;sans-serif" w:hAnsi="Times New Roman;sans-serif"/>
          <w:b/>
          <w:color w:val="000000"/>
          <w:sz w:val="20"/>
        </w:rPr>
        <w:t>(Loss).</w:t>
      </w:r>
      <w:r>
        <w:rPr>
          <w:color w:val="000000"/>
        </w:rPr>
        <w:t xml:space="preserve"> </w:t>
      </w:r>
      <w:r>
        <w:rPr>
          <w:rFonts w:ascii="Times New Roman;sans-serif" w:hAnsi="Times New Roman;sans-serif"/>
          <w:b w:val="false"/>
          <w:color w:val="000000"/>
          <w:sz w:val="20"/>
        </w:rPr>
        <w:t>Other comprehensive income increased $28.0 million in 2023 compared to 2022 primarily as a result of foreign currency translation adjustments due to changes in the Canadian and Australian dollar exchange rates compared to the U.S. dollar. The Canadian dollar exchange rate compared to the U.S. dollar increased 2.4% in 2023 compared to a 6.4% decrease in 2022. The Australian dollar exchange rate compared to the U.S. dollar increased 0.2% in 2023 compared to a 6.5% decrease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Segment Results of Operations – Canadian Segment</w:t>
      </w:r>
    </w:p>
    <w:p>
      <w:pPr>
        <w:pStyle w:val="TextBody"/>
        <w:bidi w:val="0"/>
        <w:spacing w:lineRule="auto" w:line="288" w:before="0" w:after="0"/>
        <w:ind w:left="0" w:right="0" w:firstLine="180"/>
        <w:jc w:val="left"/>
        <w:rPr>
          <w:color w:val="000000"/>
        </w:rPr>
      </w:pPr>
      <w:r>
        <w:rPr>
          <w:color w:val="000000"/>
        </w:rPr>
        <w:t> </w:t>
      </w:r>
    </w:p>
    <w:tbl>
      <w:tblPr>
        <w:tblW w:w="7278" w:type="dxa"/>
        <w:jc w:val="center"/>
        <w:tblInd w:w="0" w:type="dxa"/>
        <w:tblLayout w:type="fixed"/>
        <w:tblCellMar>
          <w:top w:w="28" w:type="dxa"/>
          <w:left w:w="28" w:type="dxa"/>
          <w:bottom w:w="28" w:type="dxa"/>
          <w:right w:w="28" w:type="dxa"/>
        </w:tblCellMar>
      </w:tblPr>
      <w:tblGrid>
        <w:gridCol w:w="1116"/>
        <w:gridCol w:w="978"/>
        <w:gridCol w:w="981"/>
        <w:gridCol w:w="196"/>
        <w:gridCol w:w="736"/>
        <w:gridCol w:w="241"/>
        <w:gridCol w:w="109"/>
        <w:gridCol w:w="109"/>
        <w:gridCol w:w="109"/>
        <w:gridCol w:w="196"/>
        <w:gridCol w:w="736"/>
        <w:gridCol w:w="241"/>
        <w:gridCol w:w="109"/>
        <w:gridCol w:w="109"/>
        <w:gridCol w:w="109"/>
        <w:gridCol w:w="196"/>
        <w:gridCol w:w="721"/>
        <w:gridCol w:w="286"/>
      </w:tblGrid>
      <w:tr>
        <w:trPr/>
        <w:tc>
          <w:tcPr>
            <w:tcW w:w="11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Accommodation revenue</w:t>
            </w:r>
            <w:r>
              <w:rPr>
                <w:color w:val="000000"/>
              </w:rPr>
              <w:t xml:space="preserv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Mobile facility rental revenue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Food service and other services revenue</w:t>
            </w:r>
            <w:r>
              <w:rPr>
                <w:color w:val="000000"/>
              </w:rPr>
              <w:t xml:space="preserve"> </w:t>
            </w:r>
            <w:r>
              <w:rPr>
                <w:rFonts w:ascii="Times New Roman;sans-serif" w:hAnsi="Times New Roman;sans-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(43,202)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facility rental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Average daily rate for lodges</w:t>
            </w:r>
            <w:r>
              <w:rPr>
                <w:color w:val="000000"/>
              </w:rPr>
              <w:t xml:space="preserve"> </w:t>
            </w:r>
            <w:r>
              <w:rPr>
                <w:rFonts w:ascii="Times New Roman;sans-serif" w:hAnsi="Times New Roman;sans-serif"/>
                <w:b w:val="false"/>
                <w:color w:val="000000"/>
                <w:sz w:val="10"/>
              </w:rPr>
              <w:t>(4)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billed rooms for lodges </w:t>
            </w:r>
            <w:r>
              <w:rPr>
                <w:rFonts w:ascii="Times New Roman;sans-serif" w:hAnsi="Times New Roman;sans-serif"/>
                <w:b w:val="false"/>
                <w:color w:val="000000"/>
                <w:sz w:val="10"/>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2,710,784 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rooms and hospitality services for owned rooms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 laundry and water and wastewater treatment services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rate is based on billed rooms and accommodation revenue.</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Billed rooms represents total billed days for owned assets for the periods presented.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Canadian segment reported revenues in 2023 that were $43.2 million, or 11%, lower than 2022. The weakening of the average exchange rate for the Canadian dollar relative to the U.S. dollar by 3.6% in 2023 compared to 2022 resulted in a $13.9 million period-over-period decrease in revenues. Excluding the impact of the weaker Canadian exchange rate, the revenue decrease was driven by (i) reduced mobile asset activity from pipeline projects and (ii) lower billed rooms at our lodges.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cost of sales and services decreased $16.5 million, or 6%, in 2023 compared to 2022. The weakening of the average exchange rate for the Canadian dollar relative to the U.S. dollar by 3.6% in 2023 compared to 2022 resulted in a $10.8 million period-over-period decrease in cost of sales and services. Excluding the impact of the weaker Canadian exchange rate, the decrease in cost of sales and services was driven by lower costs related to the reduced mobile asset activity and reduced activity at certain lodges.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gross margin as a percentage of revenues decreased from 25.9% in 2022 to 21.5% in 2023. This decrease was primarily driven by reduced margins from our mobile asset activity as certain higher margin components were recognized over the initial contract terms through late 2022, with 2023 representing mobile camp activity winding down. In addition, mobile camp demobilization costs of approximately $6.5 million were incurred in the second half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Segment Results of Operations – Australian Segment</w:t>
      </w:r>
    </w:p>
    <w:p>
      <w:pPr>
        <w:pStyle w:val="TextBody"/>
        <w:bidi w:val="0"/>
        <w:spacing w:lineRule="auto" w:line="288" w:before="0" w:after="0"/>
        <w:ind w:left="0" w:right="0" w:firstLine="180"/>
        <w:jc w:val="left"/>
        <w:rPr>
          <w:color w:val="000000"/>
        </w:rPr>
      </w:pPr>
      <w:r>
        <w:rPr>
          <w:color w:val="000000"/>
        </w:rPr>
        <w:t> </w:t>
      </w:r>
    </w:p>
    <w:tbl>
      <w:tblPr>
        <w:tblW w:w="7187" w:type="dxa"/>
        <w:jc w:val="center"/>
        <w:tblInd w:w="0" w:type="dxa"/>
        <w:tblLayout w:type="fixed"/>
        <w:tblCellMar>
          <w:top w:w="28" w:type="dxa"/>
          <w:left w:w="28" w:type="dxa"/>
          <w:bottom w:w="28" w:type="dxa"/>
          <w:right w:w="28" w:type="dxa"/>
        </w:tblCellMar>
      </w:tblPr>
      <w:tblGrid>
        <w:gridCol w:w="1109"/>
        <w:gridCol w:w="972"/>
        <w:gridCol w:w="978"/>
        <w:gridCol w:w="196"/>
        <w:gridCol w:w="736"/>
        <w:gridCol w:w="241"/>
        <w:gridCol w:w="109"/>
        <w:gridCol w:w="109"/>
        <w:gridCol w:w="109"/>
        <w:gridCol w:w="196"/>
        <w:gridCol w:w="736"/>
        <w:gridCol w:w="241"/>
        <w:gridCol w:w="109"/>
        <w:gridCol w:w="109"/>
        <w:gridCol w:w="109"/>
        <w:gridCol w:w="196"/>
        <w:gridCol w:w="646"/>
        <w:gridCol w:w="2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Accommodation revenue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Food service and other services revenue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 in thousands)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daily rate for villages </w:t>
            </w:r>
            <w:r>
              <w:rPr>
                <w:rFonts w:ascii="Times New Roman;sans-serif" w:hAnsi="Times New Roman;sans-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billed rooms for villages</w:t>
            </w:r>
            <w:r>
              <w:rPr>
                <w:color w:val="000000"/>
              </w:rPr>
              <w:t xml:space="preserve"> </w:t>
            </w:r>
            <w:r>
              <w:rPr>
                <w:rFonts w:ascii="Times New Roman;sans-serif" w:hAnsi="Times New Roman;sans-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2,371,763 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2,024,068 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village rooms and hospitality services for owned rooms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food service and other services, including facilities management,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Average daily rate is based on billed rooms and accommodation revenue.</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Billed rooms represents total billed days for owned assets for the periods presented.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reported revenues in 2023 that were $58.5 million, or 21%, higher than 2022. The weakening of the average exchange rate for Australian dollars relative to the U.S. dollar by 4.3% in the 2023 compared to 2022 resulted in a $14.9 million period-over-period decrease in revenues. Excluding the impact of the weaker Australian exchange rate, the increase in the Australian segment was driven by increased activity at our Civeo owned villages in the Bowen Basin and Gunnedah Basin and our integrated services villages in Western Australia.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cost of sales and services increased $42.1 million, or 21%, in 2023 compared to 2022. The weakening of the average exchange rate for Australian dollars relative to the U.S. dollar by 4.3% in 2023 compared to 2022 resulted in a $10.8 million period-over-period decrease in cost of sales and services. Excluding the impact of the weaker Australian exchange rate, the increase in cost of sales and services was largely driven by increased occupancy at our Civeo owned villages in the Bowen Basin and Gunnedah Basin and our integrated services villages in Western Australia and increased operating costs due to inflationary pressures.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gross margin as a percentage of revenues remained constant at 27.8% in both 2023 and 2022. The increased revenue contribution in 2023 from our integrated services business, which has a service only-business model and therefore generates lower overall margins than our accommodation business, had a negative impact on margins in 2023. This negative impact was offset by improved margins at Civeo owned villages in the Bowen Basin and Gunnedah Basin as a result of increased activity and improved margins in the integrated services business due to reduced costs realized from our inflation mitigation plan in the year. </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liquidity needs are to fund capital expenditures, which in the past have included expanding and improving our hospitality services, developing new lodges and villages and purchasing or leasing land, to pay dividends, to repurchase common shares and for general working capital needs. In addition, capital has been used to repay debt and fund strategic business acquisitions. In the future, capital may be required to move lodges from one site to another.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or refinance debt.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material future cash requirements at December 31, 2023, and the effect such obligations are expected to have on our liquidity and cash flow over the next five years (in thousands):  </w:t>
      </w:r>
    </w:p>
    <w:tbl>
      <w:tblPr>
        <w:tblW w:w="10205" w:type="dxa"/>
        <w:jc w:val="left"/>
        <w:tblInd w:w="0" w:type="dxa"/>
        <w:tblLayout w:type="fixed"/>
        <w:tblCellMar>
          <w:top w:w="28" w:type="dxa"/>
          <w:left w:w="28" w:type="dxa"/>
          <w:bottom w:w="28" w:type="dxa"/>
          <w:right w:w="28" w:type="dxa"/>
        </w:tblCellMar>
      </w:tblPr>
      <w:tblGrid>
        <w:gridCol w:w="1416"/>
        <w:gridCol w:w="1241"/>
        <w:gridCol w:w="1239"/>
        <w:gridCol w:w="196"/>
        <w:gridCol w:w="736"/>
        <w:gridCol w:w="109"/>
        <w:gridCol w:w="109"/>
        <w:gridCol w:w="109"/>
        <w:gridCol w:w="109"/>
        <w:gridCol w:w="215"/>
        <w:gridCol w:w="711"/>
        <w:gridCol w:w="119"/>
        <w:gridCol w:w="109"/>
        <w:gridCol w:w="109"/>
        <w:gridCol w:w="109"/>
        <w:gridCol w:w="197"/>
        <w:gridCol w:w="651"/>
        <w:gridCol w:w="109"/>
        <w:gridCol w:w="109"/>
        <w:gridCol w:w="109"/>
        <w:gridCol w:w="109"/>
        <w:gridCol w:w="217"/>
        <w:gridCol w:w="618"/>
        <w:gridCol w:w="120"/>
        <w:gridCol w:w="109"/>
        <w:gridCol w:w="109"/>
        <w:gridCol w:w="109"/>
        <w:gridCol w:w="196"/>
        <w:gridCol w:w="646"/>
        <w:gridCol w:w="161"/>
      </w:tblGrid>
      <w:tr>
        <w:trPr/>
        <w:tc>
          <w:tcPr>
            <w:tcW w:w="141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w:t>
              <w:br/>
              <w:t>Than 5</w:t>
              <w:br/>
              <w:t>Years</w:t>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payments</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Non-cancelable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 – expected 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contractual cash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62,192 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payments due under the Credit Agreement, which matures on September 8, 2025; based on an interest rate of 9.2% for Canadian revolver borrowings.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at December 31, 2023 are reflected in our consolidated balance sheet, which is a part of our consolidated financial statements in Item 8 of this annual report. We have not entered into any material leases subsequent to December 31, 2023.</w:t>
      </w:r>
    </w:p>
    <w:p>
      <w:pPr>
        <w:pStyle w:val="TextBody"/>
        <w:bidi w:val="0"/>
        <w:spacing w:before="0" w:after="0"/>
        <w:ind w:left="0" w:right="0" w:firstLine="45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liquidity position as of December 31, 2023 and 2022 (in thousands): </w:t>
      </w:r>
    </w:p>
    <w:tbl>
      <w:tblPr>
        <w:tblW w:w="5679" w:type="dxa"/>
        <w:jc w:val="center"/>
        <w:tblInd w:w="0" w:type="dxa"/>
        <w:tblLayout w:type="fixed"/>
        <w:tblCellMar>
          <w:top w:w="28" w:type="dxa"/>
          <w:left w:w="28" w:type="dxa"/>
          <w:bottom w:w="28" w:type="dxa"/>
          <w:right w:w="28" w:type="dxa"/>
        </w:tblCellMar>
      </w:tblPr>
      <w:tblGrid>
        <w:gridCol w:w="1169"/>
        <w:gridCol w:w="1025"/>
        <w:gridCol w:w="1031"/>
        <w:gridCol w:w="196"/>
        <w:gridCol w:w="736"/>
        <w:gridCol w:w="109"/>
        <w:gridCol w:w="109"/>
        <w:gridCol w:w="109"/>
        <w:gridCol w:w="109"/>
        <w:gridCol w:w="196"/>
        <w:gridCol w:w="73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Lender commitments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against revolving credit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letters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Unused availability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 liquidity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totaling $96.6 million was provided by operations during 2023 compared to $91.8 million provided by operations during 2022. During 2023 and 2022, net cash used for working capital was $1.6 million and $13.9 million, respectively. The decrease in cash used for working capital in 2023 compared to 2022 is largely due to payments received from a customer for village enhancements in Australia and other working capital changes driven by timing of receipts and payments during 2023 compared to 2022.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2023 totaled $14.5 million compared to cash used in investing activities during 2022 of $8.9 million. The increase in cash used in investing activities was primarily due to higher capital expenditures. Capital expenditures totaled $31.6 million and $25.4 million during 2023 and 2022, respectively. Capital expenditures in both periods were primarily related to maintenance. In addition, our 2023 capital expenditures included approximately $10 million related to customer-funded infrastructure upgrades in Australia. We received net proceeds from the sale of property, plant and equipment of $16.7 million during 2023 primarily related to the sale of our McClelland Lake Lodge accommodation assets in Canada and Acadian Acres accommodation assets in the U.S., compared to $16.3 million during 2022 primarily related to the sale of our Kambalda village and undeveloped land holdings in Australia, unused corporate office space and various mobile assets in Canada and our wellsite and offshore businesses in the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expenditures for 2024 to be in the range of $30 million to $35 million, which excludes any unannounced and uncommitted projects, the spending for which is contingent on obtaining customer contracts or commitments. Whether planned expenditures will actually be spent in 2024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delineates historical capital expenditures split between expansionary and maintenance spending on our lodges and villages, mobile asset spending and other capital expenditures. We classify capital expenditures for the development of rooms and central facilities at our lodges and villages as expansion capital expenditures. Other capital expenditures in the table below relate to routine capital spending for support equipment, upgrades to infrastructure at our lodge and village properties and spending related to our manufacturing facilities, among other items.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management’s judgment of capital spending classifications, we believe the following table represents the components of capital expenditures for the years ended December 31, 2023 and 2022 (in millions):</w:t>
      </w:r>
    </w:p>
    <w:p>
      <w:pPr>
        <w:pStyle w:val="TextBody"/>
        <w:bidi w:val="0"/>
        <w:spacing w:lineRule="auto" w:line="288" w:before="0" w:after="0"/>
        <w:ind w:left="0" w:right="0" w:firstLine="540"/>
        <w:jc w:val="center"/>
        <w:rPr>
          <w:color w:val="000000"/>
        </w:rPr>
      </w:pPr>
      <w:r>
        <w:rPr>
          <w:color w:val="000000"/>
        </w:rPr>
        <w:t> </w:t>
      </w:r>
    </w:p>
    <w:tbl>
      <w:tblPr>
        <w:tblW w:w="7555" w:type="dxa"/>
        <w:jc w:val="center"/>
        <w:tblInd w:w="0" w:type="dxa"/>
        <w:tblLayout w:type="fixed"/>
        <w:tblCellMar>
          <w:top w:w="28" w:type="dxa"/>
          <w:left w:w="28" w:type="dxa"/>
          <w:bottom w:w="28" w:type="dxa"/>
          <w:right w:w="28" w:type="dxa"/>
        </w:tblCellMar>
      </w:tblPr>
      <w:tblGrid>
        <w:gridCol w:w="391"/>
        <w:gridCol w:w="343"/>
        <w:gridCol w:w="345"/>
        <w:gridCol w:w="217"/>
        <w:gridCol w:w="517"/>
        <w:gridCol w:w="122"/>
        <w:gridCol w:w="109"/>
        <w:gridCol w:w="109"/>
        <w:gridCol w:w="109"/>
        <w:gridCol w:w="196"/>
        <w:gridCol w:w="466"/>
        <w:gridCol w:w="109"/>
        <w:gridCol w:w="109"/>
        <w:gridCol w:w="109"/>
        <w:gridCol w:w="109"/>
        <w:gridCol w:w="196"/>
        <w:gridCol w:w="466"/>
        <w:gridCol w:w="109"/>
        <w:gridCol w:w="109"/>
        <w:gridCol w:w="109"/>
        <w:gridCol w:w="109"/>
        <w:gridCol w:w="246"/>
        <w:gridCol w:w="472"/>
        <w:gridCol w:w="138"/>
        <w:gridCol w:w="109"/>
        <w:gridCol w:w="109"/>
        <w:gridCol w:w="109"/>
        <w:gridCol w:w="196"/>
        <w:gridCol w:w="466"/>
        <w:gridCol w:w="109"/>
        <w:gridCol w:w="109"/>
        <w:gridCol w:w="109"/>
        <w:gridCol w:w="109"/>
        <w:gridCol w:w="196"/>
        <w:gridCol w:w="46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Expansion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Expansion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Lodge/village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assets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Expansion lodge and village spending in 2023 was largely related to customer-funded infrastructure upgrades at three Australian villages.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lodge and village spending in 2023 and 2022 was primarily associated with routine maintenance projects at our major properties.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spending in 2023 was primarily related to an asset storage yard purchased in Canada. Mobile asset spending in 2022 was primarily related to routine maintenance of our mobile assets in the U.S. and Canadian markets.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maintenance and expansion spending in 2023 was primarily related to miscellaneous equipment and supplies to support the day-to-day operations at our accommodation and laundry facilities and information technology infrastructure to support our business. Other maintenance and expansion spending in 2022 was primarily associated with mobilization of new sites at our integrated services business in Western Australia, purchases of miscellaneous equipment and supplies to support the day-to-day operations at our accommodation facilities and information technology infrastructure to support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during 2023 of $86.8 million was primarily due to (i) net repayments under our revolving credit facilities of $37.8 million, (ii) repayments of term loan borrowings of $29.9 million, (iii) repurchases of our common shares of $11.6 million and (iv) dividend payments of $7.4 million. Cash used in financing activities during 2022 of $79.7 million was primarily due to (i) repayments of term loan borrowings of $30.4 million, (ii) repurchases of our preferred shares and our common shares of $30.6 million and $14.2 million, respectively, (iii) net repayments under our revolving credit facilities of $3.4 million, (iv) settlement of tax obligations on vested shares under our share-based compensation plans of $1.0 million and (v) a cash dividend paid on our preferred shares in connection with the repurchase of $0.1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debt outstanding during 2023 (in thousands):</w:t>
      </w:r>
    </w:p>
    <w:tbl>
      <w:tblPr>
        <w:tblW w:w="8149" w:type="dxa"/>
        <w:jc w:val="center"/>
        <w:tblInd w:w="0" w:type="dxa"/>
        <w:tblLayout w:type="fixed"/>
        <w:tblCellMar>
          <w:top w:w="28" w:type="dxa"/>
          <w:left w:w="28" w:type="dxa"/>
          <w:bottom w:w="28" w:type="dxa"/>
          <w:right w:w="28" w:type="dxa"/>
        </w:tblCellMar>
      </w:tblPr>
      <w:tblGrid>
        <w:gridCol w:w="1550"/>
        <w:gridCol w:w="1367"/>
        <w:gridCol w:w="1372"/>
        <w:gridCol w:w="196"/>
        <w:gridCol w:w="736"/>
        <w:gridCol w:w="109"/>
        <w:gridCol w:w="109"/>
        <w:gridCol w:w="109"/>
        <w:gridCol w:w="109"/>
        <w:gridCol w:w="196"/>
        <w:gridCol w:w="556"/>
        <w:gridCol w:w="109"/>
        <w:gridCol w:w="109"/>
        <w:gridCol w:w="109"/>
        <w:gridCol w:w="109"/>
        <w:gridCol w:w="109"/>
        <w:gridCol w:w="109"/>
        <w:gridCol w:w="196"/>
        <w:gridCol w:w="73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revolving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term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our Board authorized a common share repurchase program to repurchase up to 5.0% of our total common shares which are issued and outstanding, or 742,134 common shares, over a twelve month period. In addition, our Board declared quarterly dividends of $0.25 per common share to shareholders of record as of close of business on September 15, 2023 and November 27, 2023. Dividend payments of $3.7 million were made on both September 29, 2023 and December 18, 2023. The dividends are eligible dividends pursuant to the Income Tax Act (Canada). See Note 17 – Share Repurchase Programs and Dividends to the notes to the consolidated financial statements included in Item 8 of this annual report for further discussion.</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which was fully repaid on December 31, 2023, in favor of Civeo.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outstanding letters of credit of $0.3 million under the U.S. facility, zero under the Australian facility and $1.1 million under the Canadian facility. We also had outstanding bank guarantees of A$0.8 million under the Australian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Debt to the notes to the consolidated financial statements in Item 8 of this annual report for the terms of the Credit Agreement and further discussion regarding our debt.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 xml:space="preserve">We intend to pay regular quarterly dividends on our common shares, with all future dividend payments subject to quarterly review and approval by our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ind w:left="0" w:right="0" w:firstLine="540"/>
        <w:jc w:val="both"/>
        <w:rPr/>
      </w:pPr>
      <w:r>
        <w:rPr>
          <w:rFonts w:ascii="Times New Roman;sans-serif" w:hAnsi="Times New Roman;sans-serif"/>
          <w:b/>
          <w:i/>
          <w:color w:val="000000"/>
          <w:sz w:val="20"/>
        </w:rPr>
        <w:t>Impairment of Definite-Lived Tangible and</w:t>
      </w:r>
      <w:r>
        <w:rPr>
          <w:color w:val="000000"/>
        </w:rPr>
        <w:t xml:space="preserve"> </w:t>
      </w:r>
      <w:r>
        <w:rPr>
          <w:rFonts w:ascii="Times New Roman;sans-serif" w:hAnsi="Times New Roman;sans-serif"/>
          <w:b/>
          <w:i/>
          <w:color w:val="000000"/>
          <w:sz w:val="20"/>
        </w:rPr>
        <w:t>Intangible Assets</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recoverability of the carrying values of tangible and intangible assets is assessed at an asset group level which represents the lowest level for which identifiable cash flows are largely independent of the cash flows of other assets and liabilities. Whenever, in management’s judgment, we review our assets for impairment in step one when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 As part of the initial step, we also reevaluate the remaining useful lives and salvage values of our assets when indicators of impairment exist.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Identification of Asset Groups</w:t>
      </w:r>
      <w:r>
        <w:rPr>
          <w:color w:val="000000"/>
        </w:rPr>
        <w:t xml:space="preserve"> – </w:t>
      </w:r>
      <w:r>
        <w:rPr>
          <w:rFonts w:ascii="Times New Roman;sans-serif" w:hAnsi="Times New Roman;sans-serif"/>
          <w:b w:val="false"/>
          <w:color w:val="000000"/>
          <w:sz w:val="20"/>
        </w:rPr>
        <w:t>The following summarizes the asset groups that we have identified in each of our reporting segments.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Canada segment consists of numerous lodges, as well as our mobile assets. These properties are grouped in the following asset groups:</w: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Core Region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Fort McMurray Village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Beaver River Lodge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Athabasca Lodge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Hudson and Borealis Lodges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Wapasu Creek Lodge – North Athabasca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Grey Wolf Lodge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Conklin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Anzac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Red Earth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Wabasca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Sitka Lodge – Kitimat, British Columbia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Geetla camp – British Columbia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Antler River camp – Manitoba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Red Earth camp – Alberta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Christina Lake camp – Alberta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Mobile assets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Various land holdings in British Columbia purchased in anticipation of potential LNG related projects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lodges are operated on a lodge by lodge basis. However, for one set of lodges (the Core Region, including Beaver River, Athabasca,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 segment consists of eight villages in several regions within the country, as well as our integrated services assets and land banked assets. These properties are grouped in the following asset groups:</w: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Karratha – Pilbara Region, Western Australia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Integrated services – Assets held on client owned sites in Western Australia and South Australia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Gunnedah Basin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Narrabri – Gunnedah Basin, New South Wales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Boggabri – Gunnedah Basin, New South Wales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Bowen Basin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Moranbah – Bowen Basin, Queensland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Dysart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Nebo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Coppabella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Middlemount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Various non-operational sites acquired as part of Civeo’s land-banking strategy</w:t>
      </w:r>
    </w:p>
    <w:p>
      <w:pPr>
        <w:pStyle w:val="TextBody"/>
        <w:bidi w:val="0"/>
        <w:spacing w:before="0" w:after="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villages are operated on a village by village basis, except for the villages located in the Bowen Basin (Moranbah, Dysart, Nebo, Coppabella and Middlemount)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Integrated services assets provide catering and managed services to the mining industry in Western Australia and South Australia.</w:t>
      </w:r>
    </w:p>
    <w:p>
      <w:pPr>
        <w:pStyle w:val="TextBody"/>
        <w:bidi w:val="0"/>
        <w:spacing w:lineRule="auto" w:line="288" w:before="0" w:after="0"/>
        <w:ind w:left="0" w:right="0" w:firstLine="90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consists of a lodge, land and a wastewater treatment plant (WWTP). These properties are grouped in the following asset groups:</w: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Killdeer Lodge – North Dakota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Acadian Acres land – Louisiana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Killdeer WWTP – this asset group represents a WWTP in Killdeer, North Dakota, which was constructed in early 2014</w:t>
      </w:r>
    </w:p>
    <w:p>
      <w:pPr>
        <w:pStyle w:val="TextBody"/>
        <w:bidi w:val="0"/>
        <w:spacing w:before="0" w:after="6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 xml:space="preserve">Recoverability Assessment </w:t>
      </w:r>
      <w:r>
        <w:rPr>
          <w:color w:val="000000"/>
        </w:rPr>
        <w:t xml:space="preserve">– </w:t>
      </w:r>
      <w:r>
        <w:rPr>
          <w:rFonts w:ascii="Times New Roman;sans-serif" w:hAnsi="Times New Roman;sans-serif"/>
          <w:b w:val="false"/>
          <w:color w:val="000000"/>
          <w:sz w:val="20"/>
        </w:rPr>
        <w:t>In performing an impairment analysis, the second step is to compare each asset group’s carrying value to estimates of 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Fair Value Determination</w:t>
      </w:r>
      <w:r>
        <w:rPr>
          <w:color w:val="000000"/>
        </w:rPr>
        <w:t xml:space="preserve"> – </w:t>
      </w:r>
      <w:r>
        <w:rPr>
          <w:rFonts w:ascii="Times New Roman;sans-serif" w:hAnsi="Times New Roman;sans-serif"/>
          <w:b w:val="false"/>
          <w:color w:val="000000"/>
          <w:sz w:val="20"/>
        </w:rPr>
        <w:t>If, based on the assessment, the carrying values of any of our asset groups are determined to not be recoverable as a result of the undiscounted future cash flows not exceeding the net book value of the asset group, we proceed to the third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In some cases our estimate of fair value is based on appraisals from third parties.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to the notes to consolidated financial statements in Item 8 of this annual report for further discussion of impairments of definite-lived tangible and intangible assets recorded in the years ended December 31, 2023, 2022 and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range from several months to multiple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exclude taxes assessed based on revenues such as sales or value added taxes.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our earnings from foreign subsidiaries are considered to be indefinitely reinvested, no provision for Canadian income taxes is made for these earnings. If any of the subsidiaries have a distribution of earnings in the form of dividends or otherwise, we could be subject to both Canadian income taxes (subject to an adjustment for foreign tax credits) and withholding taxes payable to various foreign countries.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current and historical operating results and other potential sources of future taxable income. See Note 14 – Income Taxes to the notes to consolidated financial statements in Item 8 of this annual report for further discussion.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Canada and other tax jurisdictions based on our estimate of whether, and the extent to which, additional taxes will be due, including an accrual of interest and penalties, if applicable, related to the unrecognized tax benefits.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 Recent Accounting Pronouncements to the notes to consolidated financial statements in Item 8 of this annual report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7A.</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risks are our exposure to changes in interest rates and foreign currency exchange rates.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facilities that are subject to the risk of higher interest charges associated with increases in interest rates. As of December 31, 2023, we had $65.6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$0.7 million annually, based on our floating-rate debt obligations and interest rates in effect as of December 31, 2023.</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C$234 million and A$205 million, respectively, at December 31, 2023. We use a sensitivity analysis model to measure the impact of a 10% adverse movement of foreign currency exchange rates against the U.S. dollar. A hypothetical 10% adverse change in the value of the Canadian dollar and Australian dollar relative to the U.S. dollar as of December 31, 2023 would result in translation adjustments of approximately $23 million and $21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8.</w:t>
      </w:r>
      <w:r>
        <w:rPr>
          <w:color w:val="000000"/>
        </w:rPr>
        <w:t xml:space="preserve"> </w:t>
      </w:r>
      <w:r>
        <w:rPr>
          <w:rFonts w:ascii="Times New Roman;sans-serif" w:hAnsi="Times New Roman;sans-serif"/>
          <w:b/>
          <w:i/>
          <w:color w:val="000000"/>
          <w:sz w:val="20"/>
        </w:rPr>
        <w:t>Financial Statements and Supplementary Data</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supplementary data appear on pages 68 through 100 of this Annual Report on Form 10-K and are incorporated by reference into this Item 8.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w:t>
      </w:r>
      <w:r>
        <w:rPr>
          <w:color w:val="000000"/>
        </w:rPr>
        <w:t xml:space="preserve">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or disagreements on any matters of accounting principles or financial statement disclosure between us and our independent auditors during our two most recent years or any subsequent interim period.</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9A.</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color w:val="000000"/>
          <w:sz w:val="20"/>
        </w:rPr>
      </w:pPr>
      <w:r>
        <w:rPr>
          <w:rFonts w:ascii="Times New Roman;sans-serif" w:hAnsi="Times New Roman;sans-serif"/>
          <w:b/>
          <w:color w:val="000000"/>
          <w:sz w:val="20"/>
        </w:rPr>
        <w:t>(i)  Evaluation of Disclosure Controls and Procedures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Securities and Exchange Commission. Based upon that evaluation, our Chief Executive Officer and Chief Financial Officer concluded that our disclosure controls and procedures were effective as of December 31, 2023 at the reasonable assurance level.</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(ii) Internal Control Over Financial Reporting</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(a)  Management's annual report on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an assessment of the effectiveness of our internal control over financial reporting as of December 31, 2023 was conducted. In making this assessment, management used the criteria set forth by the Committee of Sponsoring Organizations of the Treadway Commission (COSO) in Internal Control–Integrated Framework (2013 Framework). Based on our assessment we believe that, as of December 31, 2023, our internal control over financial reporting is effective based on those criteria. </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(b) Attestation report of the registered public accounting firm.</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attestation report of Ernst &amp; Young LLP, our independent registered public accounting firm, on our internal control over financial reporting is set forth in this annual report on page 71 and is incorporated herein by reference.</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180"/>
        <w:jc w:val="both"/>
        <w:rPr/>
      </w:pPr>
      <w:r>
        <w:rPr>
          <w:rFonts w:ascii="Times New Roman;sans-serif" w:hAnsi="Times New Roman;sans-serif"/>
          <w:b/>
          <w:color w:val="000000"/>
          <w:sz w:val="20"/>
        </w:rPr>
        <w:t>(c)</w:t>
      </w:r>
      <w:r>
        <w:rPr>
          <w:color w:val="000000"/>
        </w:rPr>
        <w:t xml:space="preserve"> </w:t>
      </w:r>
      <w:r>
        <w:rPr>
          <w:rFonts w:ascii="Times New Roman;sans-serif" w:hAnsi="Times New Roman;sans-serif"/>
          <w:b/>
          <w:color w:val="000000"/>
          <w:sz w:val="20"/>
        </w:rPr>
        <w:t>Changes in</w:t>
      </w:r>
      <w:r>
        <w:rPr>
          <w:color w:val="000000"/>
        </w:rPr>
        <w:t xml:space="preserve"> </w:t>
      </w:r>
      <w:r>
        <w:rPr>
          <w:rFonts w:ascii="Times New Roman;sans-serif" w:hAnsi="Times New Roman;sans-serif"/>
          <w:b/>
          <w:color w:val="000000"/>
          <w:sz w:val="20"/>
        </w:rPr>
        <w:t>internal</w:t>
      </w:r>
      <w:r>
        <w:rPr>
          <w:color w:val="000000"/>
        </w:rPr>
        <w:t xml:space="preserve"> </w:t>
      </w:r>
      <w:r>
        <w:rPr>
          <w:rFonts w:ascii="Times New Roman;sans-serif" w:hAnsi="Times New Roman;sans-serif"/>
          <w:b/>
          <w:color w:val="000000"/>
          <w:sz w:val="20"/>
        </w:rPr>
        <w:t>control over</w:t>
      </w:r>
      <w:r>
        <w:rPr>
          <w:color w:val="000000"/>
        </w:rPr>
        <w:t xml:space="preserve"> </w:t>
      </w:r>
      <w:r>
        <w:rPr>
          <w:rFonts w:ascii="Times New Roman;sans-serif" w:hAnsi="Times New Roman;sans-serif"/>
          <w:b/>
          <w:color w:val="000000"/>
          <w:sz w:val="20"/>
        </w:rPr>
        <w:t>financial</w:t>
      </w:r>
      <w:r>
        <w:rPr>
          <w:color w:val="000000"/>
        </w:rPr>
        <w:t xml:space="preserve"> </w:t>
      </w:r>
      <w:r>
        <w:rPr>
          <w:rFonts w:ascii="Times New Roman;sans-serif" w:hAnsi="Times New Roman;sans-serif"/>
          <w:b/>
          <w:color w:val="000000"/>
          <w:sz w:val="20"/>
        </w:rPr>
        <w:t>reporting.</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there were no changes in our internal control over financial reporting (as defined in Rules 13a-15(f) and 15d-15(f) of the Exchange Act) which have materially affected, or are reasonably likely to materially affect, our internal control over financial reporting.</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9B.</w:t>
      </w:r>
      <w:r>
        <w:rPr>
          <w:color w:val="000000"/>
        </w:rPr>
        <w:t xml:space="preserve"> </w:t>
      </w:r>
      <w:r>
        <w:rPr>
          <w:rFonts w:ascii="Times New Roman;sans-serif" w:hAnsi="Times New Roman;sans-serif"/>
          <w:b/>
          <w:i/>
          <w:color w:val="000000"/>
          <w:sz w:val="20"/>
        </w:rPr>
        <w:t>Other Information </w:t>
      </w:r>
    </w:p>
    <w:p>
      <w:pPr>
        <w:pStyle w:val="TextBody"/>
        <w:bidi w:val="0"/>
        <w:spacing w:before="0" w:after="0"/>
        <w:ind w:left="0" w:right="0" w:firstLine="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bidi w:val="0"/>
        <w:spacing w:before="0" w:after="0"/>
        <w:ind w:left="0" w:right="0" w:firstLine="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10.</w:t>
      </w:r>
      <w:r>
        <w:rPr>
          <w:color w:val="000000"/>
        </w:rPr>
        <w:t xml:space="preserve"> </w:t>
      </w:r>
      <w:r>
        <w:rPr>
          <w:rFonts w:ascii="Times New Roman;sans-serif" w:hAnsi="Times New Roman;sans-serif"/>
          <w:b/>
          <w:i/>
          <w:color w:val="000000"/>
          <w:sz w:val="20"/>
        </w:rPr>
        <w:t>Directors, Executive Officers and Corporate Governance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hereby is incorporated by reference to such information as set forth in the Company's Definitive Proxy Statement for the 2024 Annual General Meeting of Shareholders.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the Company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Environmental, Social, Governance and Nominating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11.</w:t>
      </w:r>
      <w:r>
        <w:rPr>
          <w:color w:val="000000"/>
        </w:rPr>
        <w:t xml:space="preserve"> </w:t>
      </w:r>
      <w:r>
        <w:rPr>
          <w:rFonts w:ascii="Times New Roman;sans-serif" w:hAnsi="Times New Roman;sans-serif"/>
          <w:b/>
          <w:i/>
          <w:color w:val="000000"/>
          <w:sz w:val="20"/>
        </w:rPr>
        <w:t>Executive Compensation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hereby is incorporated by reference to such information as set forth in the Company's Definitive Proxy Statement for the 2024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12.</w:t>
      </w:r>
      <w:r>
        <w:rPr>
          <w:color w:val="000000"/>
        </w:rPr>
        <w:t xml:space="preserve"> </w:t>
      </w:r>
      <w:r>
        <w:rPr>
          <w:rFonts w:ascii="Times New Roman;sans-serif" w:hAnsi="Times New Roman;sans-serif"/>
          <w:b/>
          <w:i/>
          <w:color w:val="000000"/>
          <w:sz w:val="20"/>
        </w:rPr>
        <w:t>Security Ownership of Certain Beneficial Owners and Management and Related Shareholder Matters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hereby is incorporated by reference to such information as set forth in the Company's Definitive Proxy Statement for the 2024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13.</w:t>
      </w:r>
      <w:r>
        <w:rPr>
          <w:color w:val="000000"/>
        </w:rPr>
        <w:t xml:space="preserve">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hereby is incorporated by reference to such information as set forth in the Company's Definitive Proxy Statement for the 2024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14.</w:t>
      </w:r>
      <w:r>
        <w:rPr>
          <w:color w:val="000000"/>
        </w:rPr>
        <w:t xml:space="preserve"> </w:t>
      </w:r>
      <w:r>
        <w:rPr>
          <w:rFonts w:ascii="Times New Roman;sans-serif" w:hAnsi="Times New Roman;sans-serif"/>
          <w:b/>
          <w:i/>
          <w:color w:val="000000"/>
          <w:sz w:val="20"/>
        </w:rPr>
        <w:t>Principal Accounting Fees and Services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hereby is incorporated by reference to such information as set forth in the Company's Definitive Proxy Statement for the 2024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i/>
          <w:color w:val="000000"/>
          <w:sz w:val="20"/>
        </w:rPr>
        <w:t>Exhibits, Financial Statement Schedules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 Index to Financial Statements, Financial Statement Schedules and Exhibits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Reference is made to the index set forth on page 68 of this Annual Report on Form 10-K.</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color w:val="000000"/>
        </w:rPr>
        <w:t xml:space="preserve"> </w:t>
      </w:r>
      <w:r>
        <w:rPr>
          <w:rFonts w:ascii="Times New Roman;sans-serif" w:hAnsi="Times New Roman;sans-serif"/>
          <w:b w:val="false"/>
          <w:color w:val="000000"/>
          <w:sz w:val="20"/>
        </w:rPr>
        <w:t>No schedules have been included herein because the information required to be submitted has been included in the Consolidated Financial Statements or the Notes thereto, or the required information is inapplicable.</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Index of Exhibits:</w:t>
      </w:r>
      <w:r>
        <w:rPr>
          <w:color w:val="000000"/>
        </w:rPr>
        <w:t xml:space="preserve"> </w:t>
      </w:r>
      <w:r>
        <w:rPr>
          <w:rFonts w:ascii="Times New Roman;sans-serif" w:hAnsi="Times New Roman;sans-serif"/>
          <w:b w:val="false"/>
          <w:color w:val="000000"/>
          <w:sz w:val="20"/>
        </w:rPr>
        <w:t>See Index of Exhibits, below, for a list of those exhibits filed herewith, which index also includes and identifies management contracts or compensatory plans or arrangements required to be filed as exhibits to this Annual Report on Form 10-K by Item 601 of Regulation S-K.</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      Index of Exhibits</w:t>
      </w:r>
    </w:p>
    <w:p>
      <w:pPr>
        <w:pStyle w:val="TextBody"/>
        <w:bidi w:val="0"/>
        <w:spacing w:before="0" w:after="0"/>
        <w:ind w:left="0" w:right="0" w:firstLine="180"/>
        <w:jc w:val="both"/>
        <w:rPr/>
      </w:pPr>
      <w:r>
        <w:rPr/>
      </w:r>
    </w:p>
    <w:tbl>
      <w:tblPr>
        <w:tblW w:w="10205"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759"/>
        <w:gridCol w:w="2597"/>
        <w:gridCol w:w="369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Share Purchase Agreement, dated November 26, 2017, by and among Civeo Corporation, Noralta Lodge Ltd., Torgerson Family Trust, 2073357 Alberta Ltd., 2073358 Alberta Ltd., 1818939 Alberta Ltd., 2040618 Alberta Ltd., 2040624 Alberta Ltd., 989677 Alberta Ltd. and Lance Torgerson (incorporated herein by reference to Exhibit 10.1 to the Current Report on Form 8-K (File No. 001-36246) filed on November 27, 2017).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 xml:space="preserve">Amending Agreement, dated March 15, 2018, among Civeo Corporation, the Torgerson Family Trust, 989677 Alberta Ltd., 1818939 Alberta Ltd., 2040618 Alberta Ltd., 2040624 Alberta Ltd., 2073357 Alberta Ltd., 2073358 Alberta Ltd., Lance Torgerson and Noralta Lodge Ltd. (incorporated herein by reference to Exhibit 10.1 to the Current Report on Form 8-K (File No. 001-36246) filed on March 16, 2018). </w:t>
              </w:r>
            </w:hyperlink>
          </w:p>
          <w:p>
            <w:pPr>
              <w:pStyle w:val="TableContents"/>
              <w:bidi w:val="0"/>
              <w:spacing w:before="0" w:after="0"/>
              <w:jc w:val="both"/>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 xml:space="preserve">Notice of Articles of Civeo Corporation, as amended (incorporated herein by reference to Exhibit 3.1 to the Current Report on Form 8-K (File No. 001-36246) filed on April 2, 2018). </w:t>
              </w:r>
            </w:hyperlink>
          </w:p>
          <w:p>
            <w:pPr>
              <w:pStyle w:val="TableContents"/>
              <w:bidi w:val="0"/>
              <w:spacing w:before="0" w:after="0"/>
              <w:jc w:val="both"/>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Certification of Amendment to the Notice of Articles of Civeo Corporation (incorporated herein by reference to Exhibit 3.1 to the Current Report on Form 8-K (File No. 001-36246) filed on November 20, 2020.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80"/>
                  <w:sz w:val="20"/>
                  <w:u w:val="single"/>
                </w:rPr>
                <w:t>Amended and Restated Articles of Civeo Corporation</w:t>
              </w:r>
            </w:hyperlink>
            <w:hyperlink r:id="rId10">
              <w:r>
                <w:rPr>
                  <w:rStyle w:val="InternetLink"/>
                  <w:rFonts w:ascii="Times New Roman;sans-serif" w:hAnsi="Times New Roman;sans-serif"/>
                  <w:b w:val="false"/>
                  <w:color w:val="000080"/>
                  <w:sz w:val="20"/>
                  <w:u w:val="single"/>
                </w:rPr>
                <w:t xml:space="preserve"> </w:t>
              </w:r>
            </w:hyperlink>
            <w:hyperlink r:id="rId11">
              <w:r>
                <w:rPr>
                  <w:rStyle w:val="InternetLink"/>
                  <w:rFonts w:ascii="Times New Roman;sans-serif" w:hAnsi="Times New Roman;sans-serif"/>
                  <w:b w:val="false"/>
                  <w:color w:val="000080"/>
                  <w:sz w:val="20"/>
                  <w:u w:val="single"/>
                </w:rPr>
                <w:t>(incorporated herein by reference to Exhibit 3.3 to the Annual Report on Form 10-K (File No. 001-36246) filed on March 1, 2023)</w:t>
              </w:r>
            </w:hyperlink>
            <w:hyperlink r:id="rId12">
              <w:r>
                <w:rPr>
                  <w:rStyle w:val="InternetLink"/>
                  <w:rFonts w:ascii="Times New Roman;sans-serif" w:hAnsi="Times New Roman;sans-serif"/>
                  <w:b w:val="false"/>
                  <w:color w:val="000080"/>
                  <w:sz w:val="20"/>
                  <w:u w:val="single"/>
                </w:rPr>
                <w:t>.</w:t>
              </w:r>
            </w:hyperlink>
          </w:p>
          <w:p>
            <w:pPr>
              <w:pStyle w:val="TableContents"/>
              <w:bidi w:val="0"/>
              <w:spacing w:before="0" w:after="0"/>
              <w:jc w:val="both"/>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Form of Common Share Certificate (incorporated herein by reference to Exhibit 4.1 to the Current Report on Form 8-K12B (File No. 001-36246) filed on July 17, 2015).</w:t>
              </w:r>
            </w:hyperlink>
          </w:p>
          <w:p>
            <w:pPr>
              <w:pStyle w:val="TableContents"/>
              <w:bidi w:val="0"/>
              <w:spacing w:before="0" w:after="0"/>
              <w:jc w:val="both"/>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Registration Rights, Lock-Up and Standstill Agreement, dated April 2, 2018, by and among Civeo Corporation, Torgerson Family Trust and 989677 Alberta Ltd. (incorporated herein by reference to Exhibit 4.1 to the Current Report on Form 8-K (File No. 001-36246) filed on April 2, 2018).</w:t>
              </w:r>
            </w:hyperlink>
          </w:p>
          <w:p>
            <w:pPr>
              <w:pStyle w:val="TableContents"/>
              <w:bidi w:val="0"/>
              <w:spacing w:before="0" w:after="0"/>
              <w:jc w:val="both"/>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Description of Securities</w:t>
              </w:r>
            </w:hyperlink>
            <w:r>
              <w:rPr>
                <w:color w:val="000000"/>
              </w:rPr>
              <w:t xml:space="preserve"> </w:t>
            </w:r>
            <w:r>
              <w:rPr>
                <w:rFonts w:ascii="Times New Roman;sans-serif" w:hAnsi="Times New Roman;sans-serif"/>
                <w:b w:val="false"/>
                <w:color w:val="0000FF"/>
                <w:sz w:val="20"/>
                <w:u w:val="single"/>
              </w:rPr>
              <w:t>(incorporated herein by reference to Exhibit 4.3 to the Annual Report on Form 10-K (File No. 001-36246) filed on February 26, 2021).</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Form of Indemnification Agreement (incorporated herein by reference to Exhibit 10.1 to the Current Report on Form 8-K12B (File No. 001-36246) filed on July 17, 2015).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"https://www.sec.gov/Archives/edgar/data/0001590584/000159058423000055/cveo-20230331.htm" \l "ide22856c358c4bd2adb2af4572ac642e_3791"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Amended and Restated 2014 Equity Participation Plan of Civeo Corporation, as amended by Amendment No. 1, Amendment No. 2, Amendment No. 3 and Amendment No. 4 (incorporated by reference to Appendix B to Civeo Corporation's Schedule 14A filed on March 31, 2023).</w:t>
            </w:r>
            <w:r>
              <w:rPr>
                <w:rStyle w:val="InternetLink"/>
                <w:sz w:val="20"/>
                <w:u w:val="single"/>
                <w:b w:val="false"/>
                <w:rFonts w:ascii="Times New Roman;sans-serif" w:hAnsi="Times New Roman;sans-serif"/>
                <w:color w:val="0000FF"/>
              </w:rPr>
              <w:fldChar w:fldCharType="end"/>
            </w:r>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5"/>
        <w:gridCol w:w="198"/>
        <w:gridCol w:w="201"/>
        <w:gridCol w:w="109"/>
        <w:gridCol w:w="109"/>
        <w:gridCol w:w="109"/>
        <w:gridCol w:w="2767"/>
        <w:gridCol w:w="2686"/>
        <w:gridCol w:w="3801"/>
      </w:tblGrid>
      <w:tr>
        <w:trPr/>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80"/>
                  <w:sz w:val="20"/>
                  <w:u w:val="single"/>
                </w:rPr>
                <w:t xml:space="preserve">Performance Share Award Program under the 2014 Equity Participation Plan </w:t>
              </w:r>
            </w:hyperlink>
            <w:hyperlink r:id="rId18">
              <w:r>
                <w:rPr>
                  <w:rStyle w:val="InternetLink"/>
                  <w:rFonts w:ascii="Times New Roman;sans-serif" w:hAnsi="Times New Roman;sans-serif"/>
                  <w:b w:val="false"/>
                  <w:color w:val="000080"/>
                  <w:sz w:val="20"/>
                  <w:u w:val="single"/>
                </w:rPr>
                <w:t xml:space="preserve">(incorporated herein by reference to Exhibit 10.3 to the Annual Report on Form 10-K (File No. 001-36246) filed on February 26, 2021). </w:t>
              </w:r>
            </w:hyperlink>
          </w:p>
          <w:p>
            <w:pPr>
              <w:pStyle w:val="TableContents"/>
              <w:bidi w:val="0"/>
              <w:spacing w:before="0" w:after="0"/>
              <w:jc w:val="left"/>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80"/>
                  <w:sz w:val="20"/>
                  <w:u w:val="single"/>
                </w:rPr>
                <w:t xml:space="preserve">Form of Performance Share Award Agreement under the 2014 Equity Participation Plan </w:t>
              </w:r>
            </w:hyperlink>
            <w:hyperlink r:id="rId20">
              <w:r>
                <w:rPr>
                  <w:rStyle w:val="InternetLink"/>
                  <w:rFonts w:ascii="Times New Roman;sans-serif" w:hAnsi="Times New Roman;sans-serif"/>
                  <w:b w:val="false"/>
                  <w:color w:val="000080"/>
                  <w:sz w:val="20"/>
                  <w:u w:val="single"/>
                </w:rPr>
                <w:t xml:space="preserve">(incorporated herein by reference to Exhibit 10.4 to the Annual Report on Form 10-K (File No. 001-36246) filed on February 26, 2021). </w:t>
              </w:r>
            </w:hyperlink>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Form of Civeo Corporation Annual Incentive Compensation Plan (incorporated herein by reference to Exhibit 10.7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Form of Canadian Long-Term Incentive Plan (incorporated herein by reference to Exhibit 10.8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Form of Employee Non-Qualified Stock Option Agreement under the 2014 Equity Participation Plan of Civeo Corporation (incorporated herein by reference to Exhibit 10.9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Form of Restricted Stock Agreement under the 2014 Equity Participation Plan of Civeo Corporation (incorporated herein by reference to Exhibit 10.10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Form of Non-Employee Director Restricted Stock Agreement (incorporated herein by reference to Exhibit 10.11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Form of Deferred Stock Agreement (Australia) (incorporated herein by reference to Exhibit 10.12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 of Deferred Stock Agreement (Canada) (incorporated herein by reference to Exhibit 10.13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Form of Executive Agreement of Bradley J. Dodson (incorporated herein by reference to Exhibit 10.14 to the Registration Statement on Form 10 (File No. 001-36246) filed on April 22, 2014).</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Form of Phantom Unit Agreement under the 2014 Equity Participation Plan of Civeo Corporation (incorporated herein by reference to Exhibit 10.17 to the Annual Report on Form 10-K (File No. 001-36246) filed on March 13, 2015).</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Executive Services Agreement, dated May 30, 2012, between Peter McCann and The Mac Services Group Pty Ltd. (incorporated herein by reference to Exhibit 10.3 to the Current Report on Form 8-K12B (File No. 001-36246) filed on July 17, 2015).</w:t>
              </w:r>
            </w:hyperlink>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Executive Agreement between Civeo Corporation and Peter McCann, dated August 17, 2015 (incorporated herein by reference to Exhibit 10.1 to the Current Report on Form 8-K (File No. 001-36246) filed on August 27, 2015).</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Variation to Executive Services Agreement dated May 30, 2012 between Peter McCann and Civeo Pty Ltd.</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FF"/>
                <w:sz w:val="20"/>
                <w:u w:val="single"/>
              </w:rPr>
              <w:t>incorporated herein by reference to Exhibit 10.18 to the Annual Report on Form 10-K (File No. 001-36246) filed on February 26, 2021).</w:t>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Variation to Executive Services Agreement between Civeo Pty Ltd and Peter McCann, dated August 17, 2015 (incorporated herein by reference to Exhibit 10.2 to the Current Report on Form 8-K (File No. 001-36246) filed on August 27, 2015).</w:t>
              </w:r>
            </w:hyperlink>
          </w:p>
          <w:p>
            <w:pPr>
              <w:pStyle w:val="TableContents"/>
              <w:bidi w:val="0"/>
              <w:spacing w:before="0" w:after="0"/>
              <w:jc w:val="both"/>
              <w:rPr/>
            </w:pPr>
            <w:r>
              <w:rPr/>
            </w:r>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Executive Change of Control Severance Agreement between Civeo Corporation and Allan Schoening, dated July 13, 2015 (incorporated herein by reference to Exhibit 10.11 to the Quarterly Report on Form 10-Q (File No. 001-36246) filed on November 3, 2015).</w:t>
              </w:r>
            </w:hyperlink>
          </w:p>
        </w:tc>
      </w:tr>
      <w:tr>
        <w:trPr/>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1"/>
        <w:gridCol w:w="203"/>
        <w:gridCol w:w="205"/>
        <w:gridCol w:w="109"/>
        <w:gridCol w:w="109"/>
        <w:gridCol w:w="109"/>
        <w:gridCol w:w="2778"/>
        <w:gridCol w:w="2675"/>
        <w:gridCol w:w="3786"/>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First Amendment to Executive Change of Control Severance Agreement between Civeo Corporation and Allan Schoening, effective as of July 20, 2020 (incorporated herein by reference to Exhibit 10.2 to the Quarterly Report on Form 10-Q (File No. 001-36246) filed on October 28, 2020).</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Executive Agreement between Civeo Corporation and Allan Schoening, dated December 15, 2014 (incorporated herein by reference to Exhibit 10.12 to the Quarterly Report on Form 10-Q (File No. 001-36246) filed on November 3, 2015.</w:t>
              </w:r>
            </w:hyperlink>
          </w:p>
          <w:p>
            <w:pPr>
              <w:pStyle w:val="TableContents"/>
              <w:bidi w:val="0"/>
              <w:spacing w:before="0" w:after="0"/>
              <w:jc w:val="both"/>
              <w:rPr/>
            </w:pPr>
            <w:r>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80"/>
                  <w:sz w:val="20"/>
                  <w:u w:val="single"/>
                </w:rPr>
                <w:t>Executive Change of Control Severance Agreement between Civeo Corporation and Carolyn Stone, dated May 10, 2015 (</w:t>
              </w:r>
            </w:hyperlink>
            <w:hyperlink r:id="rId38">
              <w:r>
                <w:rPr>
                  <w:rStyle w:val="InternetLink"/>
                  <w:rFonts w:ascii="Times New Roman;sans-serif" w:hAnsi="Times New Roman;sans-serif"/>
                  <w:b w:val="false"/>
                  <w:color w:val="000080"/>
                  <w:sz w:val="20"/>
                  <w:u w:val="single"/>
                </w:rPr>
                <w:t>incorporated herein by reference to Exhibit 10.25 to the Annual Report on Form 10-K (File No. 001-36246) filed on February 26, 2021).</w:t>
              </w:r>
            </w:hyperlink>
            <w:hyperlink r:id="rId39">
              <w:r>
                <w:rPr>
                  <w:rStyle w:val="InternetLink"/>
                  <w:rFonts w:ascii="Times New Roman;sans-serif" w:hAnsi="Times New Roman;sans-serif"/>
                  <w:b w:val="false"/>
                  <w:color w:val="000080"/>
                  <w:sz w:val="20"/>
                  <w:u w:val="single"/>
                </w:rPr>
                <w:t xml:space="preserve"> </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Syndicated Facility Agreement, dated as of September 8, 2021, by and among Civeo Corporation, Civeo Pty Limited and Civeo Management LLC,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 (incorporated herein by reference to Exhibit 10.1 to the Current Report on Form 8-K (File No. 001-36246) filed on September 8, 2021).</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80"/>
                  <w:sz w:val="20"/>
                  <w:u w:val="single"/>
                </w:rPr>
                <w:t>First Amendment to Syndicated Facility Agreement, dated as of March 31, 2023, among Civeo Corporation, Civeo Management LLC and Civeo Pty Limited, as Borrowers, certain subsidiary guarantors of the Borrowers party thereto, the Lenders party thereto, the Issuing Banks, the Swing Line Lenders, Royal Bank of Canada, as administrative agent for the U.S. Lenders, U.S. collateral agent, administrative agent for the Canadian Lenders and Canadian collateral agent and RBC Europe Limited, as administrative agent for the Australian Lenders and Australian collateral agent (incorporated herein by reference to Exhibit 10.1 to the Quarterly Report on Form 10-K (File No. 001-36246) filed on April 28, 2023</w:t>
              </w:r>
            </w:hyperlink>
            <w:hyperlink r:id="rId42">
              <w:r>
                <w:rPr>
                  <w:rStyle w:val="InternetLink"/>
                  <w:rFonts w:ascii="Times New Roman;sans-serif" w:hAnsi="Times New Roman;sans-serif"/>
                  <w:b w:val="false"/>
                  <w:color w:val="000080"/>
                  <w:sz w:val="20"/>
                  <w:u w:val="single"/>
                </w:rPr>
                <w:t>)</w:t>
              </w:r>
            </w:hyperlink>
            <w:hyperlink r:id="rId43">
              <w:r>
                <w:rPr>
                  <w:rStyle w:val="InternetLink"/>
                  <w:rFonts w:ascii="Times New Roman;sans-serif" w:hAnsi="Times New Roman;sans-serif"/>
                  <w:b w:val="false"/>
                  <w:color w:val="000080"/>
                  <w:sz w:val="20"/>
                  <w:u w:val="single"/>
                </w:rPr>
                <w:t>.</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Form of Director Deferred Share Agreement (United States) (incorporated herein by reference to Exhibit 10.31 to the Annual Report on Form 10-K for the year ended December 31, 2018 (File No. 001-36246).</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Form of Director Deferred Share Agreement (Canada) (incorporated herein by reference to Exhibit 10.32 to the Annual Report on Form 10-K for the year ended December 31, 2018 (File No. 001-36246).</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80"/>
                  <w:sz w:val="20"/>
                  <w:u w:val="single"/>
                </w:rPr>
                <w:t>Amendment to Executive Change of Control Severance Agreement between Civeo Corporation and Carolyn Stone, dated April 4, 2022</w:t>
              </w:r>
            </w:hyperlink>
            <w:hyperlink r:id="rId47">
              <w:r>
                <w:rPr>
                  <w:rStyle w:val="InternetLink"/>
                  <w:rFonts w:ascii="Times New Roman;sans-serif" w:hAnsi="Times New Roman;sans-serif"/>
                  <w:b w:val="false"/>
                  <w:color w:val="000080"/>
                  <w:sz w:val="20"/>
                  <w:u w:val="single"/>
                </w:rPr>
                <w:t xml:space="preserve"> </w:t>
              </w:r>
            </w:hyperlink>
            <w:hyperlink r:id="rId48">
              <w:r>
                <w:rPr>
                  <w:rStyle w:val="InternetLink"/>
                  <w:rFonts w:ascii="Times New Roman;sans-serif" w:hAnsi="Times New Roman;sans-serif"/>
                  <w:b w:val="false"/>
                  <w:color w:val="000080"/>
                  <w:sz w:val="20"/>
                  <w:u w:val="single"/>
                </w:rPr>
                <w:t>(incorporated herein by reference to Exhibit 10.25 to the Annual Report on Form 10-K (File No. 001-36246) filed on March 1, 2023)</w:t>
              </w:r>
            </w:hyperlink>
            <w:hyperlink r:id="rId49">
              <w:r>
                <w:rPr>
                  <w:rStyle w:val="InternetLink"/>
                  <w:rFonts w:ascii="Times New Roman;sans-serif" w:hAnsi="Times New Roman;sans-serif"/>
                  <w:b w:val="false"/>
                  <w:color w:val="000080"/>
                  <w:sz w:val="20"/>
                  <w:u w:val="single"/>
                </w:rPr>
                <w:t>.</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Retention Commitment Agreement between Civeo Corporation and Allan Schoening, dated July 26, 2022 (incorporated herein by reference to Exhibit 10.1 to the Current Report on Form 8-K (File No. 001-36246) filed on August 1, 2022).</w:t>
              </w:r>
            </w:hyperlink>
          </w:p>
          <w:p>
            <w:pPr>
              <w:pStyle w:val="TableContents"/>
              <w:bidi w:val="0"/>
              <w:spacing w:before="0" w:after="0"/>
              <w:jc w:val="both"/>
              <w:rPr/>
            </w:pPr>
            <w:r>
              <w:rPr/>
            </w:r>
          </w:p>
          <w:p>
            <w:pPr>
              <w:pStyle w:val="TableContents"/>
              <w:bidi w:val="0"/>
              <w:spacing w:before="0" w:after="0"/>
              <w:jc w:val="both"/>
              <w:rPr/>
            </w:pPr>
            <w:r>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80"/>
                  <w:sz w:val="20"/>
                  <w:u w:val="single"/>
                </w:rPr>
                <w:t>Amendment to Retention Commitment Agreement, dated as of October 5, 2023, between Civeo Corporation and Allan D. Schoening (incorporated herein by reference to Exhibit 10.1 to the Current</w:t>
              </w:r>
            </w:hyperlink>
            <w:hyperlink r:id="rId52">
              <w:r>
                <w:rPr>
                  <w:rStyle w:val="InternetLink"/>
                  <w:rFonts w:ascii="Times New Roman;sans-serif" w:hAnsi="Times New Roman;sans-serif"/>
                  <w:b w:val="false"/>
                  <w:color w:val="000080"/>
                  <w:sz w:val="20"/>
                  <w:u w:val="single"/>
                </w:rPr>
                <w:t xml:space="preserve"> Report</w:t>
              </w:r>
            </w:hyperlink>
            <w:hyperlink r:id="rId53">
              <w:r>
                <w:rPr>
                  <w:rStyle w:val="InternetLink"/>
                  <w:rFonts w:ascii="Times New Roman;sans-serif" w:hAnsi="Times New Roman;sans-serif"/>
                  <w:b w:val="false"/>
                  <w:color w:val="000080"/>
                  <w:sz w:val="20"/>
                  <w:u w:val="single"/>
                </w:rPr>
                <w:t xml:space="preserve"> on Form 8-K (File No. 001-36246) filed on </w:t>
              </w:r>
            </w:hyperlink>
            <w:hyperlink r:id="rId54">
              <w:r>
                <w:rPr>
                  <w:rStyle w:val="InternetLink"/>
                  <w:rFonts w:ascii="Times New Roman;sans-serif" w:hAnsi="Times New Roman;sans-serif"/>
                  <w:b w:val="false"/>
                  <w:color w:val="000080"/>
                  <w:sz w:val="20"/>
                  <w:u w:val="single"/>
                </w:rPr>
                <w:t>October</w:t>
              </w:r>
            </w:hyperlink>
            <w:hyperlink r:id="rId55">
              <w:r>
                <w:rPr>
                  <w:rStyle w:val="InternetLink"/>
                  <w:rFonts w:ascii="Times New Roman;sans-serif" w:hAnsi="Times New Roman;sans-serif"/>
                  <w:b w:val="false"/>
                  <w:color w:val="000080"/>
                  <w:sz w:val="20"/>
                  <w:u w:val="single"/>
                </w:rPr>
                <w:t xml:space="preserve"> 1</w:t>
              </w:r>
            </w:hyperlink>
            <w:hyperlink r:id="rId56">
              <w:r>
                <w:rPr>
                  <w:rStyle w:val="InternetLink"/>
                  <w:rFonts w:ascii="Times New Roman;sans-serif" w:hAnsi="Times New Roman;sans-serif"/>
                  <w:b w:val="false"/>
                  <w:color w:val="000080"/>
                  <w:sz w:val="20"/>
                  <w:u w:val="single"/>
                </w:rPr>
                <w:t>1</w:t>
              </w:r>
            </w:hyperlink>
            <w:hyperlink r:id="rId57">
              <w:r>
                <w:rPr>
                  <w:rStyle w:val="InternetLink"/>
                  <w:rFonts w:ascii="Times New Roman;sans-serif" w:hAnsi="Times New Roman;sans-serif"/>
                  <w:b w:val="false"/>
                  <w:color w:val="000080"/>
                  <w:sz w:val="20"/>
                  <w:u w:val="single"/>
                </w:rPr>
                <w:t>, 202</w:t>
              </w:r>
            </w:hyperlink>
            <w:hyperlink r:id="rId58">
              <w:r>
                <w:rPr>
                  <w:rStyle w:val="InternetLink"/>
                  <w:rFonts w:ascii="Times New Roman;sans-serif" w:hAnsi="Times New Roman;sans-serif"/>
                  <w:b w:val="false"/>
                  <w:color w:val="000080"/>
                  <w:sz w:val="20"/>
                  <w:u w:val="single"/>
                </w:rPr>
                <w:t>3</w:t>
              </w:r>
            </w:hyperlink>
            <w:hyperlink r:id="rId59">
              <w:r>
                <w:rPr>
                  <w:rStyle w:val="InternetLink"/>
                  <w:rFonts w:ascii="Times New Roman;sans-serif" w:hAnsi="Times New Roman;sans-serif"/>
                  <w:b w:val="false"/>
                  <w:color w:val="000080"/>
                  <w:sz w:val="20"/>
                  <w:u w:val="single"/>
                </w:rPr>
                <w:t>).</w:t>
              </w:r>
            </w:hyperlink>
          </w:p>
          <w:p>
            <w:pPr>
              <w:pStyle w:val="TableContents"/>
              <w:bidi w:val="0"/>
              <w:spacing w:before="0" w:after="0"/>
              <w:jc w:val="both"/>
              <w:rPr/>
            </w:pPr>
            <w:r>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11significantsubsidiaries.htm">
              <w:r>
                <w:rPr>
                  <w:rStyle w:val="InternetLink"/>
                  <w:rFonts w:ascii="Times New Roman;sans-serif" w:hAnsi="Times New Roman;sans-serif"/>
                  <w:b w:val="false"/>
                  <w:color w:val="0000FF"/>
                  <w:sz w:val="20"/>
                  <w:u w:val="single"/>
                </w:rPr>
                <w:t>List of Significant Subsidiaries of Civeo Corporation</w:t>
              </w:r>
            </w:hyperlink>
            <w:r>
              <w:rPr>
                <w:rFonts w:ascii="Times New Roman;sans-serif" w:hAnsi="Times New Roman;sans-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1civeoconsentdraft20221.htm">
              <w:r>
                <w:rPr>
                  <w:rStyle w:val="InternetLink"/>
                  <w:rFonts w:ascii="Times New Roman;sans-serif" w:hAnsi="Times New Roman;sans-serif"/>
                  <w:b w:val="false"/>
                  <w:color w:val="0000FF"/>
                  <w:sz w:val="20"/>
                  <w:u w:val="single"/>
                </w:rPr>
                <w:t>Consent of Ernst &amp; Young LLP.</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2exhibit311.htm">
              <w:r>
                <w:rPr>
                  <w:rStyle w:val="InternetLink"/>
                  <w:rFonts w:ascii="Times New Roman;sans-serif" w:hAnsi="Times New Roman;sans-serif"/>
                  <w:b w:val="false"/>
                  <w:color w:val="0000FF"/>
                  <w:sz w:val="20"/>
                  <w:u w:val="single"/>
                </w:rPr>
                <w:t>Certification of Chief Executive Officer of Civeo Corporation pursuant to Rules 13a-14(a) or 15d-14(a) under the Securities Exchange Act of 1934.</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2exhibit312.htm">
              <w:r>
                <w:rPr>
                  <w:rStyle w:val="InternetLink"/>
                  <w:rFonts w:ascii="Times New Roman;sans-serif" w:hAnsi="Times New Roman;sans-serif"/>
                  <w:b w:val="false"/>
                  <w:color w:val="0000FF"/>
                  <w:sz w:val="20"/>
                  <w:u w:val="single"/>
                </w:rPr>
                <w:t>Certification of Chief Financial Officer of Civeo Corporation pursuant to Rules 13a-14(a) or 15d-14(a) under the Securities Exchange Act of 1934.</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2exhibit321.htm">
              <w:r>
                <w:rPr>
                  <w:rStyle w:val="InternetLink"/>
                  <w:rFonts w:ascii="Times New Roman;sans-serif" w:hAnsi="Times New Roman;sans-serif"/>
                  <w:b w:val="false"/>
                  <w:color w:val="0000FF"/>
                  <w:sz w:val="20"/>
                  <w:u w:val="single"/>
                </w:rPr>
                <w:t>Certification of Chief Executive Officer of Civeo Corporation pursuant to Rules 13a-14(b) or 15d-14(b) under the Securities Exchange Act of 1934 and 18 U.S.C. Section 1350.</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2exhibit322.htm">
              <w:r>
                <w:rPr>
                  <w:rStyle w:val="InternetLink"/>
                  <w:rFonts w:ascii="Times New Roman;sans-serif" w:hAnsi="Times New Roman;sans-serif"/>
                  <w:b w:val="false"/>
                  <w:color w:val="0000FF"/>
                  <w:sz w:val="20"/>
                  <w:u w:val="single"/>
                </w:rPr>
                <w:t>Certification of Chief Financial Officer of Civeo Corporation pursuant to Rules 13a-14(b) or 15d-14(b) under the Securities Exchange Act of 1934 and 18 U.S.C. Section 1350.</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971glbcorpol17clawbackpol.htm">
              <w:r>
                <w:rPr>
                  <w:rStyle w:val="InternetLink"/>
                  <w:rFonts w:ascii="Times New Roman;sans-serif" w:hAnsi="Times New Roman;sans-serif"/>
                  <w:b w:val="false"/>
                  <w:color w:val="000080"/>
                  <w:sz w:val="20"/>
                  <w:u w:val="single"/>
                </w:rPr>
                <w:t>C</w:t>
              </w:r>
            </w:hyperlink>
            <w:hyperlink w:anchor="a971glbcorpol17clawbackpol.htm">
              <w:r>
                <w:rPr>
                  <w:rStyle w:val="InternetLink"/>
                  <w:rFonts w:ascii="Times New Roman;sans-serif" w:hAnsi="Times New Roman;sans-serif"/>
                  <w:b w:val="false"/>
                  <w:color w:val="000080"/>
                  <w:sz w:val="20"/>
                  <w:u w:val="single"/>
                </w:rPr>
                <w:t>o</w:t>
              </w:r>
            </w:hyperlink>
            <w:hyperlink w:anchor="a971glbcorpol17clawbackpol.htm">
              <w:r>
                <w:rPr>
                  <w:rStyle w:val="InternetLink"/>
                  <w:rFonts w:ascii="Times New Roman;sans-serif" w:hAnsi="Times New Roman;sans-serif"/>
                  <w:b w:val="false"/>
                  <w:color w:val="000080"/>
                  <w:sz w:val="20"/>
                  <w:u w:val="single"/>
                </w:rPr>
                <w:t>mpensation Recoupment</w:t>
              </w:r>
            </w:hyperlink>
            <w:hyperlink w:anchor="a971glbcorpol17clawbackpol.htm">
              <w:r>
                <w:rPr>
                  <w:rStyle w:val="InternetLink"/>
                  <w:rFonts w:ascii="Times New Roman;sans-serif" w:hAnsi="Times New Roman;sans-serif"/>
                  <w:b w:val="false"/>
                  <w:color w:val="000080"/>
                  <w:sz w:val="20"/>
                  <w:u w:val="single"/>
                </w:rPr>
                <w:t xml:space="preserve"> </w:t>
              </w:r>
            </w:hyperlink>
            <w:hyperlink w:anchor="a971glbcorpol17clawbackpol.htm">
              <w:r>
                <w:rPr>
                  <w:rStyle w:val="InternetLink"/>
                  <w:rFonts w:ascii="Times New Roman;sans-serif" w:hAnsi="Times New Roman;sans-serif"/>
                  <w:b w:val="false"/>
                  <w:color w:val="000080"/>
                  <w:sz w:val="20"/>
                  <w:u w:val="single"/>
                </w:rPr>
                <w:t>(</w:t>
              </w:r>
            </w:hyperlink>
            <w:hyperlink w:anchor="a971glbcorpol17clawbackpol.htm">
              <w:r>
                <w:rPr>
                  <w:rStyle w:val="InternetLink"/>
                  <w:rFonts w:ascii="Times New Roman;sans-serif" w:hAnsi="Times New Roman;sans-serif"/>
                  <w:b w:val="false"/>
                  <w:color w:val="000080"/>
                  <w:sz w:val="20"/>
                  <w:u w:val="single"/>
                </w:rPr>
                <w:t>Clawback</w:t>
              </w:r>
            </w:hyperlink>
            <w:hyperlink w:anchor="a971glbcorpol17clawbackpol.htm">
              <w:r>
                <w:rPr>
                  <w:rStyle w:val="InternetLink"/>
                  <w:rFonts w:ascii="Times New Roman;sans-serif" w:hAnsi="Times New Roman;sans-serif"/>
                  <w:b w:val="false"/>
                  <w:color w:val="000080"/>
                  <w:sz w:val="20"/>
                  <w:u w:val="single"/>
                </w:rPr>
                <w:t>)</w:t>
              </w:r>
            </w:hyperlink>
            <w:hyperlink w:anchor="a971glbcorpol17clawbackpol.htm">
              <w:r>
                <w:rPr>
                  <w:rStyle w:val="InternetLink"/>
                  <w:rFonts w:ascii="Times New Roman;sans-serif" w:hAnsi="Times New Roman;sans-serif"/>
                  <w:b w:val="false"/>
                  <w:color w:val="000080"/>
                  <w:sz w:val="20"/>
                  <w:u w:val="single"/>
                </w:rPr>
                <w:t xml:space="preserve"> Policy.</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tbl>
      <w:tblPr>
        <w:tblW w:w="8756" w:type="dxa"/>
        <w:jc w:val="center"/>
        <w:tblInd w:w="0" w:type="dxa"/>
        <w:tblLayout w:type="fixed"/>
        <w:tblCellMar>
          <w:top w:w="28" w:type="dxa"/>
          <w:left w:w="28" w:type="dxa"/>
          <w:bottom w:w="28" w:type="dxa"/>
          <w:right w:w="28" w:type="dxa"/>
        </w:tblCellMar>
      </w:tblPr>
      <w:tblGrid>
        <w:gridCol w:w="353"/>
        <w:gridCol w:w="309"/>
        <w:gridCol w:w="313"/>
        <w:gridCol w:w="109"/>
        <w:gridCol w:w="109"/>
        <w:gridCol w:w="109"/>
        <w:gridCol w:w="2180"/>
        <w:gridCol w:w="2180"/>
        <w:gridCol w:w="309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5939" w:type="dxa"/>
        <w:jc w:val="left"/>
        <w:tblInd w:w="0" w:type="dxa"/>
        <w:tblLayout w:type="fixed"/>
        <w:tblCellMar>
          <w:top w:w="28" w:type="dxa"/>
          <w:left w:w="28" w:type="dxa"/>
          <w:bottom w:w="28" w:type="dxa"/>
          <w:right w:w="28" w:type="dxa"/>
        </w:tblCellMar>
      </w:tblPr>
      <w:tblGrid>
        <w:gridCol w:w="151"/>
        <w:gridCol w:w="134"/>
        <w:gridCol w:w="135"/>
        <w:gridCol w:w="1617"/>
        <w:gridCol w:w="1617"/>
        <w:gridCol w:w="228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and arrangements.</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16.</w:t>
      </w:r>
      <w:r>
        <w:rPr>
          <w:color w:val="000000"/>
        </w:rPr>
        <w:t xml:space="preserve"> </w:t>
      </w:r>
      <w:r>
        <w:rPr>
          <w:rFonts w:ascii="Times New Roman;sans-serif" w:hAnsi="Times New Roman;sans-serif"/>
          <w:b/>
          <w:i/>
          <w:color w:val="000000"/>
          <w:sz w:val="20"/>
        </w:rPr>
        <w:t>Form 10-K Summary</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 (d) of the Securities Exchange Act of 1934, the registrant has duly caused this report to be signed on its behalf by the undersigned, thereunto duly authorized on February 29, 2024.</w:t>
      </w:r>
    </w:p>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33"/>
        <w:gridCol w:w="333"/>
        <w:gridCol w:w="333"/>
        <w:gridCol w:w="2503"/>
        <w:gridCol w:w="2489"/>
        <w:gridCol w:w="2507"/>
        <w:gridCol w:w="399"/>
        <w:gridCol w:w="399"/>
        <w:gridCol w:w="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Carolyn J. Stone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 and Treasurer (Duly Authorized Officer and Principal Financial Officer)</w:t>
            </w:r>
          </w:p>
          <w:p>
            <w:pPr>
              <w:pStyle w:val="TableContents"/>
              <w:bidi w:val="0"/>
              <w:spacing w:before="0" w:after="0"/>
              <w:jc w:val="left"/>
              <w:rPr/>
            </w:pPr>
            <w:r>
              <w:rPr/>
            </w:r>
          </w:p>
        </w:tc>
      </w:tr>
    </w:tbl>
    <w:p>
      <w:pPr>
        <w:pStyle w:val="TextBody"/>
        <w:bidi w:val="0"/>
        <w:spacing w:lineRule="auto" w:line="288" w:before="0" w:after="0"/>
        <w:ind w:left="0" w:right="0" w:firstLine="450"/>
        <w:jc w:val="left"/>
        <w:rPr>
          <w:color w:val="000000"/>
        </w:rPr>
      </w:pPr>
      <w:r>
        <w:rPr>
          <w:color w:val="000000"/>
        </w:rPr>
        <w:t> </w:t>
      </w:r>
    </w:p>
    <w:tbl>
      <w:tblPr>
        <w:tblW w:w="8051" w:type="dxa"/>
        <w:jc w:val="left"/>
        <w:tblInd w:w="0" w:type="dxa"/>
        <w:tblLayout w:type="fixed"/>
        <w:tblCellMar>
          <w:top w:w="28" w:type="dxa"/>
          <w:left w:w="28" w:type="dxa"/>
          <w:bottom w:w="28" w:type="dxa"/>
          <w:right w:w="28" w:type="dxa"/>
        </w:tblCellMar>
      </w:tblPr>
      <w:tblGrid>
        <w:gridCol w:w="990"/>
        <w:gridCol w:w="872"/>
        <w:gridCol w:w="882"/>
        <w:gridCol w:w="109"/>
        <w:gridCol w:w="109"/>
        <w:gridCol w:w="109"/>
        <w:gridCol w:w="1449"/>
        <w:gridCol w:w="1449"/>
        <w:gridCol w:w="2082"/>
      </w:tblGrid>
      <w:tr>
        <w:trPr/>
        <w:tc>
          <w:tcPr>
            <w:tcW w:w="99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A. NAVARRE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A. Navarre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CAROLYN J. STONE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Carolyn J. Stone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Accounting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 RONALD BLANKENSHIP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Ronald Blankenship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JAY K. GREWAL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Jay K. Grewal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A. LAMBERT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Martin A. Lambert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MONTELONGO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Montelongo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CONSTANCE B. MOORE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Constance B. Moore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SZALKOWSKI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Szalkowski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O. WALL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O. Wall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376"/>
        <w:gridCol w:w="2963"/>
        <w:gridCol w:w="2978"/>
        <w:gridCol w:w="259"/>
        <w:gridCol w:w="259"/>
        <w:gridCol w:w="370"/>
      </w:tblGrid>
      <w:tr>
        <w:trPr/>
        <w:tc>
          <w:tcPr>
            <w:tcW w:w="3376"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Page No.</w:t>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97">
              <w:r>
                <w:rPr>
                  <w:rStyle w:val="InternetLink"/>
                  <w:rFonts w:ascii="Times New Roman;sans-serif" w:hAnsi="Times New Roman;sans-serif"/>
                  <w:b w:val="false"/>
                  <w:strike w:val="false"/>
                  <w:dstrike w:val="false"/>
                  <w:color w:val="242424"/>
                  <w:sz w:val="20"/>
                  <w:u w:val="none"/>
                  <w:effect w:val="none"/>
                </w:rPr>
                <w:t>Report of Independent Registered Public Accounting Firm on Consolidated Financial Statements</w:t>
              </w:r>
            </w:hyperlink>
            <w:r>
              <w:rPr>
                <w:rFonts w:ascii="Times New Roman;sans-serif" w:hAnsi="Times New Roman;sans-serif"/>
                <w:b w:val="false"/>
                <w:color w:val="242424"/>
                <w:sz w:val="20"/>
              </w:rPr>
              <w:t xml:space="preserve"> (PCAOB ID: 42)</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97">
              <w:r>
                <w:rPr>
                  <w:rStyle w:val="InternetLink"/>
                  <w:rFonts w:ascii="Times New Roman;sans-serif" w:hAnsi="Times New Roman;sans-serif"/>
                  <w:b w:val="false"/>
                  <w:strike w:val="false"/>
                  <w:dstrike w:val="false"/>
                  <w:color w:val="1335FF"/>
                  <w:sz w:val="20"/>
                  <w:u w:val="none"/>
                  <w:effect w:val="none"/>
                </w:rPr>
                <w:t>69</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00">
              <w:r>
                <w:rPr>
                  <w:rStyle w:val="InternetLink"/>
                  <w:rFonts w:ascii="Times New Roman;sans-serif" w:hAnsi="Times New Roman;sans-serif"/>
                  <w:b w:val="false"/>
                  <w:strike w:val="false"/>
                  <w:dstrike w:val="false"/>
                  <w:color w:val="242424"/>
                  <w:sz w:val="20"/>
                  <w:u w:val="none"/>
                  <w:effect w:val="none"/>
                </w:rPr>
                <w:t>Report of Independent Registered Public Accounting Firm on Internal Control Over Financial Reporting</w:t>
              </w:r>
            </w:hyperlink>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00">
              <w:r>
                <w:rPr>
                  <w:rStyle w:val="InternetLink"/>
                  <w:rFonts w:ascii="Times New Roman;sans-serif" w:hAnsi="Times New Roman;sans-serif"/>
                  <w:b w:val="false"/>
                  <w:strike w:val="false"/>
                  <w:dstrike w:val="false"/>
                  <w:color w:val="1335FF"/>
                  <w:sz w:val="20"/>
                  <w:u w:val="none"/>
                  <w:effect w:val="none"/>
                </w:rPr>
                <w:t>71</w:t>
              </w:r>
            </w:hyperlink>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06">
              <w:r>
                <w:rPr>
                  <w:rStyle w:val="InternetLink"/>
                  <w:rFonts w:ascii="Times New Roman;sans-serif" w:hAnsi="Times New Roman;sans-serif"/>
                  <w:b w:val="false"/>
                  <w:strike w:val="false"/>
                  <w:dstrike w:val="false"/>
                  <w:color w:val="242424"/>
                  <w:sz w:val="20"/>
                  <w:u w:val="none"/>
                  <w:effect w:val="none"/>
                </w:rPr>
                <w:t>Consolidated Statements of Operations for the Years Ended December 31, 20</w:t>
              </w:r>
            </w:hyperlink>
            <w:r>
              <w:rPr>
                <w:rFonts w:ascii="Times New Roman;sans-serif" w:hAnsi="Times New Roman;sans-serif"/>
                <w:b w:val="false"/>
                <w:color w:val="242424"/>
                <w:sz w:val="20"/>
              </w:rPr>
              <w:t>23, 2022 and 2021</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06">
              <w:r>
                <w:rPr>
                  <w:rStyle w:val="InternetLink"/>
                  <w:rFonts w:ascii="Times New Roman;sans-serif" w:hAnsi="Times New Roman;sans-serif"/>
                  <w:b w:val="false"/>
                  <w:strike w:val="false"/>
                  <w:dstrike w:val="false"/>
                  <w:color w:val="1335FF"/>
                  <w:sz w:val="20"/>
                  <w:u w:val="none"/>
                  <w:effect w:val="none"/>
                </w:rPr>
                <w:t>72</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12">
              <w:r>
                <w:rPr>
                  <w:rStyle w:val="InternetLink"/>
                  <w:rFonts w:ascii="Times New Roman;sans-serif" w:hAnsi="Times New Roman;sans-serif"/>
                  <w:b w:val="false"/>
                  <w:strike w:val="false"/>
                  <w:dstrike w:val="false"/>
                  <w:color w:val="242424"/>
                  <w:sz w:val="20"/>
                  <w:u w:val="none"/>
                  <w:effect w:val="none"/>
                </w:rPr>
                <w:t>Consolidated Statements of Comprehensive Loss for the Years Ended December 31, 2</w:t>
              </w:r>
            </w:hyperlink>
            <w:r>
              <w:rPr>
                <w:rFonts w:ascii="Times New Roman;sans-serif" w:hAnsi="Times New Roman;sans-serif"/>
                <w:b w:val="false"/>
                <w:color w:val="242424"/>
                <w:sz w:val="20"/>
              </w:rPr>
              <w:t>023, 2022 and 2021</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12">
              <w:r>
                <w:rPr>
                  <w:rStyle w:val="InternetLink"/>
                  <w:rFonts w:ascii="Times New Roman;sans-serif" w:hAnsi="Times New Roman;sans-serif"/>
                  <w:b w:val="false"/>
                  <w:strike w:val="false"/>
                  <w:dstrike w:val="false"/>
                  <w:color w:val="1335FF"/>
                  <w:sz w:val="20"/>
                  <w:u w:val="none"/>
                  <w:effect w:val="none"/>
                </w:rPr>
                <w:t>73</w:t>
              </w:r>
            </w:hyperlink>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15">
              <w:r>
                <w:rPr>
                  <w:rStyle w:val="InternetLink"/>
                  <w:rFonts w:ascii="Times New Roman;sans-serif" w:hAnsi="Times New Roman;sans-serif"/>
                  <w:b w:val="false"/>
                  <w:strike w:val="false"/>
                  <w:dstrike w:val="false"/>
                  <w:color w:val="242424"/>
                  <w:sz w:val="20"/>
                  <w:u w:val="none"/>
                  <w:effect w:val="none"/>
                </w:rPr>
                <w:t>Consolidated Balance Sheets at December 31, 20</w:t>
              </w:r>
            </w:hyperlink>
            <w:r>
              <w:rPr>
                <w:rFonts w:ascii="Times New Roman;sans-serif" w:hAnsi="Times New Roman;sans-serif"/>
                <w:b w:val="false"/>
                <w:color w:val="242424"/>
                <w:sz w:val="20"/>
              </w:rPr>
              <w:t>23 and 2022</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15">
              <w:r>
                <w:rPr>
                  <w:rStyle w:val="InternetLink"/>
                  <w:rFonts w:ascii="Times New Roman;sans-serif" w:hAnsi="Times New Roman;sans-serif"/>
                  <w:b w:val="false"/>
                  <w:strike w:val="false"/>
                  <w:dstrike w:val="false"/>
                  <w:color w:val="1335FF"/>
                  <w:sz w:val="20"/>
                  <w:u w:val="none"/>
                  <w:effect w:val="none"/>
                </w:rPr>
                <w:t>74</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18">
              <w:r>
                <w:rPr>
                  <w:rStyle w:val="InternetLink"/>
                  <w:rFonts w:ascii="Times New Roman;sans-serif" w:hAnsi="Times New Roman;sans-serif"/>
                  <w:b w:val="false"/>
                  <w:strike w:val="false"/>
                  <w:dstrike w:val="false"/>
                  <w:color w:val="242424"/>
                  <w:sz w:val="20"/>
                  <w:u w:val="none"/>
                  <w:effect w:val="none"/>
                </w:rPr>
                <w:t>Consolidated Statements of Changes in Shareholders’ Equity for the Years Ended December 31, 20</w:t>
              </w:r>
            </w:hyperlink>
            <w:r>
              <w:rPr>
                <w:rFonts w:ascii="Times New Roman;sans-serif" w:hAnsi="Times New Roman;sans-serif"/>
                <w:b w:val="false"/>
                <w:color w:val="242424"/>
                <w:sz w:val="20"/>
              </w:rPr>
              <w:t>23, 2022 and 2021</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18">
              <w:r>
                <w:rPr>
                  <w:rStyle w:val="InternetLink"/>
                  <w:rFonts w:ascii="Times New Roman;sans-serif" w:hAnsi="Times New Roman;sans-serif"/>
                  <w:b w:val="false"/>
                  <w:strike w:val="false"/>
                  <w:dstrike w:val="false"/>
                  <w:color w:val="1335FF"/>
                  <w:sz w:val="20"/>
                  <w:u w:val="none"/>
                  <w:effect w:val="none"/>
                </w:rPr>
                <w:t>75</w:t>
              </w:r>
            </w:hyperlink>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24">
              <w:r>
                <w:rPr>
                  <w:rStyle w:val="InternetLink"/>
                  <w:rFonts w:ascii="Times New Roman;sans-serif" w:hAnsi="Times New Roman;sans-serif"/>
                  <w:b w:val="false"/>
                  <w:strike w:val="false"/>
                  <w:dstrike w:val="false"/>
                  <w:color w:val="242424"/>
                  <w:sz w:val="20"/>
                  <w:u w:val="none"/>
                  <w:effect w:val="none"/>
                </w:rPr>
                <w:t>Consolidated Statements of Cash Flows for the Years Ended December 31, 20</w:t>
              </w:r>
            </w:hyperlink>
            <w:r>
              <w:rPr>
                <w:rFonts w:ascii="Times New Roman;sans-serif" w:hAnsi="Times New Roman;sans-serif"/>
                <w:b w:val="false"/>
                <w:color w:val="242424"/>
                <w:sz w:val="20"/>
              </w:rPr>
              <w:t>23, 2022 and 2021</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24">
              <w:r>
                <w:rPr>
                  <w:rStyle w:val="InternetLink"/>
                  <w:rFonts w:ascii="Times New Roman;sans-serif" w:hAnsi="Times New Roman;sans-serif"/>
                  <w:b w:val="false"/>
                  <w:strike w:val="false"/>
                  <w:dstrike w:val="false"/>
                  <w:color w:val="0000FF"/>
                  <w:sz w:val="20"/>
                  <w:u w:val="none"/>
                  <w:effect w:val="none"/>
                </w:rPr>
                <w:t>76</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503029439d4eba85706c7991df9aca_127">
              <w:r>
                <w:rPr>
                  <w:rStyle w:val="InternetLink"/>
                  <w:rFonts w:ascii="Times New Roman;sans-serif" w:hAnsi="Times New Roman;sans-serif"/>
                  <w:b w:val="false"/>
                  <w:strike w:val="false"/>
                  <w:dstrike w:val="false"/>
                  <w:color w:val="242424"/>
                  <w:sz w:val="20"/>
                  <w:u w:val="none"/>
                  <w:effect w:val="none"/>
                </w:rPr>
                <w:t>Notes to Consolidated Financial Statements</w:t>
              </w:r>
            </w:hyperlink>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a503029439d4eba85706c7991df9aca_127">
              <w:r>
                <w:rPr>
                  <w:rStyle w:val="InternetLink"/>
                  <w:rFonts w:ascii="Times New Roman;sans-serif" w:hAnsi="Times New Roman;sans-serif"/>
                  <w:b w:val="false"/>
                  <w:strike w:val="false"/>
                  <w:dstrike w:val="false"/>
                  <w:color w:val="0000FF"/>
                  <w:sz w:val="20"/>
                  <w:u w:val="none"/>
                  <w:effect w:val="none"/>
                </w:rPr>
                <w:t>77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68" w:before="0" w:after="0"/>
        <w:ind w:left="0" w:right="0" w:firstLine="180"/>
        <w:jc w:val="center"/>
        <w:rPr/>
      </w:pPr>
      <w:r>
        <w:rPr>
          <w:rFonts w:ascii="Times New Roman;sans-serif" w:hAnsi="Times New Roman;sans-serif"/>
          <w:b/>
          <w:color w:val="000000"/>
          <w:sz w:val="20"/>
        </w:rPr>
        <w:t>Report of Independent Registered Pub</w:t>
      </w:r>
      <w:r>
        <w:rPr>
          <w:rFonts w:ascii="Times New Roman;sans-serif" w:hAnsi="Times New Roman;sans-serif"/>
          <w:b/>
          <w:color w:val="000000"/>
          <w:sz w:val="24"/>
        </w:rPr>
        <w:t>l</w:t>
      </w:r>
      <w:r>
        <w:rPr>
          <w:rFonts w:ascii="Times New Roman;sans-serif" w:hAnsi="Times New Roman;sans-serif"/>
          <w:b/>
          <w:color w:val="000000"/>
          <w:sz w:val="20"/>
        </w:rPr>
        <w:t xml:space="preserve">ic </w:t>
      </w:r>
      <w:r>
        <w:rPr>
          <w:rFonts w:ascii="Times New Roman;sans-serif" w:hAnsi="Times New Roman;sans-serif"/>
          <w:b/>
          <w:color w:val="000000"/>
          <w:sz w:val="24"/>
        </w:rPr>
        <w:t>A</w:t>
      </w:r>
      <w:r>
        <w:rPr>
          <w:rFonts w:ascii="Times New Roman;sans-serif" w:hAnsi="Times New Roman;sans-serif"/>
          <w:b/>
          <w:color w:val="000000"/>
          <w:sz w:val="20"/>
        </w:rPr>
        <w:t>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To the Shareholders and the Board of Directors of Civeo Corporation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Opinion on the Financial Statements</w:t>
      </w:r>
      <w:r>
        <w:rPr>
          <w:color w:val="000000"/>
        </w:rPr>
        <w:t xml:space="preserve"> </w:t>
      </w:r>
    </w:p>
    <w:p>
      <w:pPr>
        <w:pStyle w:val="TextBody"/>
        <w:bidi w:val="0"/>
        <w:spacing w:lineRule="auto" w:line="268" w:before="0" w:after="0"/>
        <w:jc w:val="both"/>
        <w:rPr/>
      </w:pPr>
      <w:r>
        <w:rPr>
          <w:rFonts w:ascii="Times New Roman;sans-serif" w:hAnsi="Times New Roman;sans-serif"/>
          <w:b w:val="false"/>
          <w:color w:val="000000"/>
          <w:sz w:val="20"/>
        </w:rPr>
        <w:t>We have audited the accompanying consolidated balance sheets of Civeo Corporation (“the Company”) as of December 31, 2023 and 2022, and the related consolidated statements of operations, comprehensive income (loss), changes in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w:t>
      </w:r>
      <w:r>
        <w:rPr>
          <w:color w:val="000000"/>
        </w:rPr>
        <w:t xml:space="preserve"> </w:t>
      </w:r>
      <w:r>
        <w:rPr>
          <w:rFonts w:ascii="Times New Roman;sans-serif" w:hAnsi="Times New Roman;sans-serif"/>
          <w:b w:val="false"/>
          <w:color w:val="000000"/>
          <w:sz w:val="20"/>
        </w:rPr>
        <w:t>and our report dated February 29, 2024 expressed an unqualified opinion thereon.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Basis for Opinion</w:t>
      </w:r>
      <w:r>
        <w:rPr>
          <w:color w:val="000000"/>
        </w:rPr>
        <w:t xml:space="preserve"> </w:t>
      </w:r>
    </w:p>
    <w:p>
      <w:pPr>
        <w:pStyle w:val="TextBody"/>
        <w:bidi w:val="0"/>
        <w:spacing w:lineRule="auto" w:line="268" w:before="0" w:after="0"/>
        <w:jc w:val="both"/>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9"/>
        <w:gridCol w:w="492"/>
        <w:gridCol w:w="495"/>
        <w:gridCol w:w="2656"/>
        <w:gridCol w:w="2484"/>
        <w:gridCol w:w="3519"/>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Realizability of Deferred Tax Assets</w:t>
            </w:r>
          </w:p>
        </w:tc>
      </w:tr>
      <w:tr>
        <w:trPr/>
        <w:tc>
          <w:tcPr>
            <w:tcW w:w="154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659"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2 and Note 14 to the consolidated financial statements, at December 31, 2023, the Company had deferred tax assets related to deductible temporary differences and net loss carryforwards of $46.2 million, net of a $78.8 million valuation allowance. Deferred tax assets are reduced by a valuation allowance if, based on the weight of all available evidence, in management’s judgment it is more likely than not that some portion, or all, of the deferred tax assets will not be realized.</w:t>
            </w:r>
          </w:p>
          <w:p>
            <w:pPr>
              <w:pStyle w:val="TableContents"/>
              <w:bidi w:val="0"/>
              <w:spacing w:before="0" w:after="0"/>
              <w:jc w:val="both"/>
              <w:rPr/>
            </w:pPr>
            <w:r>
              <w:rPr/>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management’s assessment of the realizability of its deferred tax assets was complex and involved subjectivity because the assessment process includes scheduling the use of the applicable deferred tax assets, which includes management’s judgments related to the forecasted turns of both deferred tax assets and deferred tax liabilities.</w:t>
            </w:r>
          </w:p>
        </w:tc>
      </w:tr>
      <w:tr>
        <w:trPr/>
        <w:tc>
          <w:tcPr>
            <w:tcW w:w="154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6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 to assess the realizability of its deferred tax assets. For example, we tested controls over management's scheduling of the future reversal of existing taxable temporary differences.</w:t>
            </w:r>
          </w:p>
          <w:p>
            <w:pPr>
              <w:pStyle w:val="TableContents"/>
              <w:bidi w:val="0"/>
              <w:spacing w:before="0" w:after="0"/>
              <w:jc w:val="both"/>
              <w:rPr/>
            </w:pPr>
            <w:r>
              <w:rPr/>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Company’s assessment of the realizability of its deferred tax assets, our audit procedures included, among others, testing the completeness and accuracy of the Company’s scheduling of the reversal of existing temporary taxable differences. With the assistance of our tax specialists, we verified the appropriateness of the projected usage of tax attributes and assessed the reasonableness of the timing of the reversal of the deferred tax liabilities into taxable income.</w:t>
            </w:r>
          </w:p>
        </w:tc>
      </w:tr>
    </w:tbl>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9"/>
        </w:rPr>
        <w:t>/s/ </w:t>
      </w:r>
      <w:r>
        <w:rPr>
          <w:rFonts w:ascii="Times New Roman;sans-serif" w:hAnsi="Times New Roman;sans-serif"/>
          <w:b w:val="false"/>
          <w:color w:val="000000"/>
          <w:sz w:val="20"/>
        </w:rPr>
        <w:t>Ernst &amp; Young LLP</w:t>
      </w:r>
    </w:p>
    <w:p>
      <w:pPr>
        <w:pStyle w:val="TextBody"/>
        <w:bidi w:val="0"/>
        <w:spacing w:before="10" w:after="10"/>
        <w:jc w:val="both"/>
        <w:rPr/>
      </w:pPr>
      <w:r>
        <w:rPr/>
      </w:r>
    </w:p>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0" w:after="10"/>
        <w:ind w:left="0" w:right="0" w:firstLine="54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To the Shareholders and the Board of Directors of Civeo Corporation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68" w:before="0" w:after="0"/>
        <w:jc w:val="both"/>
        <w:rPr/>
      </w:pPr>
      <w:r>
        <w:rPr>
          <w:rFonts w:ascii="Times New Roman;sans-serif" w:hAnsi="Times New Roman;sans-serif"/>
          <w:b w:val="false"/>
          <w:color w:val="000000"/>
          <w:sz w:val="20"/>
        </w:rPr>
        <w:t>We have audited Civeo Corporation’s internal control over financial reporting as of December 31, 2023,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2023, based on the COSO criteria.</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and the related consolidated statements of operations, comprehensive income (loss), changes in shareholders' equity and cash flows for each of the three years in the period ended December 31, 2023, and the related notes and our report dated February 29, 2024 expressed an unqualified opinion thereon.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Basis for Opinion</w:t>
      </w:r>
      <w:r>
        <w:rPr>
          <w:color w:val="000000"/>
        </w:rPr>
        <w:t xml:space="preserv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0" w:after="10"/>
        <w:jc w:val="center"/>
        <w:rPr/>
      </w:pPr>
      <w:r>
        <w:rPr/>
      </w:r>
    </w:p>
    <w:p>
      <w:pPr>
        <w:pStyle w:val="TextBody"/>
        <w:bidi w:val="0"/>
        <w:spacing w:before="0" w:after="0"/>
        <w:jc w:val="both"/>
        <w:rPr/>
      </w:pPr>
      <w:r>
        <w:rPr/>
      </w:r>
    </w:p>
    <w:p>
      <w:pPr>
        <w:pStyle w:val="TextBody"/>
        <w:bidi w:val="0"/>
        <w:spacing w:before="2"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2" w:after="283"/>
        <w:jc w:val="both"/>
        <w:rPr/>
      </w:pPr>
      <w:r>
        <w:rPr/>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326"/>
        <w:gridCol w:w="2024"/>
        <w:gridCol w:w="2032"/>
        <w:gridCol w:w="196"/>
        <w:gridCol w:w="736"/>
        <w:gridCol w:w="109"/>
        <w:gridCol w:w="109"/>
        <w:gridCol w:w="109"/>
        <w:gridCol w:w="109"/>
        <w:gridCol w:w="196"/>
        <w:gridCol w:w="736"/>
        <w:gridCol w:w="109"/>
        <w:gridCol w:w="109"/>
        <w:gridCol w:w="109"/>
        <w:gridCol w:w="109"/>
        <w:gridCol w:w="196"/>
        <w:gridCol w:w="736"/>
        <w:gridCol w:w="155"/>
      </w:tblGrid>
      <w:tr>
        <w:trPr/>
        <w:tc>
          <w:tcPr>
            <w:tcW w:w="232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McClelland Lake Lodge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operating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588,411 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Civeo Corporation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Dividends attributable to Class A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Civeo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Per Share Data (see Note 6)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(loss) per share attributable to Civeo Corporation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(loss) per share attributable to Civeo Corporation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xml:space="preserve">  </w:t>
      </w:r>
    </w:p>
    <w:tbl>
      <w:tblPr>
        <w:tblW w:w="9042" w:type="dxa"/>
        <w:jc w:val="center"/>
        <w:tblInd w:w="0" w:type="dxa"/>
        <w:tblLayout w:type="fixed"/>
        <w:tblCellMar>
          <w:top w:w="28" w:type="dxa"/>
          <w:left w:w="28" w:type="dxa"/>
          <w:bottom w:w="28" w:type="dxa"/>
          <w:right w:w="28" w:type="dxa"/>
        </w:tblCellMar>
      </w:tblPr>
      <w:tblGrid>
        <w:gridCol w:w="1928"/>
        <w:gridCol w:w="1697"/>
        <w:gridCol w:w="1715"/>
        <w:gridCol w:w="196"/>
        <w:gridCol w:w="646"/>
        <w:gridCol w:w="109"/>
        <w:gridCol w:w="109"/>
        <w:gridCol w:w="109"/>
        <w:gridCol w:w="109"/>
        <w:gridCol w:w="196"/>
        <w:gridCol w:w="721"/>
        <w:gridCol w:w="109"/>
        <w:gridCol w:w="109"/>
        <w:gridCol w:w="109"/>
        <w:gridCol w:w="109"/>
        <w:gridCol w:w="196"/>
        <w:gridCol w:w="721"/>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zero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taxes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Civeo Corporation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CONSOLIDATED</w:t>
      </w:r>
      <w:r>
        <w:rPr>
          <w:color w:val="000000"/>
        </w:rPr>
        <w:t xml:space="preserve"> </w:t>
      </w:r>
      <w:r>
        <w:rPr>
          <w:rFonts w:ascii="Times New Roman;sans-serif" w:hAnsi="Times New Roman;sans-serif"/>
          <w:b/>
          <w:color w:val="000000"/>
          <w:sz w:val="20"/>
        </w:rPr>
        <w:t>BALANCE SHEETS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w:t>
      </w:r>
    </w:p>
    <w:tbl>
      <w:tblPr>
        <w:tblW w:w="10205" w:type="dxa"/>
        <w:jc w:val="center"/>
        <w:tblInd w:w="0" w:type="dxa"/>
        <w:tblLayout w:type="fixed"/>
        <w:tblCellMar>
          <w:top w:w="28" w:type="dxa"/>
          <w:left w:w="28" w:type="dxa"/>
          <w:bottom w:w="28" w:type="dxa"/>
          <w:right w:w="28" w:type="dxa"/>
        </w:tblCellMar>
      </w:tblPr>
      <w:tblGrid>
        <w:gridCol w:w="2878"/>
        <w:gridCol w:w="2316"/>
        <w:gridCol w:w="2229"/>
        <w:gridCol w:w="109"/>
        <w:gridCol w:w="109"/>
        <w:gridCol w:w="109"/>
        <w:gridCol w:w="196"/>
        <w:gridCol w:w="736"/>
        <w:gridCol w:w="109"/>
        <w:gridCol w:w="109"/>
        <w:gridCol w:w="109"/>
        <w:gridCol w:w="109"/>
        <w:gridCol w:w="196"/>
        <w:gridCol w:w="736"/>
        <w:gridCol w:w="155"/>
      </w:tblGrid>
      <w:tr>
        <w:trPr/>
        <w:tc>
          <w:tcPr>
            <w:tcW w:w="287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566,184 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shares (Class A Series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(no par value; 46,000,000 shares authorized, 15,046,756 shares and 15,584,176 shares issued, respectively, and 14,680,081 shares and 15,217,501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(930,123)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held in treasury at cost, 366,675 and 366,675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Civeo Corporation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566,184 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center"/>
        <w:rPr/>
      </w:pPr>
      <w:r>
        <w:rPr>
          <w:color w:val="000000"/>
        </w:rPr>
        <w:t> </w:t>
      </w: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SHAREHOLDERS’ EQUITY</w:t>
      </w:r>
    </w:p>
    <w:p>
      <w:pPr>
        <w:pStyle w:val="TextBody"/>
        <w:bidi w:val="0"/>
        <w:spacing w:lineRule="auto" w:line="288" w:before="0" w:after="0"/>
        <w:jc w:val="center"/>
        <w:rPr/>
      </w:pPr>
      <w:r>
        <w:rPr>
          <w:rFonts w:ascii="Times New Roman;sans-serif" w:hAnsi="Times New Roman;sans-serif"/>
          <w:b/>
          <w:color w:val="000000"/>
          <w:sz w:val="20"/>
        </w:rPr>
        <w:t>(In Thousands)</w:t>
      </w:r>
      <w:r>
        <w:rPr>
          <w:color w:val="000000"/>
        </w:rPr>
        <w:t> </w:t>
      </w:r>
    </w:p>
    <w:tbl>
      <w:tblPr>
        <w:tblW w:w="11457" w:type="dxa"/>
        <w:jc w:val="center"/>
        <w:tblInd w:w="0" w:type="dxa"/>
        <w:tblLayout w:type="fixed"/>
        <w:tblCellMar>
          <w:top w:w="28" w:type="dxa"/>
          <w:left w:w="28" w:type="dxa"/>
          <w:bottom w:w="28" w:type="dxa"/>
          <w:right w:w="28" w:type="dxa"/>
        </w:tblCellMar>
      </w:tblPr>
      <w:tblGrid>
        <w:gridCol w:w="592"/>
        <w:gridCol w:w="244"/>
        <w:gridCol w:w="245"/>
        <w:gridCol w:w="196"/>
        <w:gridCol w:w="661"/>
        <w:gridCol w:w="109"/>
        <w:gridCol w:w="109"/>
        <w:gridCol w:w="109"/>
        <w:gridCol w:w="109"/>
        <w:gridCol w:w="196"/>
        <w:gridCol w:w="406"/>
        <w:gridCol w:w="109"/>
        <w:gridCol w:w="109"/>
        <w:gridCol w:w="109"/>
        <w:gridCol w:w="109"/>
        <w:gridCol w:w="196"/>
        <w:gridCol w:w="886"/>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Attributable to Civeo</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Noncontrolling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1,578,315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(907,727)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(348,989)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375,357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dividends attributable to Class A preferred shares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1,582,442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(912,951)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(361,883)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363,111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dividends attributable to Class A preferred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shares repurchased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shares converted to common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1,624,512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(930,123)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(385,187)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3,562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303,701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1,628,972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(919,023)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(380,715)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2,867</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323,038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972" w:type="dxa"/>
        <w:jc w:val="center"/>
        <w:tblInd w:w="0" w:type="dxa"/>
        <w:tblLayout w:type="fixed"/>
        <w:tblCellMar>
          <w:top w:w="28" w:type="dxa"/>
          <w:left w:w="28" w:type="dxa"/>
          <w:bottom w:w="28" w:type="dxa"/>
          <w:right w:w="28" w:type="dxa"/>
        </w:tblCellMar>
      </w:tblPr>
      <w:tblGrid>
        <w:gridCol w:w="1182"/>
        <w:gridCol w:w="1039"/>
        <w:gridCol w:w="1048"/>
        <w:gridCol w:w="319"/>
        <w:gridCol w:w="311"/>
        <w:gridCol w:w="286"/>
        <w:gridCol w:w="109"/>
        <w:gridCol w:w="109"/>
        <w:gridCol w:w="109"/>
        <w:gridCol w:w="720"/>
        <w:gridCol w:w="720"/>
        <w:gridCol w:w="1020"/>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Preferred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Common Shares (in thousands)</w:t>
            </w:r>
            <w:r>
              <w:rPr>
                <w:color w:val="000000"/>
              </w:rPr>
              <w:t xml:space="preserve"> </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2020</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14,215 </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9,042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14,111</w:t>
            </w:r>
            <w:r>
              <w:rPr>
                <w:color w:val="000000"/>
              </w:rPr>
              <w:t> </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shares converted to common shares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15,218</w:t>
            </w:r>
            <w:r>
              <w:rPr>
                <w:color w:val="000000"/>
              </w:rPr>
              <w:t> </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14,680</w:t>
            </w:r>
            <w:r>
              <w:rPr>
                <w:color w:val="000000"/>
              </w:rPr>
              <w:t> </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90"/>
        <w:jc w:val="both"/>
        <w:rPr/>
      </w:pPr>
      <w:r>
        <w:rPr/>
      </w:r>
    </w:p>
    <w:p>
      <w:pPr>
        <w:pStyle w:val="TextBody"/>
        <w:bidi w:val="0"/>
        <w:spacing w:lineRule="auto" w:line="288"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CONSOLIDATED</w:t>
      </w:r>
      <w:r>
        <w:rPr>
          <w:color w:val="000000"/>
        </w:rPr>
        <w:t xml:space="preserve"> </w:t>
      </w:r>
      <w:r>
        <w:rPr>
          <w:rFonts w:ascii="Times New Roman;sans-serif" w:hAnsi="Times New Roman;sans-serif"/>
          <w:b/>
          <w:color w:val="000000"/>
          <w:sz w:val="20"/>
        </w:rPr>
        <w:t>STATEMENTS OF CASH FLOWS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277" w:type="dxa"/>
        <w:jc w:val="center"/>
        <w:tblInd w:w="0" w:type="dxa"/>
        <w:tblLayout w:type="fixed"/>
        <w:tblCellMar>
          <w:top w:w="28" w:type="dxa"/>
          <w:left w:w="28" w:type="dxa"/>
          <w:bottom w:w="28" w:type="dxa"/>
          <w:right w:w="28" w:type="dxa"/>
        </w:tblCellMar>
      </w:tblPr>
      <w:tblGrid>
        <w:gridCol w:w="2097"/>
        <w:gridCol w:w="1839"/>
        <w:gridCol w:w="1853"/>
        <w:gridCol w:w="196"/>
        <w:gridCol w:w="646"/>
        <w:gridCol w:w="109"/>
        <w:gridCol w:w="109"/>
        <w:gridCol w:w="109"/>
        <w:gridCol w:w="109"/>
        <w:gridCol w:w="211"/>
        <w:gridCol w:w="599"/>
        <w:gridCol w:w="109"/>
        <w:gridCol w:w="109"/>
        <w:gridCol w:w="109"/>
        <w:gridCol w:w="109"/>
        <w:gridCol w:w="211"/>
        <w:gridCol w:w="59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compensation charge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disposals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 net of recoveries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repayments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repayments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preferred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additions accrued at end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paid-in-kind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1.DESCRIPTION OF BUSINESS</w:t>
      </w:r>
      <w:r>
        <w:rPr>
          <w:color w:val="000000"/>
        </w:rPr>
        <w:t xml:space="preserve"> </w:t>
      </w:r>
      <w:r>
        <w:rPr>
          <w:rFonts w:ascii="Times New Roman;sans-serif" w:hAnsi="Times New Roman;sans-serif"/>
          <w:b/>
          <w:color w:val="000000"/>
          <w:sz w:val="20"/>
        </w:rPr>
        <w:t>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suite of hospitality services for our guests in the natural resources industry,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losses primarily through the sale of our products and services. We maintain allowances for credit losses for estimated losses resulting from the inability of our customers to make required payments. If a trade receivable is deemed to be uncollectible, such receivable is charged-off against the allowance for credit losses account. Our expected loss allowance methodology for accounts receivable is developed using historical collection experience, current and future economic and market conditions and a review of the current status of customers' trade receivables. Due to the short-term nature of such receivables, the estimate of the amount of accounts receivable that may not be collected is based on an aging of the accounts receivable balances and the financial condition of customers. Additionally, specific allowance amounts are established to record the appropriate provision for customers that have a higher probability of default.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raw materials and supplies and materials for the operation of remote accommodation facilities. Inventories also include food, raw materials, labor, subcontractor charges and catering and other supplies needed for operation of our facilities. Inventories are carried at the lower of cost or net realizable value. The cost of inventories is determined on an average cost or specific-identification method.</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See Asset Retirement Obligations below for further discussion.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acquisitions of assets and other similar transactions to assess whether or not the transaction should be accounted for as a business combination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the identified net assets requires the significant use of estimates and is based on information that was available to management at the time the purchase price allocation was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performing this analysis, asset groups are reviewed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next step. In this step, we compare the fair value of the respective asset group to its carrying value. The fair value of the asset groups are based on prices of similar assets, if available, or discounted future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for a discussion of impairment charges we recognized in 2023, 2022 and 2021 related to our long-lived assets. </w:t>
      </w:r>
    </w:p>
    <w:p>
      <w:pPr>
        <w:pStyle w:val="TextBody"/>
        <w:bidi w:val="0"/>
        <w:spacing w:before="0" w:after="0"/>
        <w:ind w:left="0" w:right="0" w:firstLine="540"/>
        <w:jc w:val="both"/>
        <w:rPr/>
      </w:pPr>
      <w:r>
        <w:rPr/>
      </w:r>
    </w:p>
    <w:p>
      <w:pPr>
        <w:pStyle w:val="TextBody"/>
        <w:bidi w:val="0"/>
        <w:spacing w:lineRule="auto" w:line="288" w:before="0" w:after="0"/>
        <w:jc w:val="left"/>
        <w:rPr/>
      </w:pPr>
      <w:r>
        <w:rPr>
          <w:rFonts w:ascii="Times New Roman;sans-serif" w:hAnsi="Times New Roman;sans-serif"/>
          <w:b/>
          <w:i/>
          <w:color w:val="000000"/>
          <w:sz w:val="20"/>
        </w:rPr>
        <w:t>Goodwill and</w:t>
      </w:r>
      <w:r>
        <w:rPr>
          <w:color w:val="000000"/>
        </w:rPr>
        <w:t xml:space="preserve"> </w:t>
      </w:r>
      <w:r>
        <w:rPr>
          <w:rFonts w:ascii="Times New Roman;sans-serif" w:hAnsi="Times New Roman;sans-serif"/>
          <w:b/>
          <w:i/>
          <w:color w:val="000000"/>
          <w:sz w:val="20"/>
        </w:rPr>
        <w:t>Other</w:t>
      </w:r>
      <w:r>
        <w:rPr>
          <w:color w:val="000000"/>
        </w:rPr>
        <w:t xml:space="preserve"> </w:t>
      </w:r>
      <w:r>
        <w:rPr>
          <w:rFonts w:ascii="Times New Roman;sans-serif" w:hAnsi="Times New Roman;sans-serif"/>
          <w:b/>
          <w:i/>
          <w:color w:val="000000"/>
          <w:sz w:val="20"/>
        </w:rPr>
        <w:t>Intangible Assets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Goodwill.</w:t>
      </w:r>
      <w:r>
        <w:rPr>
          <w:color w:val="000000"/>
        </w:rPr>
        <w:t xml:space="preserve"> </w:t>
      </w:r>
      <w:r>
        <w:rPr>
          <w:rFonts w:ascii="Times New Roman;sans-serif" w:hAnsi="Times New Roman;sans-serif"/>
          <w:b w:val="false"/>
          <w:color w:val="000000"/>
          <w:sz w:val="20"/>
        </w:rPr>
        <w:t>Goodwill represents the excess of the purchase price paid for acquired businesses over the allocated fair value of the related net assets after impairments, if applicable. All of our goodwill as of December 31, 2023 was included in our Australia reporting unit.</w:t>
      </w:r>
    </w:p>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performing our annual assessment on November 30, 2023, 2022 and 2021, we performed a qualitative assessment related to goodwill at our Australia reporting unit. Qualitative factors that we considered as part of our assessment included industry and market conditions, macroeconomic conditions and the financial performance of our Australian business. We also noted that, based on the interim quantitative testing performed as of March 31, 2020, the estimated fair value of the Australia reporting unit exceeded its carrying value by more than 125%. After assessing these events and circumstances, we determined that, as of November 30, 2023, it was more likely than not that the fair value of the Australia reporting unit was greater than its carrying value.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the quantitative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The relative weighting of each approach reflects current industry and market conditions.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Market Approach</w:t>
      </w:r>
      <w:r>
        <w:rPr>
          <w:color w:val="000000"/>
        </w:rPr>
        <w:t xml:space="preserve"> </w:t>
      </w:r>
      <w:r>
        <w:rPr>
          <w:rFonts w:ascii="Times New Roman;sans-serif" w:hAnsi="Times New Roman;sans-serif"/>
          <w:b w:val="false"/>
          <w:color w:val="000000"/>
          <w:sz w:val="20"/>
        </w:rPr>
        <w:t>- This valuation approach utilizes publicly traded comparable companies’ enterprise values, as compared to their recent and forecasted earnings before interest, taxes and depreciation (EBITDA) information. We use EBITDA because it is a widely used key indicator of the cash generating capacity of companies in our industry.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Income Approach</w:t>
      </w:r>
      <w:r>
        <w:rPr>
          <w:color w:val="000000"/>
        </w:rPr>
        <w:t xml:space="preserve"> </w:t>
      </w:r>
      <w:r>
        <w:rPr>
          <w:rFonts w:ascii="Times New Roman;sans-serif" w:hAnsi="Times New Roman;sans-serif"/>
          <w:b w:val="false"/>
          <w:color w:val="000000"/>
          <w:sz w:val="20"/>
        </w:rPr>
        <w:t>- This valuation approach derives a present value of the reporting unit’s projected future annual cash flows over the next five years 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We discount our projected cash flows using a long-term weighted average cost of capital based on our estimate of investment returns that would be required by a market participant.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ind w:left="0" w:right="0" w:firstLine="540"/>
        <w:jc w:val="both"/>
        <w:rPr/>
      </w:pPr>
      <w:r>
        <w:rPr>
          <w:rFonts w:ascii="Times New Roman;sans-serif" w:hAnsi="Times New Roman;sans-serif"/>
          <w:b/>
          <w:i/>
          <w:color w:val="000000"/>
          <w:sz w:val="20"/>
        </w:rPr>
        <w:t>Other Intangible Assets.</w:t>
      </w:r>
      <w:r>
        <w:rPr>
          <w:color w:val="000000"/>
        </w:rPr>
        <w:t xml:space="preserve"> </w:t>
      </w:r>
      <w:r>
        <w:rPr>
          <w:rFonts w:ascii="Times New Roman;sans-serif" w:hAnsi="Times New Roman;sans-serif"/>
          <w:b w:val="false"/>
          <w:color w:val="000000"/>
          <w:sz w:val="20"/>
        </w:rPr>
        <w:t xml:space="preserve">We amortize the cost of other intangible assets using the straight-line method over their estimated useful lives unless such lives are deemed indefinite. For intangible assets that we amortize, we review the useful life of the intangible asset and evaluate each reporting period whether events and circumstances warrant a revision to the remaining useful life.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 Goodwill and Other Intangible Assets for further information.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and Other Comprehensive Income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resulting from consolidated balance sheet translation of foreign operations where a foreign currency is the functional currency are included as a separate component of accumulated other comprehensive income within shareholders’ equity and represent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2023, 2022, and 2021, we recognized approximately $0.5 million, $0.1 million and $0.3 million in foreign currency losses, respectively.</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majority of our operations and contracts, 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range from several months to multiple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exclude taxes assessed based on revenues such as sales or value added taxes.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See Note 14 – Income Taxes for further information.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Receivables and Concentration of Credit Risk</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2023, each of Suncor Energy and Fortescue Metals Group Ltd. accounted for more than 10% of our revenues. For the year ended December 31, 2022, each of Suncor Energy, Imperial Oil and Fortescue Metals Group Ltd. accounted for more than 10% of our revenues. For the year ended December 31, 2021, each of Suncor Energy, Imperial Oil and Fortescue Metals Group Ltd. accounted for more than 10% of our revenues.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AROs that we are required to perform under law or contract once an asset is permanently taken out of service. We initially record the liability at fair value,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relieve ARO liabilities when the related obligations are settled. Most of these obligations are not expected to be paid until many years in the future and will be funded from general company resources at the time of removal. See Note 12 – Asset Retirement Obligations for further discussion.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an equity participation plan in which certain of our key employees and non-employee directors participate. We measure the cost of service-based equity awards (typically restricted share awards and deferred share awards) based on the grant-date fair value of the award. The grant-date fair value is calculated based on our share price on the grant-date. The resulting cost is recognized over the period during which an employee or non-employee director is required to provide service in exchange for the awards, usually the vesting period.</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grant performance share awards. For awards granted in 2023 and 2022, awards are earned in amounts between 0% and 200% of the participant’s target performance share award, based on (i) the payout percentage associated with Civeo’s relative total shareholder return (TSR) rank among a peer group of other companies and (ii) the payout percentage associated with Civeo's cumulative operating cash flow over the performance period relative to a preset target. Awards granted in 2021 are earned in amounts between 0% and 200% of the participant’s target performance share award, based on (i) the payout percentage associated with Civeo’s relative TSR rank among a peer group of other companies and (ii) the payout percentage associated with Civeo's cumulative free cash flow over the performance period relative to a preset target. The fair value of the TSR portion of each performance share is estimated using option-pricing models at the grant date. The fair value of the operating cash flow and free cash flow portion of each performance share is based on the closing market price of our common shares on the date of grant and adjusted throughout the performance period based on our estimate of the most probable outcome of such performance conditions. The resulting costs for each portion of the award are recognized over the period during which an employee is required to provide service in exchange for the awards, usually the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grant phantom share units. All of the awards vest in equal annual installments and are accounted for as a liability based on the fair value of our share price. Participants granted phantom share units are entitled to a lump sum cash payment equal to the fair market value of a common share on the vesting date. The resulting cost is recognized over the period during which an employee is required to provide service in exchange for the awards, usually the vesting period.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Canadian and United States (U.S.) subsidiaries are guarantors under our Credit Agreement. See Note 11 – Debt for further discussion.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ordinary course of business, we also provide standby letters of credit or other guarantee instruments to certain parties as required for certain transactions initiated by us or our subsidiaries. As of December 31, 2023, the maximum potential amount of future payments that we could be required to make under these guarantee agreements (including letters of credit) was approximately $1.9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generally accepted accounting principles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estimates of the amount and timing of costs to be incurred for AROs, any valuation allowance recorded on net deferred tax assets, long-lived asset and goodwill impairments and allowance for credit losses. Actual results could materially differ from those estimates.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for Contingencies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insurance claims, contract claims and obligations.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new accounting pronouncements are issued by the Financial Accounting Standards Board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Accounting Standards Update (ASU) 2023-07, “Segment Reporting (Topic 280): Improvements to Reportable Segment Disclosures”,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We are currently evaluating this ASU to determine its impact on our disclosures.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enhances effective tax rate reconciliation disclosure requirements and provides clarity to the disclosures of income taxes paid, income before taxes and provision for income taxes. The amendments are effective for fiscal years beginning after December 15, 2024. Early adoption is permitted for annual financial statements that have not yet been issued or made available for issuance. The amendments in this update should be applied on a prospective basis. Retrospective application is permitted. We are currently evaluating this ASU to determine its impact on our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our two reportable segments (Canada and Australia) into major categories for the years ended December 31, 2023, 2022 and 2021 (in thousands):</w:t>
      </w:r>
    </w:p>
    <w:tbl>
      <w:tblPr>
        <w:tblW w:w="7557" w:type="dxa"/>
        <w:jc w:val="center"/>
        <w:tblInd w:w="0" w:type="dxa"/>
        <w:tblLayout w:type="fixed"/>
        <w:tblCellMar>
          <w:top w:w="28" w:type="dxa"/>
          <w:left w:w="28" w:type="dxa"/>
          <w:bottom w:w="28" w:type="dxa"/>
          <w:right w:w="28" w:type="dxa"/>
        </w:tblCellMar>
      </w:tblPr>
      <w:tblGrid>
        <w:gridCol w:w="1235"/>
        <w:gridCol w:w="1086"/>
        <w:gridCol w:w="1099"/>
        <w:gridCol w:w="211"/>
        <w:gridCol w:w="826"/>
        <w:gridCol w:w="109"/>
        <w:gridCol w:w="109"/>
        <w:gridCol w:w="109"/>
        <w:gridCol w:w="109"/>
        <w:gridCol w:w="211"/>
        <w:gridCol w:w="826"/>
        <w:gridCol w:w="109"/>
        <w:gridCol w:w="109"/>
        <w:gridCol w:w="109"/>
        <w:gridCol w:w="109"/>
        <w:gridCol w:w="211"/>
        <w:gridCol w:w="826"/>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Canada</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facility rental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Canada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Australia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Australia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the type and location of our customer and the products or services offered. The term between invoicing and when our performance obligations are satisfied is not significant. Payment terms are generally within 30 days and in most cases do not extend beyond 60 days. We do not have significant financing components or significant payment terms.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tbl>
      <w:tblPr>
        <w:tblW w:w="10205" w:type="dxa"/>
        <w:jc w:val="center"/>
        <w:tblInd w:w="0" w:type="dxa"/>
        <w:tblLayout w:type="fixed"/>
        <w:tblCellMar>
          <w:top w:w="28" w:type="dxa"/>
          <w:left w:w="28" w:type="dxa"/>
          <w:bottom w:w="28" w:type="dxa"/>
          <w:right w:w="28" w:type="dxa"/>
        </w:tblCellMar>
      </w:tblPr>
      <w:tblGrid>
        <w:gridCol w:w="1169"/>
        <w:gridCol w:w="1027"/>
        <w:gridCol w:w="103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ending December 31,</w:t>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4.IMPAIRMENT CHARGES</w:t>
      </w:r>
    </w:p>
    <w:p>
      <w:pPr>
        <w:pStyle w:val="TextBody"/>
        <w:bidi w:val="0"/>
        <w:spacing w:before="0" w:after="0"/>
        <w:jc w:val="left"/>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2023 Impairment Charges</w:t>
      </w:r>
    </w:p>
    <w:p>
      <w:pPr>
        <w:pStyle w:val="TextBody"/>
        <w:bidi w:val="0"/>
        <w:spacing w:before="0" w:after="0"/>
        <w:ind w:left="0" w:right="0" w:firstLine="9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2023, which are included in Impairment expense in our consolidated statements of operations (in thousands): </w:t>
      </w:r>
    </w:p>
    <w:tbl>
      <w:tblPr>
        <w:tblW w:w="5777" w:type="dxa"/>
        <w:jc w:val="left"/>
        <w:tblInd w:w="0" w:type="dxa"/>
        <w:tblLayout w:type="fixed"/>
        <w:tblCellMar>
          <w:top w:w="28" w:type="dxa"/>
          <w:left w:w="28" w:type="dxa"/>
          <w:bottom w:w="28" w:type="dxa"/>
          <w:right w:w="28" w:type="dxa"/>
        </w:tblCellMar>
      </w:tblPr>
      <w:tblGrid>
        <w:gridCol w:w="1042"/>
        <w:gridCol w:w="915"/>
        <w:gridCol w:w="922"/>
        <w:gridCol w:w="109"/>
        <w:gridCol w:w="109"/>
        <w:gridCol w:w="109"/>
        <w:gridCol w:w="109"/>
        <w:gridCol w:w="109"/>
        <w:gridCol w:w="109"/>
        <w:gridCol w:w="211"/>
        <w:gridCol w:w="616"/>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pStyle w:val="TextBody"/>
        <w:bidi w:val="0"/>
        <w:spacing w:lineRule="auto" w:line="276" w:before="0" w:after="0"/>
        <w:ind w:left="0" w:right="0" w:firstLine="540"/>
        <w:jc w:val="both"/>
        <w:rPr/>
      </w:pPr>
      <w:r>
        <w:rPr>
          <w:rFonts w:ascii="Times New Roman;sans-serif" w:hAnsi="Times New Roman;sans-serif"/>
          <w:b/>
          <w:i/>
          <w:color w:val="000000"/>
          <w:sz w:val="20"/>
        </w:rPr>
        <w:t>Quarter ended December 31, 2023</w:t>
      </w:r>
      <w:r>
        <w:rPr>
          <w:rFonts w:ascii="Times New Roman;sans-serif" w:hAnsi="Times New Roman;sans-serif"/>
          <w:b w:val="false"/>
          <w:color w:val="000000"/>
          <w:sz w:val="20"/>
        </w:rPr>
        <w:t>. During the fourth quarter of 2023, we recorded impairment expense of $1.4 million, related to land located in our U.S. market. The land was written down to its estimated fair value (less costs to sell) of $5.9 million.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2022 Impairment Charges</w:t>
      </w:r>
    </w:p>
    <w:p>
      <w:pPr>
        <w:pStyle w:val="TextBody"/>
        <w:bidi w:val="0"/>
        <w:spacing w:before="0" w:after="0"/>
        <w:ind w:left="0" w:right="0" w:firstLine="9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2022, which are included in Impairment expense in our consolidated statements of operations (in thousands): </w:t>
      </w:r>
    </w:p>
    <w:tbl>
      <w:tblPr>
        <w:tblW w:w="6604" w:type="dxa"/>
        <w:jc w:val="left"/>
        <w:tblInd w:w="0" w:type="dxa"/>
        <w:tblLayout w:type="fixed"/>
        <w:tblCellMar>
          <w:top w:w="28" w:type="dxa"/>
          <w:left w:w="28" w:type="dxa"/>
          <w:bottom w:w="28" w:type="dxa"/>
          <w:right w:w="28" w:type="dxa"/>
        </w:tblCellMar>
      </w:tblPr>
      <w:tblGrid>
        <w:gridCol w:w="1042"/>
        <w:gridCol w:w="915"/>
        <w:gridCol w:w="922"/>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54"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76" w:before="0" w:after="0"/>
        <w:ind w:left="0" w:right="0" w:firstLine="540"/>
        <w:jc w:val="both"/>
        <w:rPr/>
      </w:pPr>
      <w:r>
        <w:rPr>
          <w:rFonts w:ascii="Times New Roman;sans-serif" w:hAnsi="Times New Roman;sans-serif"/>
          <w:b/>
          <w:i/>
          <w:color w:val="000000"/>
          <w:sz w:val="20"/>
        </w:rPr>
        <w:t>Quarter ended December 31, 2022</w:t>
      </w:r>
      <w:r>
        <w:rPr>
          <w:rFonts w:ascii="Times New Roman;sans-serif" w:hAnsi="Times New Roman;sans-serif"/>
          <w:b w:val="false"/>
          <w:color w:val="000000"/>
          <w:sz w:val="20"/>
        </w:rPr>
        <w:t>. During the fourth quarter of 2022, we recorded impairment expense of $3.8 million, related to fixed assets in a village located in Western Australia. At December 31, 2022, we identified an impairment trigger due to an expiring contract that was not renewed. Accordingly, the assets were written down to their estimated fair value of $1.8 million. In addition, we recorded impairment expense of $1.9 million, related to fixed assets in a lodge located in our U.S. market. The lodge was written down to its estimated fair value (less costs to sell) of $7.7 million.</w:t>
      </w:r>
    </w:p>
    <w:p>
      <w:pPr>
        <w:pStyle w:val="TextBody"/>
        <w:bidi w:val="0"/>
        <w:spacing w:before="0" w:after="0"/>
        <w:ind w:left="0" w:right="0" w:firstLine="540"/>
        <w:jc w:val="both"/>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2021 Impairment Charges</w:t>
      </w:r>
    </w:p>
    <w:p>
      <w:pPr>
        <w:pStyle w:val="TextBody"/>
        <w:bidi w:val="0"/>
        <w:spacing w:before="0" w:after="0"/>
        <w:ind w:left="0" w:right="0" w:firstLine="9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2021, which are included in Impairment expense in our consolidated statements of operations (in thousands): </w:t>
      </w:r>
    </w:p>
    <w:tbl>
      <w:tblPr>
        <w:tblW w:w="5124" w:type="dxa"/>
        <w:jc w:val="center"/>
        <w:tblInd w:w="0" w:type="dxa"/>
        <w:tblLayout w:type="fixed"/>
        <w:tblCellMar>
          <w:top w:w="28" w:type="dxa"/>
          <w:left w:w="28" w:type="dxa"/>
          <w:bottom w:w="28" w:type="dxa"/>
          <w:right w:w="28" w:type="dxa"/>
        </w:tblCellMar>
      </w:tblPr>
      <w:tblGrid>
        <w:gridCol w:w="885"/>
        <w:gridCol w:w="776"/>
        <w:gridCol w:w="783"/>
        <w:gridCol w:w="109"/>
        <w:gridCol w:w="109"/>
        <w:gridCol w:w="211"/>
        <w:gridCol w:w="616"/>
        <w:gridCol w:w="109"/>
        <w:gridCol w:w="109"/>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June 30,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0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4"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center"/>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Quarter ended June 30, 2021</w:t>
      </w:r>
      <w:r>
        <w:rPr>
          <w:rFonts w:ascii="Times New Roman;sans-serif" w:hAnsi="Times New Roman;sans-serif"/>
          <w:b w:val="false"/>
          <w:color w:val="000000"/>
          <w:sz w:val="20"/>
        </w:rPr>
        <w:t>. During the second quarter of 2021, we recorded impairment expense of $7.9 million related to various undeveloped land positions and related permitting costs in 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receivables, payables and debt instruments. We believe that the carrying values of these instruments on the accompanying consolidated balance sheets approximate their fair values.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broker price opinions and previous negotiations with third parties.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and 2022 and the second quarter of 2021, we wrote down certain long-lived assets to fair value. During the fourth quarter of 2023 and 2022, our estimate of fair value of a property in the U.S. was based on broker price opinions or appraisals from third parties, which referenced available market information, such as listing agreements, offers, and pending and closed sales. During the second quarter of 2021 and the fourth quarter of 2022, our estimate of fair value in Australia for assets that were impaired was based on appraisals from third parties.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6.EARNINGS PER SHARE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calculated our basic earnings per share by dividing net income (loss) attributable to common shareholders, before allocation of earnings to participating earnings by the weighted average number of common shares outstanding. For diluted earnings per share, the basic shares outstanding are adjusted by adding all potentially dilutive securities.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and 2021, a period during which we had participating securities in the form of Class A preferred shares, we used the two-class method to calculate basic and diluted earnings per share.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under the two-class method by dividing the net income (loss) attributable to common shareholders, after allocation of earnings to participating earnings by the weighted average number of common shares outstanding during the period. Net income attributable to common shareholders, after allocation of earnings to participating earnings represents our net income reduced by an allocation of current period earnings to participating securities as described above. No such adjustment is made during periods with a net loss, as the adjustment would be anti-dilutive.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is computed under the two-class method by dividing diluted net income (loss) attributable to common shareholders, after reallocation adjustment for participating securities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30, 2022, we repurchased 3,617 Series A preferred shares from the holders for approximately $30.6 million. The repurchase premium of $5.2 million was treated as a reduction to the numerator of net income (loss) attributable to Civeo common shareholders utilized in the calculation of earnings per share for the year ended December 31, 2022.</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share attributable to Civeo common shareholders is presented below for the years ended December 31, 2023, 2022 and 2021 (in thousands, except per share amounts): </w:t>
      </w:r>
    </w:p>
    <w:tbl>
      <w:tblPr>
        <w:tblW w:w="10205" w:type="dxa"/>
        <w:jc w:val="center"/>
        <w:tblInd w:w="0" w:type="dxa"/>
        <w:tblLayout w:type="fixed"/>
        <w:tblCellMar>
          <w:top w:w="28" w:type="dxa"/>
          <w:left w:w="28" w:type="dxa"/>
          <w:bottom w:w="28" w:type="dxa"/>
          <w:right w:w="28" w:type="dxa"/>
        </w:tblCellMar>
      </w:tblPr>
      <w:tblGrid>
        <w:gridCol w:w="2406"/>
        <w:gridCol w:w="2090"/>
        <w:gridCol w:w="2106"/>
        <w:gridCol w:w="211"/>
        <w:gridCol w:w="721"/>
        <w:gridCol w:w="109"/>
        <w:gridCol w:w="109"/>
        <w:gridCol w:w="109"/>
        <w:gridCol w:w="109"/>
        <w:gridCol w:w="211"/>
        <w:gridCol w:w="662"/>
        <w:gridCol w:w="109"/>
        <w:gridCol w:w="109"/>
        <w:gridCol w:w="109"/>
        <w:gridCol w:w="109"/>
        <w:gridCol w:w="211"/>
        <w:gridCol w:w="557"/>
        <w:gridCol w:w="158"/>
      </w:tblGrid>
      <w:tr>
        <w:trPr/>
        <w:tc>
          <w:tcPr>
            <w:tcW w:w="240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Civeo common shareholders, before allocation of earnings to participating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premium paid for repurchase of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Civeo Corporation common shareholders, after allocation of earnings to participating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undistributed income attributable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income reallocated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Civeo Corporation common shareholders, after reallocation adjustment for participating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share-based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Basic net income (loss) per share attributable to Civeo Corporation common shareholders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Diluted net income (loss) per share attributable to Civeo Corporation common shareholders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Computations may reflect rounding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common share equivalents have been excluded from the calculation of weighted-average common shares outstanding because the effect is anti-dilutive for the years ended December 31, 2023, 2022 and 2021 (in millions of shares):</w:t>
      </w:r>
    </w:p>
    <w:p>
      <w:pPr>
        <w:pStyle w:val="TextBody"/>
        <w:bidi w:val="0"/>
        <w:spacing w:before="0" w:after="0"/>
        <w:ind w:left="0" w:right="0" w:firstLine="540"/>
        <w:jc w:val="both"/>
        <w:rPr/>
      </w:pPr>
      <w:r>
        <w:rPr/>
      </w:r>
    </w:p>
    <w:tbl>
      <w:tblPr>
        <w:tblW w:w="4822" w:type="dxa"/>
        <w:jc w:val="left"/>
        <w:tblInd w:w="0" w:type="dxa"/>
        <w:tblLayout w:type="fixed"/>
        <w:tblCellMar>
          <w:top w:w="28" w:type="dxa"/>
          <w:left w:w="28" w:type="dxa"/>
          <w:bottom w:w="28" w:type="dxa"/>
          <w:right w:w="28" w:type="dxa"/>
        </w:tblCellMar>
      </w:tblPr>
      <w:tblGrid>
        <w:gridCol w:w="630"/>
        <w:gridCol w:w="553"/>
        <w:gridCol w:w="556"/>
        <w:gridCol w:w="203"/>
        <w:gridCol w:w="203"/>
        <w:gridCol w:w="176"/>
        <w:gridCol w:w="109"/>
        <w:gridCol w:w="109"/>
        <w:gridCol w:w="109"/>
        <w:gridCol w:w="308"/>
        <w:gridCol w:w="308"/>
        <w:gridCol w:w="176"/>
        <w:gridCol w:w="109"/>
        <w:gridCol w:w="109"/>
        <w:gridCol w:w="109"/>
        <w:gridCol w:w="308"/>
        <w:gridCol w:w="308"/>
        <w:gridCol w:w="176"/>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Share-based awards </w:t>
            </w:r>
            <w:r>
              <w:rPr>
                <w:rFonts w:ascii="Times New Roman;sans-serif" w:hAnsi="Times New Roman;sans-serif"/>
                <w:b w:val="false"/>
                <w:color w:val="000000"/>
                <w:sz w:val="12"/>
              </w:rPr>
              <w:t>(1)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Share-based awards for the </w:t>
      </w:r>
      <w:r>
        <w:rPr>
          <w:rFonts w:ascii="Times New Roman;sans-serif" w:hAnsi="Times New Roman;sans-serif"/>
          <w:b w:val="false"/>
          <w:color w:val="000000"/>
          <w:sz w:val="20"/>
        </w:rPr>
        <w:t>y</w:t>
      </w:r>
      <w:r>
        <w:rPr>
          <w:rFonts w:ascii="Times New Roman;sans-serif" w:hAnsi="Times New Roman;sans-serif"/>
          <w:b w:val="false"/>
          <w:color w:val="000000"/>
          <w:sz w:val="18"/>
        </w:rPr>
        <w:t xml:space="preserve">ear ended December 31, 2023 totaled fewer than 0.1 million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7.DETAILS OF SELECTED BALANCE SHEET ACCOUNTS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selected balance sheet accounts at December 31, 2023 and 2022 is presented below (in thousands): </w:t>
      </w:r>
    </w:p>
    <w:tbl>
      <w:tblPr>
        <w:tblW w:w="6551" w:type="dxa"/>
        <w:jc w:val="center"/>
        <w:tblInd w:w="0" w:type="dxa"/>
        <w:tblLayout w:type="fixed"/>
        <w:tblCellMar>
          <w:top w:w="28" w:type="dxa"/>
          <w:left w:w="28" w:type="dxa"/>
          <w:bottom w:w="28" w:type="dxa"/>
          <w:right w:w="28" w:type="dxa"/>
        </w:tblCellMar>
      </w:tblPr>
      <w:tblGrid>
        <w:gridCol w:w="990"/>
        <w:gridCol w:w="867"/>
        <w:gridCol w:w="873"/>
        <w:gridCol w:w="317"/>
        <w:gridCol w:w="1244"/>
        <w:gridCol w:w="164"/>
        <w:gridCol w:w="109"/>
        <w:gridCol w:w="109"/>
        <w:gridCol w:w="109"/>
        <w:gridCol w:w="313"/>
        <w:gridCol w:w="1228"/>
        <w:gridCol w:w="228"/>
      </w:tblGrid>
      <w:tr>
        <w:trPr/>
        <w:tc>
          <w:tcPr>
            <w:tcW w:w="9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Unbilled revenue</w:t>
            </w:r>
            <w:r>
              <w:rPr>
                <w:color w:val="000000"/>
              </w:rPr>
              <w:t xml:space="preserve">  </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40" w:type="dxa"/>
        <w:jc w:val="center"/>
        <w:tblInd w:w="0" w:type="dxa"/>
        <w:tblLayout w:type="fixed"/>
        <w:tblCellMar>
          <w:top w:w="28" w:type="dxa"/>
          <w:left w:w="28" w:type="dxa"/>
          <w:bottom w:w="28" w:type="dxa"/>
          <w:right w:w="28" w:type="dxa"/>
        </w:tblCellMar>
      </w:tblPr>
      <w:tblGrid>
        <w:gridCol w:w="1236"/>
        <w:gridCol w:w="1089"/>
        <w:gridCol w:w="1095"/>
        <w:gridCol w:w="387"/>
        <w:gridCol w:w="1135"/>
        <w:gridCol w:w="202"/>
        <w:gridCol w:w="109"/>
        <w:gridCol w:w="109"/>
        <w:gridCol w:w="109"/>
        <w:gridCol w:w="380"/>
        <w:gridCol w:w="1110"/>
        <w:gridCol w:w="279"/>
      </w:tblGrid>
      <w:tr>
        <w:trPr/>
        <w:tc>
          <w:tcPr>
            <w:tcW w:w="12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Inventories: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Finished goods and purchased products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Raw materials  </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tbl>
      <w:tblPr>
        <w:tblW w:w="8662" w:type="dxa"/>
        <w:jc w:val="center"/>
        <w:tblInd w:w="0" w:type="dxa"/>
        <w:tblLayout w:type="fixed"/>
        <w:tblCellMar>
          <w:top w:w="28" w:type="dxa"/>
          <w:left w:w="28" w:type="dxa"/>
          <w:bottom w:w="28" w:type="dxa"/>
          <w:right w:w="28" w:type="dxa"/>
        </w:tblCellMar>
      </w:tblPr>
      <w:tblGrid>
        <w:gridCol w:w="1251"/>
        <w:gridCol w:w="1097"/>
        <w:gridCol w:w="1102"/>
        <w:gridCol w:w="354"/>
        <w:gridCol w:w="354"/>
        <w:gridCol w:w="356"/>
        <w:gridCol w:w="109"/>
        <w:gridCol w:w="109"/>
        <w:gridCol w:w="109"/>
        <w:gridCol w:w="317"/>
        <w:gridCol w:w="1244"/>
        <w:gridCol w:w="164"/>
        <w:gridCol w:w="109"/>
        <w:gridCol w:w="109"/>
        <w:gridCol w:w="109"/>
        <w:gridCol w:w="313"/>
        <w:gridCol w:w="1228"/>
        <w:gridCol w:w="228"/>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Accommodations assets  </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1,378,408 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1,464,476 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1,590,202 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(1,288,312)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 </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301,890 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tbl>
      <w:tblPr>
        <w:tblW w:w="7106" w:type="dxa"/>
        <w:jc w:val="center"/>
        <w:tblInd w:w="0" w:type="dxa"/>
        <w:tblLayout w:type="fixed"/>
        <w:tblCellMar>
          <w:top w:w="28" w:type="dxa"/>
          <w:left w:w="28" w:type="dxa"/>
          <w:bottom w:w="28" w:type="dxa"/>
          <w:right w:w="28" w:type="dxa"/>
        </w:tblCellMar>
      </w:tblPr>
      <w:tblGrid>
        <w:gridCol w:w="1190"/>
        <w:gridCol w:w="1044"/>
        <w:gridCol w:w="1051"/>
        <w:gridCol w:w="349"/>
        <w:gridCol w:w="1195"/>
        <w:gridCol w:w="180"/>
        <w:gridCol w:w="109"/>
        <w:gridCol w:w="109"/>
        <w:gridCol w:w="109"/>
        <w:gridCol w:w="344"/>
        <w:gridCol w:w="1175"/>
        <w:gridCol w:w="251"/>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 other than income taxes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tbl>
      <w:tblPr>
        <w:tblW w:w="7450" w:type="dxa"/>
        <w:jc w:val="left"/>
        <w:tblInd w:w="0" w:type="dxa"/>
        <w:tblLayout w:type="fixed"/>
        <w:tblCellMar>
          <w:top w:w="28" w:type="dxa"/>
          <w:left w:w="28" w:type="dxa"/>
          <w:bottom w:w="28" w:type="dxa"/>
          <w:right w:w="28" w:type="dxa"/>
        </w:tblCellMar>
      </w:tblPr>
      <w:tblGrid>
        <w:gridCol w:w="1314"/>
        <w:gridCol w:w="1154"/>
        <w:gridCol w:w="1162"/>
        <w:gridCol w:w="349"/>
        <w:gridCol w:w="1195"/>
        <w:gridCol w:w="180"/>
        <w:gridCol w:w="109"/>
        <w:gridCol w:w="109"/>
        <w:gridCol w:w="109"/>
        <w:gridCol w:w="448"/>
        <w:gridCol w:w="992"/>
        <w:gridCol w:w="329"/>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(Deferred revenue):</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contract liabilities </w:t>
            </w:r>
            <w:r>
              <w:rPr>
                <w:rFonts w:ascii="Times New Roman;sans-serif" w:hAnsi="Times New Roman;sans-serif"/>
                <w:b w:val="false"/>
                <w:color w:val="000000"/>
                <w:sz w:val="13"/>
              </w:rPr>
              <w:t>(1)</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contract liabilities </w:t>
            </w:r>
            <w:r>
              <w:rPr>
                <w:rFonts w:ascii="Times New Roman;sans-serif" w:hAnsi="Times New Roman;sans-serif"/>
                <w:b w:val="false"/>
                <w:color w:val="000000"/>
                <w:sz w:val="13"/>
              </w:rPr>
              <w:t>(1)</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(Deferred revenue)</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20"/>
        </w:rPr>
        <w:t xml:space="preserve">Current contract liabilities and Noncurrent contract liabilities are included in "Deferred revenue" and "Other noncurrent liabilities," respectively, in our consolidated balance sheets.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typically consists of upfront payments received before we satisfy the associated performance obligation. The increase in deferred revenue from December 31, 2022 to December 31, 2023 was due to payments received from a customer for village enhancements in Australia and a payment received from a customer related to an asset transportation contract, which will all be recognized over the contracted terms.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8.ASSETS HELD FOR SALE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assets held for sale included certain assets in the U.S. These assets were recorded at the estimated fair value less costs to sell, which exceeded or equaled their carry values. During the first quarter of 2023, we sold the accommodation assets in Louisiana. The land at this location remains in assets held for sale as of December 31, 2023.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we entered into a definitive agreement to sell our McClelland Lake Lodge assets for approximately C$49 million, or US$36 million. The related assets had no remaining carrying value. During the year ended December 31, 2023, we recognized $14.2 million in demobilization costs and received $28.2 million in cash proceeds associated with the sale. We expect to recognize the remaining demobilization costs and the proceeds of the sale in the first quarter of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assets held for sale included certain assets in our Canadian business segment and the U.S. These assets were recorded at the estimated fair value less costs to sell, which exceeded their carrying values.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 as of December 31, 2023 and 2022 of the assets classified as held for sale (in thousands):</w:t>
      </w:r>
    </w:p>
    <w:p>
      <w:pPr>
        <w:pStyle w:val="TextBody"/>
        <w:bidi w:val="0"/>
        <w:spacing w:lineRule="auto" w:line="288" w:before="0" w:after="0"/>
        <w:ind w:left="0" w:right="0" w:firstLine="540"/>
        <w:jc w:val="both"/>
        <w:rPr>
          <w:color w:val="000000"/>
        </w:rPr>
      </w:pPr>
      <w:r>
        <w:rPr>
          <w:color w:val="000000"/>
        </w:rPr>
        <w:t> </w:t>
      </w:r>
    </w:p>
    <w:tbl>
      <w:tblPr>
        <w:tblW w:w="6744" w:type="dxa"/>
        <w:jc w:val="center"/>
        <w:tblInd w:w="0" w:type="dxa"/>
        <w:tblLayout w:type="fixed"/>
        <w:tblCellMar>
          <w:top w:w="28" w:type="dxa"/>
          <w:left w:w="28" w:type="dxa"/>
          <w:bottom w:w="28" w:type="dxa"/>
          <w:right w:w="28" w:type="dxa"/>
        </w:tblCellMar>
      </w:tblPr>
      <w:tblGrid>
        <w:gridCol w:w="1056"/>
        <w:gridCol w:w="932"/>
        <w:gridCol w:w="936"/>
        <w:gridCol w:w="387"/>
        <w:gridCol w:w="1135"/>
        <w:gridCol w:w="202"/>
        <w:gridCol w:w="109"/>
        <w:gridCol w:w="109"/>
        <w:gridCol w:w="109"/>
        <w:gridCol w:w="380"/>
        <w:gridCol w:w="1110"/>
        <w:gridCol w:w="279"/>
      </w:tblGrid>
      <w:tr>
        <w:trPr/>
        <w:tc>
          <w:tcPr>
            <w:tcW w:w="10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for sale:</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9.GOODWILL AND OTHER INTANGIBLE ASSETS</w:t>
      </w:r>
    </w:p>
    <w:p>
      <w:pPr>
        <w:pStyle w:val="TextBody"/>
        <w:bidi w:val="0"/>
        <w:spacing w:before="0" w:after="0"/>
        <w:ind w:left="0" w:right="0" w:hanging="36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(all of which is in our Australia segment) from December 31, 2021 to December 31, 2023 are as follows (in thousands): </w:t>
      </w:r>
    </w:p>
    <w:tbl>
      <w:tblPr>
        <w:tblW w:w="4560" w:type="dxa"/>
        <w:jc w:val="center"/>
        <w:tblInd w:w="0" w:type="dxa"/>
        <w:tblLayout w:type="fixed"/>
        <w:tblCellMar>
          <w:top w:w="28" w:type="dxa"/>
          <w:left w:w="28" w:type="dxa"/>
          <w:bottom w:w="28" w:type="dxa"/>
          <w:right w:w="28" w:type="dxa"/>
        </w:tblCellMar>
      </w:tblPr>
      <w:tblGrid>
        <w:gridCol w:w="1059"/>
        <w:gridCol w:w="930"/>
        <w:gridCol w:w="936"/>
        <w:gridCol w:w="109"/>
        <w:gridCol w:w="109"/>
        <w:gridCol w:w="109"/>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amount of other intangible assets and the related accumulated amortization for major intangible asset classes as of December 31, 2023 and 2022 (in thousands): </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640"/>
        <w:gridCol w:w="1373"/>
        <w:gridCol w:w="1380"/>
        <w:gridCol w:w="211"/>
        <w:gridCol w:w="826"/>
        <w:gridCol w:w="109"/>
        <w:gridCol w:w="109"/>
        <w:gridCol w:w="109"/>
        <w:gridCol w:w="109"/>
        <w:gridCol w:w="226"/>
        <w:gridCol w:w="902"/>
        <w:gridCol w:w="118"/>
        <w:gridCol w:w="109"/>
        <w:gridCol w:w="109"/>
        <w:gridCol w:w="109"/>
        <w:gridCol w:w="211"/>
        <w:gridCol w:w="826"/>
        <w:gridCol w:w="109"/>
        <w:gridCol w:w="109"/>
        <w:gridCol w:w="109"/>
        <w:gridCol w:w="109"/>
        <w:gridCol w:w="225"/>
        <w:gridCol w:w="900"/>
        <w:gridCol w:w="168"/>
      </w:tblGrid>
      <w:tr>
        <w:trPr/>
        <w:tc>
          <w:tcPr>
            <w:tcW w:w="164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(111,617)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 Not Subject to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(111,617)</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amortization period for all intangible assets, other than indefinite-lived intangibles, was 14.1 years as of December 31, 2023 and 15.0 years as of December 31, 2022. Amortization expense was $5.8 million, $5.9 million and $6.0 million in the years ended December 31, 2023, 2022 and 2021, respectively.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estimated remaining amortization of our amortizable intangible assets was as follows (in thousands):</w:t>
      </w:r>
    </w:p>
    <w:p>
      <w:pPr>
        <w:pStyle w:val="TextBody"/>
        <w:bidi w:val="0"/>
        <w:spacing w:lineRule="auto" w:line="288" w:before="0" w:after="0"/>
        <w:ind w:left="0" w:right="0" w:firstLine="540"/>
        <w:jc w:val="center"/>
        <w:rPr>
          <w:color w:val="000000"/>
        </w:rPr>
      </w:pPr>
      <w:r>
        <w:rPr>
          <w:color w:val="000000"/>
        </w:rPr>
        <w:t> </w:t>
      </w:r>
    </w:p>
    <w:tbl>
      <w:tblPr>
        <w:tblW w:w="2251" w:type="dxa"/>
        <w:jc w:val="center"/>
        <w:tblInd w:w="0" w:type="dxa"/>
        <w:tblLayout w:type="fixed"/>
        <w:tblCellMar>
          <w:top w:w="28" w:type="dxa"/>
          <w:left w:w="28" w:type="dxa"/>
          <w:bottom w:w="28" w:type="dxa"/>
          <w:right w:w="28" w:type="dxa"/>
        </w:tblCellMar>
      </w:tblPr>
      <w:tblGrid>
        <w:gridCol w:w="342"/>
        <w:gridCol w:w="300"/>
        <w:gridCol w:w="304"/>
        <w:gridCol w:w="253"/>
        <w:gridCol w:w="867"/>
        <w:gridCol w:w="18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w:t>
              <w:br/>
              <w:t>December 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10.LEASES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and finance leases covering certain land locations and various office facilities and equipment in our two reportable business segments. Our leases have remaining lease terms of one year to seven years, some of which include options to extend the leases for up to 10 years, and some of which include options to terminate the leases within 90 days. In addition, we do not recognize right-of-use assets or lease liabilities for leases with terms shorter than twelve months.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$4.2 million, $5.0 million and $5.9 million under operating leases for the years ended December 31, 2023, 2022 and 2021, respectively. The components of lease expense were $0.2 million, $0.0 million and $0.0 million under finance leases for the years ended December 31, 2023, 2022 and 2021, respectively. Included in the measurement of lease liabilities, we paid $4.6 million and $0.1 million in cash related to operating leases and finance leases during the year ended December 31, 2023, respectively. Right-of-use assets obtained in exchange for new lease obligations during the year ended December 31, 2023 were $0.6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were as follows (in thousands):</w:t>
      </w:r>
    </w:p>
    <w:tbl>
      <w:tblPr>
        <w:tblW w:w="7547" w:type="dxa"/>
        <w:jc w:val="center"/>
        <w:tblInd w:w="0" w:type="dxa"/>
        <w:tblLayout w:type="fixed"/>
        <w:tblCellMar>
          <w:top w:w="28" w:type="dxa"/>
          <w:left w:w="28" w:type="dxa"/>
          <w:bottom w:w="28" w:type="dxa"/>
          <w:right w:w="28" w:type="dxa"/>
        </w:tblCellMar>
      </w:tblPr>
      <w:tblGrid>
        <w:gridCol w:w="1271"/>
        <w:gridCol w:w="1115"/>
        <w:gridCol w:w="1123"/>
        <w:gridCol w:w="302"/>
        <w:gridCol w:w="1034"/>
        <w:gridCol w:w="388"/>
        <w:gridCol w:w="109"/>
        <w:gridCol w:w="109"/>
        <w:gridCol w:w="109"/>
        <w:gridCol w:w="302"/>
        <w:gridCol w:w="1034"/>
        <w:gridCol w:w="388"/>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at December 31, 2023, were as follows (in thousands):</w:t>
      </w:r>
    </w:p>
    <w:p>
      <w:pPr>
        <w:pStyle w:val="TextBody"/>
        <w:bidi w:val="0"/>
        <w:spacing w:before="0" w:after="0"/>
        <w:ind w:left="0" w:right="0" w:firstLine="540"/>
        <w:jc w:val="left"/>
        <w:rPr/>
      </w:pPr>
      <w:r>
        <w:rPr/>
      </w:r>
    </w:p>
    <w:tbl>
      <w:tblPr>
        <w:tblW w:w="7123" w:type="dxa"/>
        <w:jc w:val="center"/>
        <w:tblInd w:w="0" w:type="dxa"/>
        <w:tblLayout w:type="fixed"/>
        <w:tblCellMar>
          <w:top w:w="28" w:type="dxa"/>
          <w:left w:w="28" w:type="dxa"/>
          <w:bottom w:w="28" w:type="dxa"/>
          <w:right w:w="28" w:type="dxa"/>
        </w:tblCellMar>
      </w:tblPr>
      <w:tblGrid>
        <w:gridCol w:w="868"/>
        <w:gridCol w:w="765"/>
        <w:gridCol w:w="767"/>
        <w:gridCol w:w="322"/>
        <w:gridCol w:w="1101"/>
        <w:gridCol w:w="166"/>
        <w:gridCol w:w="109"/>
        <w:gridCol w:w="109"/>
        <w:gridCol w:w="109"/>
        <w:gridCol w:w="374"/>
        <w:gridCol w:w="827"/>
        <w:gridCol w:w="193"/>
        <w:gridCol w:w="109"/>
        <w:gridCol w:w="109"/>
        <w:gridCol w:w="109"/>
        <w:gridCol w:w="211"/>
        <w:gridCol w:w="72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11.DEBT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long-term debt consisted of the following (in thousands): </w:t>
      </w:r>
    </w:p>
    <w:tbl>
      <w:tblPr>
        <w:tblW w:w="10205" w:type="dxa"/>
        <w:jc w:val="center"/>
        <w:tblInd w:w="0" w:type="dxa"/>
        <w:tblLayout w:type="fixed"/>
        <w:tblCellMar>
          <w:top w:w="28" w:type="dxa"/>
          <w:left w:w="28" w:type="dxa"/>
          <w:bottom w:w="28" w:type="dxa"/>
          <w:right w:w="28" w:type="dxa"/>
        </w:tblCellMar>
      </w:tblPr>
      <w:tblGrid>
        <w:gridCol w:w="2492"/>
        <w:gridCol w:w="2194"/>
        <w:gridCol w:w="2199"/>
        <w:gridCol w:w="294"/>
        <w:gridCol w:w="1006"/>
        <w:gridCol w:w="151"/>
        <w:gridCol w:w="109"/>
        <w:gridCol w:w="109"/>
        <w:gridCol w:w="109"/>
        <w:gridCol w:w="272"/>
        <w:gridCol w:w="1068"/>
        <w:gridCol w:w="202"/>
      </w:tblGrid>
      <w:tr>
        <w:trPr/>
        <w:tc>
          <w:tcPr>
            <w:tcW w:w="2492"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Canadian term loan; weighted average interest rate of 8.2% for the twelve-month period ended December 31, 2023</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revolving credit facility; weighted average interest rate of 10.2% for the twelve-month period ended December 31, 2023</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Canadian revolving credit facility; weighted average interest rate of 8.3% for the twelve-month period ended December 31, 2023</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Australian revolving credit facility; weighted average interest rate of 6.8% for the twelve-month period ended December 31, 2023</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 including unamortized debt issuance costs, net </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maturities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Scheduled maturities of long-term debt as of December 31, 2023 are as follows (in thousands): </w:t>
      </w:r>
    </w:p>
    <w:tbl>
      <w:tblPr>
        <w:tblW w:w="1846" w:type="dxa"/>
        <w:jc w:val="center"/>
        <w:tblInd w:w="0" w:type="dxa"/>
        <w:tblLayout w:type="fixed"/>
        <w:tblCellMar>
          <w:top w:w="28" w:type="dxa"/>
          <w:left w:w="28" w:type="dxa"/>
          <w:bottom w:w="28" w:type="dxa"/>
          <w:right w:w="28" w:type="dxa"/>
        </w:tblCellMar>
      </w:tblPr>
      <w:tblGrid>
        <w:gridCol w:w="196"/>
        <w:gridCol w:w="172"/>
        <w:gridCol w:w="173"/>
        <w:gridCol w:w="253"/>
        <w:gridCol w:w="867"/>
        <w:gridCol w:w="1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w:t>
              <w:br/>
              <w:t>December 31,</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which was fully repaid, on December 31, 2023 in favor of Civeo.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was amended effective March 31, 2023 to, among other things, change the benchmark interest rate for certain U.S. dollar-denominated loans in each of the Australian Revolving Facility, Canadian Revolving Facility, and U.S. Revolving Facility from London Inter-Bank Offered Rate to Term Secured Overnight Financing Rate (SOFR).</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dollar amounts outstanding under the facilities provided by the Credit Agreement bear interest at a variable rate equal to the Term SOFR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net debt to Consolidated EBITDA. Australian dollar amounts outstanding under the Credit Agreement bear interest at a variable rate equal to the Bank Bill Swap Bid Rate plus a margin of 3.00% to 4.00%, based on a ratio of our total net debt to Consolidated EBITDA. The future transition from CDOR as an interest rate benchmark is addressed in the Credit Agreement and at such time the transition from CDOR takes place, an alternate benchmark will be established based on the first alternative of the following, plus a benchmark replacement adjustment, Term Canadian Overnight Repo Rate Average (CORRA) and Compound CORRA.</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December 31, 2023. </w:t>
      </w:r>
    </w:p>
    <w:p>
      <w:pPr>
        <w:pStyle w:val="TextBody"/>
        <w:bidi w:val="0"/>
        <w:spacing w:lineRule="auto" w:line="268" w:before="0" w:after="0"/>
        <w:ind w:left="0" w:right="0" w:firstLine="540"/>
        <w:jc w:val="both"/>
        <w:rPr>
          <w:color w:val="000000"/>
        </w:rPr>
      </w:pPr>
      <w:r>
        <w:rPr>
          <w:color w:val="000000"/>
        </w:rPr>
        <w:t> </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are secured by a pledge of substantially all of our assets and the assets of our subsidiaries subject to customary exceptions. The obligations under the Credit Agreement are guaranteed by our significant subsidiaries. As of December 31, 2023, we had seven lenders that were parties to the Credit Agreement, with total revolving commitments ranging from $16.1 million to $37.1 million. As of December 31, 2023, we had outstanding letters of credit of $0.3 million under the U.S. facility, zero under the Australian facility and $1.1 million under the Canadian facility. We also had outstanding bank guarantees of A$0.8 million under the Australian facility.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12.ASSET RETIREMENT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AROs at December 31, 2023 and 2022 were (in thousands): </w:t>
      </w:r>
    </w:p>
    <w:tbl>
      <w:tblPr>
        <w:tblW w:w="7298" w:type="dxa"/>
        <w:jc w:val="center"/>
        <w:tblInd w:w="0" w:type="dxa"/>
        <w:tblLayout w:type="fixed"/>
        <w:tblCellMar>
          <w:top w:w="28" w:type="dxa"/>
          <w:left w:w="28" w:type="dxa"/>
          <w:bottom w:w="28" w:type="dxa"/>
          <w:right w:w="28" w:type="dxa"/>
        </w:tblCellMar>
      </w:tblPr>
      <w:tblGrid>
        <w:gridCol w:w="1754"/>
        <w:gridCol w:w="1541"/>
        <w:gridCol w:w="1549"/>
        <w:gridCol w:w="211"/>
        <w:gridCol w:w="721"/>
        <w:gridCol w:w="109"/>
        <w:gridCol w:w="109"/>
        <w:gridCol w:w="109"/>
        <w:gridCol w:w="109"/>
        <w:gridCol w:w="211"/>
        <w:gridCol w:w="721"/>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Asset retirement obligations due within one year </w:t>
            </w:r>
            <w:r>
              <w:rPr>
                <w:rFonts w:ascii="Times New Roman;sans-serif" w:hAnsi="Times New Roman;sans-serif"/>
                <w:b w:val="false"/>
                <w:color w:val="000000"/>
                <w:sz w:val="13"/>
              </w:rPr>
              <w:t>(1)</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Classified as a current liability on the consolidated balance sheets, under the caption “Other current liabilities.” Balance at December 31, 2023 related to remediation work planned for 2024. </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accretion expense related to AROs was $1.1 million, $1.8 million and $1.4 million during the years ended December 31, 2023, 2022 and 2021, respectively.</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our ARO changed as follows (in thousands): </w:t>
      </w:r>
    </w:p>
    <w:tbl>
      <w:tblPr>
        <w:tblW w:w="7512" w:type="dxa"/>
        <w:jc w:val="center"/>
        <w:tblInd w:w="0" w:type="dxa"/>
        <w:tblLayout w:type="fixed"/>
        <w:tblCellMar>
          <w:top w:w="28" w:type="dxa"/>
          <w:left w:w="28" w:type="dxa"/>
          <w:bottom w:w="28" w:type="dxa"/>
          <w:right w:w="28" w:type="dxa"/>
        </w:tblCellMar>
      </w:tblPr>
      <w:tblGrid>
        <w:gridCol w:w="1337"/>
        <w:gridCol w:w="1172"/>
        <w:gridCol w:w="1181"/>
        <w:gridCol w:w="211"/>
        <w:gridCol w:w="721"/>
        <w:gridCol w:w="109"/>
        <w:gridCol w:w="109"/>
        <w:gridCol w:w="109"/>
        <w:gridCol w:w="109"/>
        <w:gridCol w:w="211"/>
        <w:gridCol w:w="721"/>
        <w:gridCol w:w="109"/>
        <w:gridCol w:w="109"/>
        <w:gridCol w:w="109"/>
        <w:gridCol w:w="109"/>
        <w:gridCol w:w="211"/>
        <w:gridCol w:w="72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 of existing obligations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13.RETIREMENT PLANS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various defined contribution plans. Participation in these plans is available to substantially all employees.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 We recognized expense of $10.2 million, $8.2 million and $7.6 million related to matching contributions under our various defined contribution plans during the years ended December 31, 2023, 2022 and 2021,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Canadian Retirement Savings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2023 was C$15,780.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The two plans work in tandem. Contributions to the “Retirement Savings Plan” for Canadian employees are subject to the annual maximum total registered savings limit of C$30,780 in 2023 as set out in the Canadian Tax Act.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Australian Retirement Savings Plan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subsidiary contributes to various defined contribution plans for its employees in accordance with legislation governing the calculation of the Superannuation Guarantee Surcharge (SGC). SGC is contributed by the employer at a rate of 10.5% of the base salary of an employee, capped at the legislated maximum contribution base which is indexed annually.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subsidiary makes no investment decisions on behalf of the employee and has no obligations other than to remit the defined contributions to the plan selected by each individual employee.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 Retirement Savings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40% after two years of service and 20% per year for each of the employee’s next three years of service and are fully vested thereafter.</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14.INCOME TAXES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Income tax</w:t>
      </w:r>
      <w:r>
        <w:rPr>
          <w:color w:val="000000"/>
        </w:rPr>
        <w:t xml:space="preserve"> </w:t>
      </w:r>
      <w:r>
        <w:rPr>
          <w:rFonts w:ascii="Times New Roman;sans-serif" w:hAnsi="Times New Roman;sans-serif"/>
          <w:b/>
          <w:i/>
          <w:color w:val="000000"/>
          <w:sz w:val="20"/>
        </w:rPr>
        <w:t>expense</w:t>
      </w:r>
      <w:r>
        <w:rPr>
          <w:color w:val="000000"/>
        </w:rPr>
        <w:t xml:space="preserve"> </w:t>
      </w:r>
      <w:r>
        <w:rPr>
          <w:rFonts w:ascii="Times New Roman;sans-serif" w:hAnsi="Times New Roman;sans-serif"/>
          <w:b w:val="false"/>
          <w:color w:val="000000"/>
          <w:sz w:val="20"/>
        </w:rPr>
        <w:t>(</w:t>
      </w:r>
      <w:r>
        <w:rPr>
          <w:rFonts w:ascii="Times New Roman;sans-serif" w:hAnsi="Times New Roman;sans-serif"/>
          <w:b/>
          <w:i/>
          <w:color w:val="000000"/>
          <w:sz w:val="20"/>
        </w:rPr>
        <w:t>benefit).</w:t>
      </w:r>
      <w:r>
        <w:rPr>
          <w:color w:val="000000"/>
        </w:rPr>
        <w:t xml:space="preserve"> </w:t>
      </w:r>
      <w:r>
        <w:rPr>
          <w:rFonts w:ascii="Times New Roman;sans-serif" w:hAnsi="Times New Roman;sans-serif"/>
          <w:b w:val="false"/>
          <w:color w:val="000000"/>
          <w:sz w:val="20"/>
        </w:rPr>
        <w:t>Pre-tax income (loss) for the years ended December 31, 2023, 2022 and 2021 consisted of the following (in thousands): </w:t>
      </w:r>
    </w:p>
    <w:tbl>
      <w:tblPr>
        <w:tblW w:w="5441" w:type="dxa"/>
        <w:jc w:val="center"/>
        <w:tblInd w:w="0" w:type="dxa"/>
        <w:tblLayout w:type="fixed"/>
        <w:tblCellMar>
          <w:top w:w="28" w:type="dxa"/>
          <w:left w:w="28" w:type="dxa"/>
          <w:bottom w:w="28" w:type="dxa"/>
          <w:right w:w="28" w:type="dxa"/>
        </w:tblCellMar>
      </w:tblPr>
      <w:tblGrid>
        <w:gridCol w:w="624"/>
        <w:gridCol w:w="549"/>
        <w:gridCol w:w="551"/>
        <w:gridCol w:w="211"/>
        <w:gridCol w:w="721"/>
        <w:gridCol w:w="109"/>
        <w:gridCol w:w="109"/>
        <w:gridCol w:w="109"/>
        <w:gridCol w:w="109"/>
        <w:gridCol w:w="211"/>
        <w:gridCol w:w="721"/>
        <w:gridCol w:w="109"/>
        <w:gridCol w:w="109"/>
        <w:gridCol w:w="109"/>
        <w:gridCol w:w="109"/>
        <w:gridCol w:w="211"/>
        <w:gridCol w:w="61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operations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expense (benefit) for the years ended December 31, 2023, 2022 and 2021 consisted of the following (in thousands): </w:t>
      </w:r>
    </w:p>
    <w:tbl>
      <w:tblPr>
        <w:tblW w:w="6401" w:type="dxa"/>
        <w:jc w:val="center"/>
        <w:tblInd w:w="0" w:type="dxa"/>
        <w:tblLayout w:type="fixed"/>
        <w:tblCellMar>
          <w:top w:w="28" w:type="dxa"/>
          <w:left w:w="28" w:type="dxa"/>
          <w:bottom w:w="28" w:type="dxa"/>
          <w:right w:w="28" w:type="dxa"/>
        </w:tblCellMar>
      </w:tblPr>
      <w:tblGrid>
        <w:gridCol w:w="1007"/>
        <w:gridCol w:w="885"/>
        <w:gridCol w:w="897"/>
        <w:gridCol w:w="211"/>
        <w:gridCol w:w="721"/>
        <w:gridCol w:w="109"/>
        <w:gridCol w:w="109"/>
        <w:gridCol w:w="109"/>
        <w:gridCol w:w="109"/>
        <w:gridCol w:w="211"/>
        <w:gridCol w:w="616"/>
        <w:gridCol w:w="109"/>
        <w:gridCol w:w="109"/>
        <w:gridCol w:w="109"/>
        <w:gridCol w:w="109"/>
        <w:gridCol w:w="211"/>
        <w:gridCol w:w="61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Canada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Canada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 expense (benefit)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income tax expense (benefit) differs from an amount computed at Canadian statutory rates as follows for the years ended December 31, 2023, 2022 and 2021 (in thousands):</w:t>
      </w:r>
    </w:p>
    <w:tbl>
      <w:tblPr>
        <w:tblW w:w="10205" w:type="dxa"/>
        <w:jc w:val="center"/>
        <w:tblInd w:w="0" w:type="dxa"/>
        <w:tblLayout w:type="fixed"/>
        <w:tblCellMar>
          <w:top w:w="28" w:type="dxa"/>
          <w:left w:w="28" w:type="dxa"/>
          <w:bottom w:w="28" w:type="dxa"/>
          <w:right w:w="28" w:type="dxa"/>
        </w:tblCellMar>
      </w:tblPr>
      <w:tblGrid>
        <w:gridCol w:w="1286"/>
        <w:gridCol w:w="911"/>
        <w:gridCol w:w="914"/>
        <w:gridCol w:w="211"/>
        <w:gridCol w:w="721"/>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76"/>
        <w:gridCol w:w="278"/>
        <w:gridCol w:w="271"/>
        <w:gridCol w:w="157"/>
      </w:tblGrid>
      <w:tr>
        <w:trPr/>
        <w:tc>
          <w:tcPr>
            <w:tcW w:w="12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tax benefit at statutory rates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provincial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income tax,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allowance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intercompany foreign currency translation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income from foreign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140"/>
        <w:ind w:left="0" w:right="0" w:firstLine="540"/>
        <w:jc w:val="both"/>
        <w:rPr/>
      </w:pPr>
      <w:r>
        <w:rPr>
          <w:rFonts w:ascii="Times New Roman;sans-serif" w:hAnsi="Times New Roman;sans-serif"/>
          <w:b/>
          <w:i/>
          <w:color w:val="000000"/>
          <w:sz w:val="20"/>
        </w:rPr>
        <w:t>Deferred Tax Liabilities and Assets.</w:t>
      </w:r>
      <w:r>
        <w:rPr>
          <w:color w:val="000000"/>
        </w:rPr>
        <w:t xml:space="preserve"> </w:t>
      </w:r>
      <w:r>
        <w:rPr>
          <w:rFonts w:ascii="Times New Roman;sans-serif" w:hAnsi="Times New Roman;sans-serif"/>
          <w:b w:val="false"/>
          <w:color w:val="000000"/>
          <w:sz w:val="20"/>
        </w:rPr>
        <w:t>The significant items giving rise to the deferred tax assets and liabilities as of December 31, 2023 and 2022 are as follows (in thousands): </w:t>
      </w:r>
    </w:p>
    <w:tbl>
      <w:tblPr>
        <w:tblW w:w="6736" w:type="dxa"/>
        <w:jc w:val="center"/>
        <w:tblInd w:w="0" w:type="dxa"/>
        <w:tblLayout w:type="fixed"/>
        <w:tblCellMar>
          <w:top w:w="28" w:type="dxa"/>
          <w:left w:w="28" w:type="dxa"/>
          <w:bottom w:w="28" w:type="dxa"/>
          <w:right w:w="28" w:type="dxa"/>
        </w:tblCellMar>
      </w:tblPr>
      <w:tblGrid>
        <w:gridCol w:w="1377"/>
        <w:gridCol w:w="1206"/>
        <w:gridCol w:w="1212"/>
        <w:gridCol w:w="211"/>
        <w:gridCol w:w="796"/>
        <w:gridCol w:w="109"/>
        <w:gridCol w:w="109"/>
        <w:gridCol w:w="109"/>
        <w:gridCol w:w="109"/>
        <w:gridCol w:w="211"/>
        <w:gridCol w:w="796"/>
        <w:gridCol w:w="491"/>
      </w:tblGrid>
      <w:tr>
        <w:trPr/>
        <w:tc>
          <w:tcPr>
            <w:tcW w:w="137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Deductible goodwill and other intangibles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reserves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(20,098)</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(67,405)</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54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we had no undistributed earnings of foreign subsidiaries that would be subject to income tax upon distribution to Canada from a foreign subsidiary. As such, as of December 31, 2023 and 2022, we did not provide for deferred taxes on any such earnings of our foreign subsidiaries.</w:t>
      </w:r>
    </w:p>
    <w:p>
      <w:pPr>
        <w:pStyle w:val="TextBody"/>
        <w:bidi w:val="0"/>
        <w:spacing w:before="0" w:after="0"/>
        <w:ind w:left="0" w:right="0" w:firstLine="18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NOL Carryforwards.</w:t>
      </w:r>
      <w:r>
        <w:rPr>
          <w:color w:val="000000"/>
        </w:rPr>
        <w:t xml:space="preserve"> </w:t>
      </w:r>
      <w:r>
        <w:rPr>
          <w:rFonts w:ascii="Times New Roman;sans-serif" w:hAnsi="Times New Roman;sans-serif"/>
          <w:b w:val="false"/>
          <w:color w:val="000000"/>
          <w:sz w:val="20"/>
        </w:rPr>
        <w:t>The following table summarizes net operating loss (NOL) carryforwards at December 31, 2023 (in thousands): </w:t>
      </w:r>
    </w:p>
    <w:tbl>
      <w:tblPr>
        <w:tblW w:w="6422" w:type="dxa"/>
        <w:jc w:val="center"/>
        <w:tblInd w:w="0" w:type="dxa"/>
        <w:tblLayout w:type="fixed"/>
        <w:tblCellMar>
          <w:top w:w="28" w:type="dxa"/>
          <w:left w:w="28" w:type="dxa"/>
          <w:bottom w:w="28" w:type="dxa"/>
          <w:right w:w="28" w:type="dxa"/>
        </w:tblCellMar>
      </w:tblPr>
      <w:tblGrid>
        <w:gridCol w:w="1009"/>
        <w:gridCol w:w="888"/>
        <w:gridCol w:w="892"/>
        <w:gridCol w:w="211"/>
        <w:gridCol w:w="826"/>
        <w:gridCol w:w="109"/>
        <w:gridCol w:w="109"/>
        <w:gridCol w:w="109"/>
        <w:gridCol w:w="109"/>
        <w:gridCol w:w="631"/>
        <w:gridCol w:w="631"/>
        <w:gridCol w:w="898"/>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Period</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 Federal and provincial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2035</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2036</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tax effected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2024</w:t>
            </w:r>
          </w:p>
        </w:tc>
      </w:tr>
    </w:tbl>
    <w:p>
      <w:pPr>
        <w:pStyle w:val="TextBody"/>
        <w:bidi w:val="0"/>
        <w:spacing w:lineRule="auto" w:line="288" w:before="0" w:after="0"/>
        <w:ind w:left="0" w:right="0" w:firstLine="5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ind w:left="0" w:right="0" w:firstLine="540"/>
        <w:jc w:val="both"/>
        <w:rPr/>
      </w:pPr>
      <w:r>
        <w:rPr>
          <w:rFonts w:ascii="Times New Roman;sans-serif" w:hAnsi="Times New Roman;sans-serif"/>
          <w:b/>
          <w:i/>
          <w:color w:val="000000"/>
          <w:sz w:val="20"/>
        </w:rPr>
        <w:t>Change in Valuation Allowance.</w:t>
      </w:r>
      <w:r>
        <w:rPr>
          <w:color w:val="000000"/>
        </w:rPr>
        <w:t xml:space="preserve"> </w:t>
      </w:r>
      <w:r>
        <w:rPr>
          <w:rFonts w:ascii="Times New Roman;sans-serif" w:hAnsi="Times New Roman;sans-serif"/>
          <w:b w:val="false"/>
          <w:color w:val="000000"/>
          <w:sz w:val="20"/>
        </w:rPr>
        <w:t>Realization of our deferred tax assets is dependent upon, among other things, our ability to generate taxable income of the appropriate character in the future.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valuation allowance for the years ended December 31, 2023 and 2022 are as follows (in thousands): </w:t>
      </w:r>
    </w:p>
    <w:tbl>
      <w:tblPr>
        <w:tblW w:w="3980" w:type="dxa"/>
        <w:jc w:val="center"/>
        <w:tblInd w:w="0" w:type="dxa"/>
        <w:tblLayout w:type="fixed"/>
        <w:tblCellMar>
          <w:top w:w="28" w:type="dxa"/>
          <w:left w:w="28" w:type="dxa"/>
          <w:bottom w:w="28" w:type="dxa"/>
          <w:right w:w="28" w:type="dxa"/>
        </w:tblCellMar>
      </w:tblPr>
      <w:tblGrid>
        <w:gridCol w:w="1021"/>
        <w:gridCol w:w="896"/>
        <w:gridCol w:w="902"/>
        <w:gridCol w:w="211"/>
        <w:gridCol w:w="79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management considers new evidence, both positive and negative, that could affect our view of the future realization of deferred tax assets. As of December 31, 2023, management determined that there is not sufficient evidence to conclude that it is more likely than not that the Canadian and U.S. net deferred tax assets are realizable, therefore we have maintained the valuation allowance in both of these jurisdictions. As of December 31, 2023, management determined that there is not sufficient evidence to conclude that it is more likely than not that the Australia deferred tax assets related to certain capital assets are realizable, therefore we have maintained a partial valuation allowance in Australia.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Unrecognized Tax Benefits.</w:t>
      </w:r>
      <w:r>
        <w:rPr>
          <w:color w:val="000000"/>
        </w:rPr>
        <w:t xml:space="preserve"> </w:t>
      </w:r>
      <w:r>
        <w:rPr>
          <w:rFonts w:ascii="Times New Roman;sans-serif" w:hAnsi="Times New Roman;sans-serif"/>
          <w:b w:val="false"/>
          <w:color w:val="000000"/>
          <w:sz w:val="20"/>
        </w:rPr>
        <w:t>We file tax returns in the jurisdictions in which they are required. All of these returns are subject to examination or audit 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federal tax returns subsequent to 2018 are subject to audit by the Canada Revenue Agency. Our Australian subsidiary’s federal income tax returns subsequent to 2018 are open for review by the Australian Taxation Office. Our U.S. subsidiary’s federal tax returns subsequent to 2019 are subject to audit by the U.S. Internal Revenue Service.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of unrecognized tax benefits as of December 31, 2023, 2022 and 2021 was zero. Unrecognized tax benefits, if recognized, would affect the effective tax rate. We accrue interest and penalties, if applicable, related to unrecognized tax benefits as a component of our provision for income taxes. As of December 31, 2023, 2022 and 2021, we had accrued zero of interest expense and penalties.</w:t>
      </w:r>
    </w:p>
    <w:p>
      <w:pPr>
        <w:pStyle w:val="TextBody"/>
        <w:bidi w:val="0"/>
        <w:spacing w:lineRule="auto" w:line="288" w:before="0" w:after="0"/>
        <w:ind w:left="0" w:right="0" w:firstLine="18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15.COMMITMENTS AND CONTINGENCIES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16.PREFERRED SHARES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 2018, we issued 9,679 Series A preferred shares as part of the acquisition of Noralta Lodge Ltd. (Noralta Acquisition). The Series A preferred shares had an initial liquidation preference of $10,000 per share. Holders of the Series A preferred shares were entitled to receive a 2% annual dividend on the liquidation preference paid quarterly in cash or, at our option, by increasing the Series A preferred shares’ liquidation preference or any combination thereof. During the fourth quarter of 2018, 637 Series A preferred shares initially held in escrow to support certain obligations of the Noralta Acquisition were released. On October 30, 2022, 3,617 Series A preferred shares were repurchased from the holders for approximately $30.6 million, which included accrued dividends of under $0.1 million. On December 13, 2022, the holders of the Series A preferred shares elected to convert the remaining 5,425 Series A preferred shares outstanding into 1,504,539 common shares. As of December 31, 2022, we had no Series A preferred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2022 and 2021, we recognized preferred dividends on the Series A preferred shares as follows (in thousands): </w:t>
      </w:r>
    </w:p>
    <w:tbl>
      <w:tblPr>
        <w:tblW w:w="6565" w:type="dxa"/>
        <w:jc w:val="center"/>
        <w:tblInd w:w="0" w:type="dxa"/>
        <w:tblLayout w:type="fixed"/>
        <w:tblCellMar>
          <w:top w:w="28" w:type="dxa"/>
          <w:left w:w="28" w:type="dxa"/>
          <w:bottom w:w="28" w:type="dxa"/>
          <w:right w:w="28" w:type="dxa"/>
        </w:tblCellMar>
      </w:tblPr>
      <w:tblGrid>
        <w:gridCol w:w="1406"/>
        <w:gridCol w:w="1236"/>
        <w:gridCol w:w="1243"/>
        <w:gridCol w:w="109"/>
        <w:gridCol w:w="109"/>
        <w:gridCol w:w="109"/>
        <w:gridCol w:w="109"/>
        <w:gridCol w:w="211"/>
        <w:gridCol w:w="616"/>
        <w:gridCol w:w="109"/>
        <w:gridCol w:w="109"/>
        <w:gridCol w:w="109"/>
        <w:gridCol w:w="109"/>
        <w:gridCol w:w="211"/>
        <w:gridCol w:w="61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In-kind dividends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 on repurchased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(Board) elected to pay the dividends beginning June 30, 2018 through December 12, 2022 through an increase in the liquidation preference rather than in cash. The paid-in-kind dividend of $1.7 million and $1.9 million is included in Preferred dividends on the accompanying consolidated statements of operations for the years ended December 31, 2022 and 2021, respectively. On December 13, 2022, the holders of the Series A preferred shares converted all outstanding Series A preferred shares into common shares. Following such conversion, no further dividends were required to be paid.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17.</w:t>
      </w:r>
      <w:r>
        <w:rPr>
          <w:color w:val="000000"/>
        </w:rPr>
        <w:t xml:space="preserve"> </w:t>
      </w:r>
      <w:r>
        <w:rPr>
          <w:rFonts w:ascii="Times New Roman;sans-serif" w:hAnsi="Times New Roman;sans-serif"/>
          <w:b/>
          <w:color w:val="000000"/>
          <w:sz w:val="20"/>
        </w:rPr>
        <w:t>SHARE REPURCHASE PROGRAMS AND DIVIDENDS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2022 and 2021, our Board authorized common share repurchase programs to repurchase up to 5.0% of our total common shares which were issued and outstanding, or approximately 742,000, 685,000 and 715,000 common shares, respectively, over a twelve month period.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Consolidated Statements of Changes in Shareholders’ Equity in the period the payment is made.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share repurchases pursuant to our share repurchase programs (in thousands, except per share data).</w:t>
      </w:r>
    </w:p>
    <w:p>
      <w:pPr>
        <w:pStyle w:val="TextBody"/>
        <w:bidi w:val="0"/>
        <w:spacing w:before="0" w:after="0"/>
        <w:ind w:left="0" w:right="0" w:firstLine="540"/>
        <w:jc w:val="both"/>
        <w:rPr/>
      </w:pPr>
      <w:r>
        <w:rPr/>
      </w:r>
    </w:p>
    <w:tbl>
      <w:tblPr>
        <w:tblW w:w="6207" w:type="dxa"/>
        <w:jc w:val="center"/>
        <w:tblInd w:w="0" w:type="dxa"/>
        <w:tblLayout w:type="fixed"/>
        <w:tblCellMar>
          <w:top w:w="28" w:type="dxa"/>
          <w:left w:w="28" w:type="dxa"/>
          <w:bottom w:w="28" w:type="dxa"/>
          <w:right w:w="28" w:type="dxa"/>
        </w:tblCellMar>
      </w:tblPr>
      <w:tblGrid>
        <w:gridCol w:w="938"/>
        <w:gridCol w:w="828"/>
        <w:gridCol w:w="829"/>
        <w:gridCol w:w="211"/>
        <w:gridCol w:w="721"/>
        <w:gridCol w:w="109"/>
        <w:gridCol w:w="109"/>
        <w:gridCol w:w="109"/>
        <w:gridCol w:w="109"/>
        <w:gridCol w:w="211"/>
        <w:gridCol w:w="616"/>
        <w:gridCol w:w="109"/>
        <w:gridCol w:w="109"/>
        <w:gridCol w:w="109"/>
        <w:gridCol w:w="109"/>
        <w:gridCol w:w="211"/>
        <w:gridCol w:w="61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Dollar-value of shares repurchased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shares repurchased pursuant to our share repurchase programs, we repurchased 374,753 common shares from a shareholder for approximately $10.7 million during the three months ended September 30, 2022.</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a quarterly dividend on October 27, 2023 of $0.25 per common share to shareholders of record as of close of business on November 27, 2023. The total cash payment of $3.7 million was paid on December 18, 2023. Our Board declared a quarterly dividend on September 5, 2023 of $0.25 per common share to shareholders of record as of close of business on September 15, 2023. The total cash payment of $3.7 million was paid on September 29, 2023. The dividends are eligible dividends pursuant to the Income Tax Act (Canada).</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18.ACCUMULATED OTHER COMPREHENSIVE LOSS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accumulated other comprehensive loss decreased $4.5 million from $385.2 million at December 31, 2022 to $380.7 million at December 31, 2023, as a result of foreign currency exchange rate fluctuations. Changes in other comprehensive loss during 2023 were primarily driven by the Australian dollar and Canadian dollar increasing in value compared to the U.S. dollar. Excluding intercompany balances, our Canadian dollar and Australian dollar functional currency net assets totaled approximately C$234 million and A$205 million, respectively, at December 31, 2023.</w:t>
      </w:r>
    </w:p>
    <w:p>
      <w:pPr>
        <w:pStyle w:val="TextBody"/>
        <w:bidi w:val="0"/>
        <w:spacing w:lineRule="auto" w:line="288" w:before="0" w:after="0"/>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19.SHARE-BASED COMPENSATION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awards, phantom share units and dividend equivalents, awards of deferred shares, and share payments to our employees and non-employee directors. No more than 3.0 million Civeo common shares are authorized to be issued under the Civeo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recognized in the years ended December 31, 2023, 2022 and 2021 totaled $11.8 million, $14.9 million and $9.9 million, respectively. Share-based compensation expense is reflected in Selling, general and administrative expense in our consolidated statements of operations. The total income tax benefit recognized in the consolidated statements of operations for share-based compensation arrangements was approximately $0.6 million, $0.8 million and $0.5 million for the years ended December 31, 2023, 2022 and 2021,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Phantom Share Units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grant phantom share unit awards, which vest a third per year over a three year period. Each phantom share unit award is equal in value to one common share. Upon vesting, each recipient will receive a lump sum cash payment equal to the fair market value of a common share on the respective vesting date in respect of each phantom share unit then vesting. These awards are accounted for as a liability that is remeasured at each reporting date until paid.</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phantom share unit awards outstanding and related information for our employees during the years ended December 31, 2023, 2022 and 2021:</w:t>
      </w:r>
    </w:p>
    <w:p>
      <w:pPr>
        <w:pStyle w:val="TextBody"/>
        <w:bidi w:val="0"/>
        <w:spacing w:lineRule="auto" w:line="288" w:before="0" w:after="0"/>
        <w:ind w:left="0" w:right="0" w:firstLine="180"/>
        <w:jc w:val="left"/>
        <w:rPr>
          <w:color w:val="000000"/>
        </w:rPr>
      </w:pPr>
      <w:r>
        <w:rPr>
          <w:color w:val="000000"/>
        </w:rPr>
        <w:t> </w:t>
      </w:r>
    </w:p>
    <w:tbl>
      <w:tblPr>
        <w:tblW w:w="5085" w:type="dxa"/>
        <w:jc w:val="center"/>
        <w:tblInd w:w="0" w:type="dxa"/>
        <w:tblLayout w:type="fixed"/>
        <w:tblCellMar>
          <w:top w:w="28" w:type="dxa"/>
          <w:left w:w="28" w:type="dxa"/>
          <w:bottom w:w="28" w:type="dxa"/>
          <w:right w:w="28" w:type="dxa"/>
        </w:tblCellMar>
      </w:tblPr>
      <w:tblGrid>
        <w:gridCol w:w="1212"/>
        <w:gridCol w:w="1063"/>
        <w:gridCol w:w="1070"/>
        <w:gridCol w:w="509"/>
        <w:gridCol w:w="509"/>
        <w:gridCol w:w="722"/>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2020</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458,175 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354,535 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(163,499)</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622,130 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335,098 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(270,382)</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2022</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659,288 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229,845 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(335,178)</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2023</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520,561 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balance of the liability for the phantom share awards was $5.7 million.  For the years ended December 31, 2023, 2022 and 2021, we made phantom share cash payments of $10.4 million, $6.0 million and $3.1 million, respectively. At December 31, 2023, unrecognized compensation cost related to phantom shares was $6.5 million, as remeasured at December 31, 2023, which is expected to be recognized over a weighted average period of 1.6 years. The weighted average grant-date fair value per share of phantom shares granted during the years ended December 31, 2023, 2022 and 2021 was $31.05, $21.97 and $19.80, respectively.</w: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i/>
          <w:color w:val="000000"/>
          <w:sz w:val="20"/>
        </w:rPr>
        <w:t>Performance</w:t>
      </w:r>
      <w:r>
        <w:rPr>
          <w:color w:val="000000"/>
        </w:rPr>
        <w:t xml:space="preserve"> </w:t>
      </w:r>
      <w:r>
        <w:rPr>
          <w:rFonts w:ascii="Times New Roman;sans-serif" w:hAnsi="Times New Roman;sans-serif"/>
          <w:b/>
          <w:i/>
          <w:color w:val="000000"/>
          <w:sz w:val="20"/>
        </w:rPr>
        <w:t>Share Awards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 performance share awards, which cliff vest after three years subject to attainment of applicable performance goals. Awards granted in 2023 and 2022 will be earned in amounts between 0% and 200% of the participant’s target performance share award, based equally on (i) the payout percentage associated with Civeo’s relative TSR rank among a peer group of other companies and (ii) the payout percentage associated with Civeo's cumulative operating cash flow over the performance period relative to a preset target. Awards granted in 2021 are earned in amounts between 0% and 200% of the participant’s target performance share award, based on (i) the payout percentage associated with Civeo’s relative TSR rank among a peer group of other companies and (ii) the payout percentage associated with Civeo's cumulative free cash flow over the performance period relative to a preset target. The grant-date fair value of the portion of the performance awards tied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cumulative operating cash flow and free cash flow is based on target achievement and the closing market price of our common shares on the date of grant. We evaluate the probability of achieving the performance goals throughout the performance period and will adjust share-based compensation expense based on the number of shares expected to vest based on our estimate of the most probable performance outcome.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TSR portion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did not pay dividends when the awards were granted. The expected market price volatility of our common shares was based on an estimate that considers the historical and implied volatility of our common shares as well as a peer group of companies over a time period equal to the expected term of the award. The initial TSR performance was based on historical performance of our common shares and the peer group’s common shares. </w:t>
      </w:r>
    </w:p>
    <w:p>
      <w:pPr>
        <w:pStyle w:val="TextBody"/>
        <w:bidi w:val="0"/>
        <w:spacing w:before="0" w:after="0"/>
        <w:ind w:left="0" w:right="0" w:firstLine="540"/>
        <w:jc w:val="both"/>
        <w:rPr/>
      </w:pPr>
      <w:r>
        <w:rPr/>
      </w:r>
    </w:p>
    <w:tbl>
      <w:tblPr>
        <w:tblW w:w="5749" w:type="dxa"/>
        <w:jc w:val="center"/>
        <w:tblInd w:w="0" w:type="dxa"/>
        <w:tblLayout w:type="fixed"/>
        <w:tblCellMar>
          <w:top w:w="28" w:type="dxa"/>
          <w:left w:w="28" w:type="dxa"/>
          <w:bottom w:w="28" w:type="dxa"/>
          <w:right w:w="28" w:type="dxa"/>
        </w:tblCellMar>
      </w:tblPr>
      <w:tblGrid>
        <w:gridCol w:w="955"/>
        <w:gridCol w:w="839"/>
        <w:gridCol w:w="845"/>
        <w:gridCol w:w="255"/>
        <w:gridCol w:w="256"/>
        <w:gridCol w:w="292"/>
        <w:gridCol w:w="109"/>
        <w:gridCol w:w="109"/>
        <w:gridCol w:w="109"/>
        <w:gridCol w:w="255"/>
        <w:gridCol w:w="256"/>
        <w:gridCol w:w="292"/>
        <w:gridCol w:w="109"/>
        <w:gridCol w:w="109"/>
        <w:gridCol w:w="109"/>
        <w:gridCol w:w="255"/>
        <w:gridCol w:w="256"/>
        <w:gridCol w:w="339"/>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weighted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TSR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performance share awards outstanding and related information for our employees during the year ended December 31, 2023, 2022 and 2021: </w:t>
      </w:r>
    </w:p>
    <w:tbl>
      <w:tblPr>
        <w:tblW w:w="6407" w:type="dxa"/>
        <w:jc w:val="center"/>
        <w:tblInd w:w="0" w:type="dxa"/>
        <w:tblLayout w:type="fixed"/>
        <w:tblCellMar>
          <w:top w:w="28" w:type="dxa"/>
          <w:left w:w="28" w:type="dxa"/>
          <w:bottom w:w="28" w:type="dxa"/>
          <w:right w:w="28" w:type="dxa"/>
        </w:tblCellMar>
      </w:tblPr>
      <w:tblGrid>
        <w:gridCol w:w="1212"/>
        <w:gridCol w:w="1063"/>
        <w:gridCol w:w="1070"/>
        <w:gridCol w:w="449"/>
        <w:gridCol w:w="451"/>
        <w:gridCol w:w="336"/>
        <w:gridCol w:w="109"/>
        <w:gridCol w:w="109"/>
        <w:gridCol w:w="109"/>
        <w:gridCol w:w="322"/>
        <w:gridCol w:w="942"/>
        <w:gridCol w:w="235"/>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br/>
              <w:t>Per Share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2020</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(1)</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(2)</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color w:val="000000"/>
              </w:rPr>
              <w:t xml:space="preserve"> </w:t>
            </w:r>
            <w:r>
              <w:rPr>
                <w:rFonts w:ascii="Times New Roman;sans-serif" w:hAnsi="Times New Roman;sans-serif"/>
                <w:b w:val="false"/>
                <w:color w:val="000000"/>
                <w:sz w:val="13"/>
              </w:rPr>
              <w:t>(3)</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2023</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332,001 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Related to 2018 performance share awards that vested in 2021, which were paid out at 150% based on Civeo's TSR rank.</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Related to 2019 performance share awards that vested in 2022, which were paid out at 126% based on Civeo's TSR rank.</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No performance share awards vested in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we recognized compensation expense associated with performance share awards totaling $3.4 million, $2.6 million and $2.4 million, respectively. At December 31, 2023, unrecognized compensation cost related to performance share awards was $3.8 million, which is expected to be recognized over a weighted average period of 1.7 years.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ind w:left="0" w:right="0" w:firstLine="540"/>
        <w:jc w:val="left"/>
        <w:rPr/>
      </w:pPr>
      <w:r>
        <w:rPr>
          <w:rFonts w:ascii="Times New Roman;sans-serif" w:hAnsi="Times New Roman;sans-serif"/>
          <w:b/>
          <w:i/>
          <w:color w:val="000000"/>
          <w:sz w:val="20"/>
        </w:rPr>
        <w:t>Restricted Share</w:t>
      </w:r>
      <w:r>
        <w:rPr>
          <w:color w:val="000000"/>
        </w:rPr>
        <w:t xml:space="preserve"> </w:t>
      </w:r>
      <w:r>
        <w:rPr>
          <w:rFonts w:ascii="Times New Roman;sans-serif" w:hAnsi="Times New Roman;sans-serif"/>
          <w:b/>
          <w:i/>
          <w:color w:val="000000"/>
          <w:sz w:val="20"/>
        </w:rPr>
        <w:t>Awards/ Restricted Share Units/ Deferred Share</w:t>
      </w:r>
      <w:r>
        <w:rPr>
          <w:color w:val="000000"/>
        </w:rPr>
        <w:t xml:space="preserve"> </w:t>
      </w:r>
      <w:r>
        <w:rPr>
          <w:rFonts w:ascii="Times New Roman;sans-serif" w:hAnsi="Times New Roman;sans-serif"/>
          <w:b/>
          <w:i/>
          <w:color w:val="000000"/>
          <w:sz w:val="20"/>
        </w:rPr>
        <w:t>Awards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restricted share awards, restricted share units and deferred share awards outstanding and related information for our employees and non-employee directors during the years ended December 31, 2023, 2022 and 2021: </w:t>
      </w:r>
    </w:p>
    <w:tbl>
      <w:tblPr>
        <w:tblW w:w="6525" w:type="dxa"/>
        <w:jc w:val="center"/>
        <w:tblInd w:w="0" w:type="dxa"/>
        <w:tblLayout w:type="fixed"/>
        <w:tblCellMar>
          <w:top w:w="28" w:type="dxa"/>
          <w:left w:w="28" w:type="dxa"/>
          <w:bottom w:w="28" w:type="dxa"/>
          <w:right w:w="28" w:type="dxa"/>
        </w:tblCellMar>
      </w:tblPr>
      <w:tblGrid>
        <w:gridCol w:w="1212"/>
        <w:gridCol w:w="1063"/>
        <w:gridCol w:w="1070"/>
        <w:gridCol w:w="414"/>
        <w:gridCol w:w="414"/>
        <w:gridCol w:w="416"/>
        <w:gridCol w:w="109"/>
        <w:gridCol w:w="109"/>
        <w:gridCol w:w="109"/>
        <w:gridCol w:w="328"/>
        <w:gridCol w:w="958"/>
        <w:gridCol w:w="16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br/>
              <w:t>Per Share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2020</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59,027 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(86,290)</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2022</w:t>
            </w:r>
          </w:p>
        </w:tc>
        <w:tc>
          <w:tcPr>
            <w:tcW w:w="8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39,032 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(39,770)</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2023</w:t>
            </w:r>
          </w:p>
        </w:tc>
        <w:tc>
          <w:tcPr>
            <w:tcW w:w="8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49,598 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per share for restricted share awards, restricted share units and deferred share awards granted during 2023, 2022 and 2021 was $21.02, $25.64 and $17.58, respectively. The total fair value of restricted share awards, restricted share units and deferred share awards vested during 2023, 2022 and 2021 was $0.9 million, $2.1 million and $1.5 million, respectively. At December 31, 2023, unrecognized compensation cost related to restricted share awards, restricted share units and deferred share awards was $0.4 million, which is expected to be recognized over a weighted average period of 0.4 years. In addition, at December 31, 2023, all nonvested shares were related to non-employee directors.</w:t>
      </w:r>
    </w:p>
    <w:p>
      <w:pPr>
        <w:pStyle w:val="TextBody"/>
        <w:bidi w:val="0"/>
        <w:spacing w:before="0" w:after="0"/>
        <w:ind w:left="0" w:right="0" w:firstLine="540"/>
        <w:jc w:val="both"/>
        <w:rPr/>
      </w:pPr>
      <w:r>
        <w:rPr/>
      </w:r>
    </w:p>
    <w:p>
      <w:pPr>
        <w:pStyle w:val="TextBody"/>
        <w:bidi w:val="0"/>
        <w:spacing w:lineRule="auto" w:line="288" w:before="0" w:after="0"/>
        <w:jc w:val="left"/>
        <w:rPr/>
      </w:pPr>
      <w:r>
        <w:rPr>
          <w:rFonts w:ascii="Times New Roman;sans-serif" w:hAnsi="Times New Roman;sans-serif"/>
          <w:b/>
          <w:i/>
          <w:color w:val="000000"/>
          <w:sz w:val="20"/>
        </w:rPr>
        <w:t>Options</w:t>
      </w:r>
      <w:r>
        <w:rPr>
          <w:color w:val="000000"/>
        </w:rPr>
        <w:t xml:space="preserve"> </w:t>
      </w:r>
      <w:r>
        <w:rPr>
          <w:rFonts w:ascii="Times New Roman;sans-serif" w:hAnsi="Times New Roman;sans-serif"/>
          <w:b/>
          <w:i/>
          <w:color w:val="000000"/>
          <w:sz w:val="20"/>
        </w:rPr>
        <w:t xml:space="preserve">to Purchase Common Shares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options were awarded or exercised in 2023, 2022 or 2021. We had 287 outstanding options at December 31, 2023 that expire in February 2024 with a weighted average exercise price per share of $262.44. </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no options were exercised in the last three years, the total intrinsic value of options exercised by our employees during 2023, 2022 and 2021 was zero. Additionally, the tax benefits realized for the tax deduction from options exercised during 2023, 2022 and 2021 totaled zero.</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unrecognized compensation cost related to options was zero.</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20.SUPPLEMENTAL CASH FLOW INFORMATION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years ended December 31, 2023, 2022 and 2021 for interest and income taxes was as follows (in thousands): </w:t>
      </w:r>
    </w:p>
    <w:tbl>
      <w:tblPr>
        <w:tblW w:w="7467" w:type="dxa"/>
        <w:jc w:val="center"/>
        <w:tblInd w:w="0" w:type="dxa"/>
        <w:tblLayout w:type="fixed"/>
        <w:tblCellMar>
          <w:top w:w="28" w:type="dxa"/>
          <w:left w:w="28" w:type="dxa"/>
          <w:bottom w:w="28" w:type="dxa"/>
          <w:right w:w="28" w:type="dxa"/>
        </w:tblCellMar>
      </w:tblPr>
      <w:tblGrid>
        <w:gridCol w:w="1397"/>
        <w:gridCol w:w="1227"/>
        <w:gridCol w:w="1231"/>
        <w:gridCol w:w="211"/>
        <w:gridCol w:w="721"/>
        <w:gridCol w:w="109"/>
        <w:gridCol w:w="109"/>
        <w:gridCol w:w="109"/>
        <w:gridCol w:w="109"/>
        <w:gridCol w:w="211"/>
        <w:gridCol w:w="616"/>
        <w:gridCol w:w="109"/>
        <w:gridCol w:w="109"/>
        <w:gridCol w:w="109"/>
        <w:gridCol w:w="109"/>
        <w:gridCol w:w="211"/>
        <w:gridCol w:w="61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taxes paid, net of refunds received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21.ACQUISITIONS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Noralta</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 2018, we acquired the equity of Noralta. As a result of the Noralta Acquisition, we expanded our existing accommodations business in the Canadian oil sands market. The total consideration, which was subject to adjustment in accordance with the terms of the definitive agreement, included (i) C$207.7 million (or approximately US$161.2 million) in cash, subject to customary post-closing adjustments for working capital, indebtedness and transactions expenses, (ii) 2.7 million of our common shares, of which 1.1 million shares were held in escrow and released based on certain conditions related to Noralta customer contracts remaining in place, and (iii) 9,679 Series A preferred shares with an initial liquidation preference of $96.8 million and initially convertible into 2.4 million of our common shares. We funded the cash consideration with cash on hand and borrowings under our revolving credit facility.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quarters of each of 2023, 2022 and 2021, 0.4 million shares were released to the sellers from escrow.</w:t>
      </w:r>
    </w:p>
    <w:p>
      <w:pPr>
        <w:pStyle w:val="TextBody"/>
        <w:bidi w:val="0"/>
        <w:spacing w:lineRule="auto" w:line="288" w:before="0" w:after="0"/>
        <w:ind w:left="0" w:right="0" w:firstLine="18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22.SEGMENT AND RELATED INFORMATION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current accounting standards regarding disclosures about segments of an enterprise and related information, we have identified two reportable segments, Canada and Australia, which represent our strategic focus on hospitality services and workforce accommodations. Prior to the first quarter of 2023, we presented the U.S. operating segment as a separate reportable segment. Our operating segment in the U.S. no longer meets the reportable segment quantitative thresholds required by U.S. GAAP and is included below within the Corporate, other and eliminations category. Prior periods have been updated to be consistent with the presentation for the year ended December 31,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business segment for each of the three years ended December 31, 2023, 2022 and 2021 is summarized in the following table (in thousands): </w:t>
      </w:r>
    </w:p>
    <w:tbl>
      <w:tblPr>
        <w:tblW w:w="10205" w:type="dxa"/>
        <w:jc w:val="center"/>
        <w:tblInd w:w="0" w:type="dxa"/>
        <w:tblLayout w:type="fixed"/>
        <w:tblCellMar>
          <w:top w:w="28" w:type="dxa"/>
          <w:left w:w="28" w:type="dxa"/>
          <w:bottom w:w="28" w:type="dxa"/>
          <w:right w:w="28" w:type="dxa"/>
        </w:tblCellMar>
      </w:tblPr>
      <w:tblGrid>
        <w:gridCol w:w="645"/>
        <w:gridCol w:w="563"/>
        <w:gridCol w:w="581"/>
        <w:gridCol w:w="211"/>
        <w:gridCol w:w="826"/>
        <w:gridCol w:w="109"/>
        <w:gridCol w:w="109"/>
        <w:gridCol w:w="109"/>
        <w:gridCol w:w="109"/>
        <w:gridCol w:w="369"/>
        <w:gridCol w:w="1261"/>
        <w:gridCol w:w="191"/>
        <w:gridCol w:w="109"/>
        <w:gridCol w:w="109"/>
        <w:gridCol w:w="109"/>
        <w:gridCol w:w="307"/>
        <w:gridCol w:w="1052"/>
        <w:gridCol w:w="159"/>
        <w:gridCol w:w="109"/>
        <w:gridCol w:w="109"/>
        <w:gridCol w:w="109"/>
        <w:gridCol w:w="289"/>
        <w:gridCol w:w="990"/>
        <w:gridCol w:w="149"/>
        <w:gridCol w:w="109"/>
        <w:gridCol w:w="109"/>
        <w:gridCol w:w="109"/>
        <w:gridCol w:w="211"/>
        <w:gridCol w:w="826"/>
        <w:gridCol w:w="158"/>
      </w:tblGrid>
      <w:tr>
        <w:trPr/>
        <w:tc>
          <w:tcPr>
            <w:tcW w:w="6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assets</w:t>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other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other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other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672,734 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geographic segment as of and for each of the three years ended December 31, 2023, 2022 and 2021, is summarized below (in thousands). Other revenues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 </w:t>
      </w:r>
    </w:p>
    <w:tbl>
      <w:tblPr>
        <w:tblW w:w="8684" w:type="dxa"/>
        <w:jc w:val="center"/>
        <w:tblInd w:w="0" w:type="dxa"/>
        <w:tblLayout w:type="fixed"/>
        <w:tblCellMar>
          <w:top w:w="28" w:type="dxa"/>
          <w:left w:w="28" w:type="dxa"/>
          <w:bottom w:w="28" w:type="dxa"/>
          <w:right w:w="28" w:type="dxa"/>
        </w:tblCellMar>
      </w:tblPr>
      <w:tblGrid>
        <w:gridCol w:w="1151"/>
        <w:gridCol w:w="1008"/>
        <w:gridCol w:w="102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23.VALUATION</w:t>
      </w:r>
      <w:r>
        <w:rPr>
          <w:color w:val="000000"/>
        </w:rPr>
        <w:t xml:space="preserve"> </w:t>
      </w:r>
      <w:r>
        <w:rPr>
          <w:rFonts w:ascii="Times New Roman;sans-serif" w:hAnsi="Times New Roman;sans-serif"/>
          <w:b/>
          <w:color w:val="000000"/>
          <w:sz w:val="20"/>
        </w:rPr>
        <w:t>ACCOUNTS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valuation accounts was as follows (in thousands): </w:t>
      </w:r>
    </w:p>
    <w:tbl>
      <w:tblPr>
        <w:tblW w:w="10205" w:type="dxa"/>
        <w:jc w:val="center"/>
        <w:tblInd w:w="0" w:type="dxa"/>
        <w:tblLayout w:type="fixed"/>
        <w:tblCellMar>
          <w:top w:w="28" w:type="dxa"/>
          <w:left w:w="28" w:type="dxa"/>
          <w:bottom w:w="28" w:type="dxa"/>
          <w:right w:w="28" w:type="dxa"/>
        </w:tblCellMar>
      </w:tblPr>
      <w:tblGrid>
        <w:gridCol w:w="1240"/>
        <w:gridCol w:w="1089"/>
        <w:gridCol w:w="1093"/>
        <w:gridCol w:w="240"/>
        <w:gridCol w:w="531"/>
        <w:gridCol w:w="125"/>
        <w:gridCol w:w="109"/>
        <w:gridCol w:w="109"/>
        <w:gridCol w:w="109"/>
        <w:gridCol w:w="459"/>
        <w:gridCol w:w="1016"/>
        <w:gridCol w:w="238"/>
        <w:gridCol w:w="109"/>
        <w:gridCol w:w="109"/>
        <w:gridCol w:w="109"/>
        <w:gridCol w:w="257"/>
        <w:gridCol w:w="586"/>
        <w:gridCol w:w="133"/>
        <w:gridCol w:w="109"/>
        <w:gridCol w:w="109"/>
        <w:gridCol w:w="109"/>
        <w:gridCol w:w="304"/>
        <w:gridCol w:w="543"/>
        <w:gridCol w:w="159"/>
        <w:gridCol w:w="109"/>
        <w:gridCol w:w="109"/>
        <w:gridCol w:w="109"/>
        <w:gridCol w:w="224"/>
        <w:gridCol w:w="497"/>
        <w:gridCol w:w="163"/>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 (Reduction)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Deductions</w:t>
              <w:br/>
              <w:t>(Net of</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br/>
              <w:t>and Other,</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 of</w:t>
              <w:br/>
              <w:t>Period</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firstLine="5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331"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Exhibit 21.1</w:t>
      </w:r>
    </w:p>
    <w:p>
      <w:pPr>
        <w:pStyle w:val="TextBody"/>
        <w:bidi w:val="0"/>
        <w:spacing w:before="0" w:after="200"/>
        <w:jc w:val="center"/>
        <w:rPr/>
      </w:pPr>
      <w:r>
        <w:rPr/>
      </w:r>
    </w:p>
    <w:p>
      <w:pPr>
        <w:pStyle w:val="TextBody"/>
        <w:bidi w:val="0"/>
        <w:spacing w:lineRule="auto" w:line="331" w:before="0" w:after="200"/>
        <w:jc w:val="center"/>
        <w:rPr>
          <w:rFonts w:ascii="Times New Roman;sans-serif" w:hAnsi="Times New Roman;sans-serif"/>
          <w:b/>
          <w:color w:val="000000"/>
          <w:sz w:val="22"/>
        </w:rPr>
      </w:pPr>
      <w:r>
        <w:rPr>
          <w:rFonts w:ascii="Times New Roman;sans-serif" w:hAnsi="Times New Roman;sans-serif"/>
          <w:b/>
          <w:color w:val="000000"/>
          <w:sz w:val="22"/>
        </w:rPr>
        <w:t>SIGNIFICANT SUBSIDIARIES OF CIVEO CORPORATION</w:t>
      </w:r>
    </w:p>
    <w:tbl>
      <w:tblPr>
        <w:tblW w:w="7295" w:type="dxa"/>
        <w:jc w:val="center"/>
        <w:tblInd w:w="0" w:type="dxa"/>
        <w:tblLayout w:type="fixed"/>
        <w:tblCellMar>
          <w:top w:w="28" w:type="dxa"/>
          <w:left w:w="28" w:type="dxa"/>
          <w:bottom w:w="28" w:type="dxa"/>
          <w:right w:w="28" w:type="dxa"/>
        </w:tblCellMar>
      </w:tblPr>
      <w:tblGrid>
        <w:gridCol w:w="124"/>
        <w:gridCol w:w="109"/>
        <w:gridCol w:w="109"/>
        <w:gridCol w:w="1124"/>
        <w:gridCol w:w="1124"/>
        <w:gridCol w:w="1127"/>
        <w:gridCol w:w="109"/>
        <w:gridCol w:w="109"/>
        <w:gridCol w:w="109"/>
        <w:gridCol w:w="959"/>
        <w:gridCol w:w="959"/>
        <w:gridCol w:w="9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Times New Roman;sans-serif" w:hAnsi="Times New Roman;sans-serif"/>
                <w:b/>
                <w:color w:val="000000"/>
                <w:sz w:val="22"/>
              </w:rPr>
            </w:pPr>
            <w:r>
              <w:rPr>
                <w:rFonts w:ascii="Times New Roman;sans-serif" w:hAnsi="Times New Roman;sans-serif"/>
                <w:b/>
                <w:color w:val="000000"/>
                <w:sz w:val="22"/>
              </w:rPr>
              <w:t>Name of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 of Organization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Canada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Alberta, 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1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2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Delaware,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23.1</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incorporation by reference in the following Registration Statements: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i.</w:t>
      </w:r>
      <w:r>
        <w:rPr>
          <w:rFonts w:ascii="Times New Roman;sans-serif" w:hAnsi="Times New Roman;sans-serif"/>
          <w:b w:val="false"/>
          <w:color w:val="000000"/>
          <w:sz w:val="24"/>
        </w:rPr>
        <w:t xml:space="preserve">the Registration Statement (Form S-8 No. 333-196292, as amended) pertaining to the 2014 Equity Participation Plan of Civeo Corporation,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ii.</w:t>
      </w:r>
      <w:r>
        <w:rPr>
          <w:rFonts w:ascii="Times New Roman;sans-serif" w:hAnsi="Times New Roman;sans-serif"/>
          <w:b w:val="false"/>
          <w:color w:val="000000"/>
          <w:sz w:val="24"/>
        </w:rPr>
        <w:t>the Registration Statement (Form S-8 No. 333-211393)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iii.</w:t>
      </w:r>
      <w:r>
        <w:rPr>
          <w:rFonts w:ascii="Times New Roman;sans-serif" w:hAnsi="Times New Roman;sans-serif"/>
          <w:b w:val="false"/>
          <w:color w:val="000000"/>
          <w:sz w:val="24"/>
        </w:rPr>
        <w:t>the Registration Statement (Form S-8 No. 333-226388)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iv.</w:t>
      </w:r>
      <w:r>
        <w:rPr>
          <w:rFonts w:ascii="Times New Roman;sans-serif" w:hAnsi="Times New Roman;sans-serif"/>
          <w:b w:val="false"/>
          <w:color w:val="000000"/>
          <w:sz w:val="24"/>
        </w:rPr>
        <w:t>the Registration Statement (Form S-8 No. 333-240167)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v.</w:t>
      </w:r>
      <w:r>
        <w:rPr>
          <w:rFonts w:ascii="Times New Roman;sans-serif" w:hAnsi="Times New Roman;sans-serif"/>
          <w:b w:val="false"/>
          <w:color w:val="000000"/>
          <w:sz w:val="24"/>
        </w:rPr>
        <w:t>the Registration Statement (Form S-3 No. 333-267148) pertaining to the registration of common shares, preferred shares, debt securities and warrants,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vi.</w:t>
      </w:r>
      <w:r>
        <w:rPr>
          <w:rFonts w:ascii="Times New Roman;sans-serif" w:hAnsi="Times New Roman;sans-serif"/>
          <w:b w:val="false"/>
          <w:color w:val="000000"/>
          <w:sz w:val="24"/>
        </w:rPr>
        <w:t>the Registration Statement (Form S-8 No. 333-273503)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our reports dated February 29, 2024, with respect to the consolidated financial statements of Civeo Corporation and the effectiveness of internal control over financial reporting of Civeo Corporation included in this Annual Report (Form 10-K) for the year ended December 31, 2023.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6480"/>
        <w:jc w:val="both"/>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Houston, Texas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29,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Bradley J. Dodson,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Civeo Corporation (“Registrant");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5"/>
        <w:gridCol w:w="1005"/>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br/>
              <w:t>President and 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Carolyn J. Stone, certify that:</w:t>
      </w:r>
    </w:p>
    <w:p>
      <w:pPr>
        <w:pStyle w:val="TextBody"/>
        <w:bidi w:val="0"/>
        <w:spacing w:before="0" w:after="0"/>
        <w:ind w:left="0" w:right="0" w:firstLine="18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Civeo Corporation (“Registrant”);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p>
      <w:pPr>
        <w:pStyle w:val="TextBody"/>
        <w:bidi w:val="0"/>
        <w:spacing w:lineRule="auto" w:line="288" w:before="0" w:after="0"/>
        <w:ind w:left="0" w:right="0" w:firstLine="180"/>
        <w:jc w:val="left"/>
        <w:rPr>
          <w:color w:val="000000"/>
        </w:rPr>
      </w:pPr>
      <w:r>
        <w:rPr>
          <w:color w:val="000000"/>
        </w:rPr>
        <w:t> </w:t>
      </w:r>
    </w:p>
    <w:tbl>
      <w:tblPr>
        <w:tblW w:w="56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4"/>
        <w:gridCol w:w="1454"/>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Carolyn J. Stone               </w:t>
              <w:b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Civeo Corporation (the “Company”) for the twelve month period ended December 31, 2023,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tbl>
      <w:tblPr>
        <w:tblW w:w="3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                </w:t>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Civeo Corporation (the “Company”) for the twelve month period ended December 31, 2023,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31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529"/>
        <w:gridCol w:w="529"/>
        <w:gridCol w:w="7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Carolyn J. Stone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Carolyn J. Stone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428750" cy="152400"/>
            <wp:effectExtent l="0" t="0" r="0" b="0"/>
            <wp:docPr id="1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 descr=""/>
                    <pic:cNvPicPr>
                      <a:picLocks noChangeAspect="1" noChangeArrowheads="1"/>
                    </pic:cNvPicPr>
                  </pic:nvPicPr>
                  <pic:blipFill>
                    <a:blip r:embed="rId60"/>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1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 descr=""/>
                    <pic:cNvPicPr>
                      <a:picLocks noChangeAspect="1" noChangeArrowheads="1"/>
                    </pic:cNvPicPr>
                  </pic:nvPicPr>
                  <pic:blipFill>
                    <a:blip r:embed="rId61"/>
                    <a:stretch>
                      <a:fillRect/>
                    </a:stretch>
                  </pic:blipFill>
                  <pic:spPr bwMode="auto">
                    <a:xfrm>
                      <a:off x="0" y="0"/>
                      <a:ext cx="923925" cy="476250"/>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8"/>
        </w:rPr>
      </w:pPr>
      <w:r>
        <w:rPr>
          <w:rFonts w:ascii="Times New Roman;sans-serif" w:hAnsi="Times New Roman;sans-serif"/>
          <w:b/>
          <w:color w:val="000000"/>
          <w:sz w:val="28"/>
        </w:rPr>
        <w:t>COMPENSATION RECOUPMENT (CLAWBACK) POLICY</w:t>
      </w:r>
    </w:p>
    <w:p>
      <w:pPr>
        <w:pStyle w:val="TextBody"/>
        <w:bidi w:val="0"/>
        <w:spacing w:before="0" w:after="12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PURPOSE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In accordance with the applicable rules of The New York Stock Exchange Listed Company Manual (the “NYSE Rules”), Section 10D and Rule 10D-1 of the Securities Exchange Act of 1934, as amended (the “Exchange Act”) (“Rule 10D-1”), the Board of Directors (the “Board”) of Civeo Corporation (the “Company”) has adopted this Policy (the “Policy”) to provide for the recovery of erroneously awarded Incentive-based Compensation from Executive Officers. All capitalized terms used and not otherwise defined herein shall have the meanings set forth in Definitions, below.</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POLICY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It is the policy of the Company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ADMINISTRATION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This Policy is administered by the Compensation Committee (the “Committee”) of the Board and is intended to comply with, and as applicable to be administered and interpreted consistent with, and subject to the exceptions set forth in, Rule 10D-1.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DEFINITIONS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For purposes of this Policy: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share price or total shareholder return.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Incentive-Based Compensation is deemed to be “Received” in the fiscal period during which the relevant financial reporting measure is attained, regardless of when the compensation is actually paid or awarded.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Covered Executive” means any “executive officer” of the Company as defined under Rule 10D-1.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Recovery Period” means the three completed fiscal years immediately preceding the date that the Company is required to prepare the accounting restatement described in this Policy, as determined pursuant to Rule 10D-1, and any transition period of less than nine months that is within or immediately following such three fiscal years. </w:t>
      </w:r>
    </w:p>
    <w:p>
      <w:pPr>
        <w:pStyle w:val="TextBody"/>
        <w:bidi w:val="0"/>
        <w:spacing w:before="0" w:after="0"/>
        <w:jc w:val="both"/>
        <w:rPr/>
      </w:pPr>
      <w:r>
        <w:rPr/>
      </w:r>
    </w:p>
    <w:p>
      <w:pPr>
        <w:pStyle w:val="TextBody"/>
        <w:bidi w:val="0"/>
        <w:spacing w:lineRule="auto" w:line="240"/>
        <w:jc w:val="both"/>
        <w:rPr>
          <w:color w:val="000000"/>
        </w:rPr>
      </w:pPr>
      <w:r>
        <w:rPr>
          <w:color w:val="000000"/>
        </w:rPr>
        <w:t>    </w:t>
      </w:r>
      <w:r>
        <w:rPr>
          <w:rFonts w:ascii="Times New Roman;sans-serif" w:hAnsi="Times New Roman;sans-serif"/>
          <w:b w:val="false"/>
          <w:color w:val="000000"/>
          <w:sz w:val="22"/>
        </w:rPr>
        <w:t xml:space="preserve">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share price or total shareholder return, the Committee will </w:t>
      </w:r>
    </w:p>
    <w:p>
      <w:pPr>
        <w:pStyle w:val="TextBody"/>
        <w:bidi w:val="0"/>
        <w:spacing w:before="0" w:after="0"/>
        <w:jc w:val="left"/>
        <w:rPr/>
      </w:pPr>
      <w:r>
        <w:rPr/>
        <w:drawing>
          <wp:inline distT="0" distB="0" distL="0" distR="0">
            <wp:extent cx="1428750" cy="152400"/>
            <wp:effectExtent l="0" t="0" r="0" b="0"/>
            <wp:docPr id="1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 descr=""/>
                    <pic:cNvPicPr>
                      <a:picLocks noChangeAspect="1" noChangeArrowheads="1"/>
                    </pic:cNvPicPr>
                  </pic:nvPicPr>
                  <pic:blipFill>
                    <a:blip r:embed="rId62"/>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1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 descr=""/>
                    <pic:cNvPicPr>
                      <a:picLocks noChangeAspect="1" noChangeArrowheads="1"/>
                    </pic:cNvPicPr>
                  </pic:nvPicPr>
                  <pic:blipFill>
                    <a:blip r:embed="rId63"/>
                    <a:stretch>
                      <a:fillRect/>
                    </a:stretch>
                  </pic:blipFill>
                  <pic:spPr bwMode="auto">
                    <a:xfrm>
                      <a:off x="0" y="0"/>
                      <a:ext cx="923925" cy="476250"/>
                    </a:xfrm>
                    <a:prstGeom prst="rect">
                      <a:avLst/>
                    </a:prstGeom>
                  </pic:spPr>
                </pic:pic>
              </a:graphicData>
            </a:graphic>
          </wp:inline>
        </w:drawing>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9"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0"/>
                              <w:jc w:val="left"/>
                              <w:rPr/>
                            </w:pPr>
                            <w:r>
                              <w:rPr>
                                <w:rFonts w:ascii="Times New Roman;sans-serif" w:hAnsi="Times New Roman;sans-serif"/>
                                <w:b w:val="false"/>
                                <w:color w:val="646464"/>
                                <w:sz w:val="18"/>
                              </w:rPr>
                              <w:t>GLB COR POL 17 REV 24 October 2023</w:t>
                            </w:r>
                            <w:r>
                              <w:rPr>
                                <w:color w:val="646464"/>
                              </w:rPr>
                              <w:t>        </w:t>
                            </w:r>
                            <w:r>
                              <w:rPr>
                                <w:color w:val="666366"/>
                              </w:rPr>
                              <w:t xml:space="preserve"> </w:t>
                            </w:r>
                            <w:r>
                              <w:rPr>
                                <w:rFonts w:ascii="Times New Roman;sans-serif" w:hAnsi="Times New Roman;sans-serif"/>
                                <w:b w:val="false"/>
                                <w:color w:val="666366"/>
                                <w:sz w:val="16"/>
                              </w:rPr>
                              <w:t>Page 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pPr>
                      <w:r>
                        <w:rPr>
                          <w:rFonts w:ascii="Times New Roman;sans-serif" w:hAnsi="Times New Roman;sans-serif"/>
                          <w:b w:val="false"/>
                          <w:color w:val="646464"/>
                          <w:sz w:val="18"/>
                        </w:rPr>
                        <w:t>GLB COR POL 17 REV 24 October 2023</w:t>
                      </w:r>
                      <w:r>
                        <w:rPr>
                          <w:color w:val="646464"/>
                        </w:rPr>
                        <w:t>        </w:t>
                      </w:r>
                      <w:r>
                        <w:rPr>
                          <w:color w:val="666366"/>
                        </w:rPr>
                        <w:t xml:space="preserve"> </w:t>
                      </w:r>
                      <w:r>
                        <w:rPr>
                          <w:rFonts w:ascii="Times New Roman;sans-serif" w:hAnsi="Times New Roman;sans-serif"/>
                          <w:b w:val="false"/>
                          <w:color w:val="666366"/>
                          <w:sz w:val="16"/>
                        </w:rPr>
                        <w:t>Page 1 of #NUM_PAGES#</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determine the amount based on a reasonable estimate of the effect of the accounting restatement on the relevant share price or total shareholder return. In all cases, the calculation of the excess amount of Incentive-Based Compensation to be recovered will be determined on a pre-tax basis. Any determinations made by the Committee under this Policy shall be final and binding on all affected individuals.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New York Stock Exchange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AMENDMENT; TERMINATION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The Committee may amend this Policy from time to time in its discretion and shall amend this Policy as it deems necessary. Notwithstanding anything in this section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NYSE rule.</w:t>
      </w:r>
    </w:p>
    <w:p>
      <w:pPr>
        <w:pStyle w:val="TextBody"/>
        <w:bidi w:val="0"/>
        <w:spacing w:lineRule="auto" w:line="240" w:before="0" w:after="120"/>
        <w:jc w:val="left"/>
        <w:rPr>
          <w:rFonts w:ascii="Cambria;sans-serif" w:hAnsi="Cambria;sans-serif"/>
          <w:b/>
          <w:color w:val="000000"/>
          <w:sz w:val="20"/>
        </w:rPr>
      </w:pPr>
      <w:r>
        <w:rPr>
          <w:rFonts w:ascii="Cambria;sans-serif" w:hAnsi="Cambria;sans-serif"/>
          <w:b/>
          <w:color w:val="000000"/>
          <w:sz w:val="20"/>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428750" cy="152400"/>
            <wp:effectExtent l="0" t="0" r="0" b="0"/>
            <wp:docPr id="1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 descr=""/>
                    <pic:cNvPicPr>
                      <a:picLocks noChangeAspect="1" noChangeArrowheads="1"/>
                    </pic:cNvPicPr>
                  </pic:nvPicPr>
                  <pic:blipFill>
                    <a:blip r:embed="rId64"/>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1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 descr=""/>
                    <pic:cNvPicPr>
                      <a:picLocks noChangeAspect="1" noChangeArrowheads="1"/>
                    </pic:cNvPicPr>
                  </pic:nvPicPr>
                  <pic:blipFill>
                    <a:blip r:embed="rId65"/>
                    <a:stretch>
                      <a:fillRect/>
                    </a:stretch>
                  </pic:blipFill>
                  <pic:spPr bwMode="auto">
                    <a:xfrm>
                      <a:off x="0" y="0"/>
                      <a:ext cx="923925" cy="476250"/>
                    </a:xfrm>
                    <a:prstGeom prst="rect">
                      <a:avLst/>
                    </a:prstGeom>
                  </pic:spPr>
                </pic:pic>
              </a:graphicData>
            </a:graphic>
          </wp:inline>
        </w:drawing>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0"/>
                              <w:jc w:val="left"/>
                              <w:rPr/>
                            </w:pPr>
                            <w:r>
                              <w:rPr>
                                <w:rFonts w:ascii="Times New Roman;sans-serif" w:hAnsi="Times New Roman;sans-serif"/>
                                <w:b w:val="false"/>
                                <w:color w:val="646464"/>
                                <w:sz w:val="18"/>
                              </w:rPr>
                              <w:t>GLB COR POL 17 REV 24 October 2023</w:t>
                            </w:r>
                            <w:r>
                              <w:rPr>
                                <w:color w:val="646464"/>
                              </w:rPr>
                              <w:t>        </w:t>
                            </w:r>
                            <w:r>
                              <w:rPr>
                                <w:color w:val="666366"/>
                              </w:rPr>
                              <w:t xml:space="preserve"> </w:t>
                            </w:r>
                            <w:r>
                              <w:rPr>
                                <w:rFonts w:ascii="Times New Roman;sans-serif" w:hAnsi="Times New Roman;sans-serif"/>
                                <w:b w:val="false"/>
                                <w:color w:val="666366"/>
                                <w:sz w:val="16"/>
                              </w:rPr>
                              <w:t>Page 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pPr>
                      <w:r>
                        <w:rPr>
                          <w:rFonts w:ascii="Times New Roman;sans-serif" w:hAnsi="Times New Roman;sans-serif"/>
                          <w:b w:val="false"/>
                          <w:color w:val="646464"/>
                          <w:sz w:val="18"/>
                        </w:rPr>
                        <w:t>GLB COR POL 17 REV 24 October 2023</w:t>
                      </w:r>
                      <w:r>
                        <w:rPr>
                          <w:color w:val="646464"/>
                        </w:rPr>
                        <w:t>        </w:t>
                      </w:r>
                      <w:r>
                        <w:rPr>
                          <w:color w:val="666366"/>
                        </w:rPr>
                        <w:t xml:space="preserve"> </w:t>
                      </w:r>
                      <w:r>
                        <w:rPr>
                          <w:rFonts w:ascii="Times New Roman;sans-serif" w:hAnsi="Times New Roman;sans-serif"/>
                          <w:b w:val="false"/>
                          <w:color w:val="666366"/>
                          <w:sz w:val="16"/>
                        </w:rPr>
                        <w:t>Page 2 of #NUM_PAGES#</w:t>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lineRule="auto" w:line="300" w:before="0" w:after="240"/>
        <w:jc w:val="center"/>
        <w:rPr>
          <w:rFonts w:ascii="Times New Roman;sans-serif" w:hAnsi="Times New Roman;sans-serif"/>
          <w:b/>
          <w:color w:val="000000"/>
          <w:sz w:val="24"/>
        </w:rPr>
      </w:pPr>
      <w:r>
        <w:rPr>
          <w:rFonts w:ascii="Times New Roman;sans-serif" w:hAnsi="Times New Roman;sans-serif"/>
          <w:b/>
          <w:color w:val="000000"/>
          <w:sz w:val="24"/>
        </w:rPr>
        <w:t>ACKNOWLEDGEMENT AND ACCEPTANCE FORM</w:t>
      </w:r>
    </w:p>
    <w:p>
      <w:pPr>
        <w:pStyle w:val="TextBody"/>
        <w:bidi w:val="0"/>
        <w:spacing w:lineRule="auto" w:line="300" w:before="220" w:after="283"/>
        <w:jc w:val="both"/>
        <w:rPr/>
      </w:pPr>
      <w:r>
        <w:rPr>
          <w:rFonts w:ascii="Times New Roman;sans-serif" w:hAnsi="Times New Roman;sans-serif"/>
          <w:b w:val="false"/>
          <w:color w:val="000000"/>
          <w:sz w:val="24"/>
        </w:rPr>
        <w:t>By signing below, the undersigned covered executive (the “</w:t>
      </w:r>
      <w:r>
        <w:rPr>
          <w:rFonts w:ascii="Times New Roman;sans-serif" w:hAnsi="Times New Roman;sans-serif"/>
          <w:b w:val="false"/>
          <w:color w:val="000000"/>
          <w:sz w:val="24"/>
          <w:u w:val="single"/>
        </w:rPr>
        <w:t>Covered Executive</w:t>
      </w:r>
      <w:r>
        <w:rPr>
          <w:color w:val="000000"/>
        </w:rPr>
        <w:t>”</w:t>
      </w:r>
      <w:r>
        <w:rPr>
          <w:rFonts w:ascii="Times New Roman;sans-serif" w:hAnsi="Times New Roman;sans-serif"/>
          <w:b w:val="false"/>
          <w:color w:val="000000"/>
          <w:sz w:val="24"/>
        </w:rPr>
        <w:t>) acknowledges and confirms that the Covered Executive has received and reviewed a copy of the Compensation Recoupment (Clawback)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and for good and valid consideration, including continuing participation in the Company’s incentive compensation programs, the receipt and sufficiency of which the Covered Executive hereby acknowledges, the Covered Executive will be bound by and abide by the Policy as follows:</w:t>
      </w:r>
    </w:p>
    <w:p>
      <w:pPr>
        <w:pStyle w:val="TextBody"/>
        <w:bidi w:val="0"/>
        <w:spacing w:lineRule="auto" w:line="240" w:before="22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Covered Executive is and will continue to be subject to the Policy, as interpreted or modified from time to time, and the Policy will apply both during and after the Covered Executive’s employment with the Company;</w:t>
      </w:r>
    </w:p>
    <w:p>
      <w:pPr>
        <w:pStyle w:val="TextBody"/>
        <w:bidi w:val="0"/>
        <w:spacing w:lineRule="auto" w:line="240" w:before="22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to the extent necessary to comply with the Policy, the Company hereby amends any employment agreement, equity award agreement or similar agreement that the Covered Executive is a party to with the Company;</w:t>
      </w:r>
    </w:p>
    <w:p>
      <w:pPr>
        <w:pStyle w:val="TextBody"/>
        <w:bidi w:val="0"/>
        <w:spacing w:lineRule="auto" w:line="240" w:before="22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Covered Executive will not be entitled to and hereby knowingly, voluntarily and intentionally waives any (i) indemnification for any liability or loss incurred by the Covered Executive in connection with or as a result of any action taken by the Company to enforce the Policy (such action, a “</w:t>
      </w:r>
      <w:r>
        <w:rPr>
          <w:rFonts w:ascii="Times New Roman;sans-serif" w:hAnsi="Times New Roman;sans-serif"/>
          <w:b w:val="false"/>
          <w:color w:val="000000"/>
          <w:sz w:val="24"/>
          <w:u w:val="single"/>
        </w:rPr>
        <w:t>Clawback Proceeding</w:t>
      </w:r>
      <w:r>
        <w:rPr>
          <w:color w:val="000000"/>
        </w:rPr>
        <w:t>”</w:t>
      </w:r>
      <w:r>
        <w:rPr>
          <w:rFonts w:ascii="Times New Roman;sans-serif" w:hAnsi="Times New Roman;sans-serif"/>
          <w:b w:val="false"/>
          <w:color w:val="000000"/>
          <w:sz w:val="24"/>
        </w:rPr>
        <w:t>) and (ii) indemnification or advancement of any expenses (including attorneys’ fees) from the Company and or any subsidiary of the Company incurred by the Covered Executive in connection with any Clawback Proceeding; provided, however, if the Covered Executive is successful on the merits in the defense of any claim asserted against the Covered Executive in a Clawback Proceeding, the Covered Executive will be indemnified for the expenses (including attorneys’ fees) the Covered Executive reasonably incurred to defend such claim; and</w:t>
      </w:r>
    </w:p>
    <w:p>
      <w:pPr>
        <w:pStyle w:val="TextBody"/>
        <w:bidi w:val="0"/>
        <w:spacing w:lineRule="auto" w:line="240" w:before="220"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Company is not responsible for and shall not make the Covered Executive whole for any effect under any tax law or regulation of the recovery of any compensation pursuant to the Policy, or for any taxes paid by the Covered Executive on compensation that is subject to recovery or is recovered pursuant to the Policy. </w:t>
      </w:r>
    </w:p>
    <w:p>
      <w:pPr>
        <w:pStyle w:val="TextBody"/>
        <w:bidi w:val="0"/>
        <w:spacing w:lineRule="auto" w:line="360" w:before="480" w:after="283"/>
        <w:jc w:val="left"/>
        <w:rPr/>
      </w:pPr>
      <w:r>
        <w:rPr>
          <w:color w:val="000000"/>
          <w:u w:val="single"/>
        </w:rPr>
        <w:t>    </w:t>
      </w:r>
      <w:r>
        <w:rPr>
          <w:rFonts w:ascii="Times New Roman;sans-serif" w:hAnsi="Times New Roman;sans-serif"/>
          <w:b w:val="false"/>
          <w:color w:val="000000"/>
          <w:sz w:val="20"/>
          <w:u w:val="single"/>
        </w:rPr>
        <w:br/>
      </w:r>
      <w:r>
        <w:rPr>
          <w:rFonts w:ascii="Times New Roman;sans-serif" w:hAnsi="Times New Roman;sans-serif"/>
          <w:b w:val="false"/>
          <w:color w:val="000000"/>
          <w:sz w:val="20"/>
        </w:rPr>
        <w:t>Signature</w:t>
      </w:r>
    </w:p>
    <w:p>
      <w:pPr>
        <w:pStyle w:val="TextBody"/>
        <w:bidi w:val="0"/>
        <w:spacing w:lineRule="auto" w:line="360" w:before="360" w:after="283"/>
        <w:jc w:val="left"/>
        <w:rPr/>
      </w:pPr>
      <w:r>
        <w:rPr>
          <w:color w:val="000000"/>
          <w:u w:val="single"/>
        </w:rPr>
        <w:t>    </w:t>
      </w:r>
      <w:r>
        <w:rPr>
          <w:rFonts w:ascii="Times New Roman;sans-serif" w:hAnsi="Times New Roman;sans-serif"/>
          <w:b w:val="false"/>
          <w:color w:val="000000"/>
          <w:sz w:val="20"/>
          <w:u w:val="single"/>
        </w:rPr>
        <w:br/>
      </w:r>
      <w:r>
        <w:rPr>
          <w:rFonts w:ascii="Times New Roman;sans-serif" w:hAnsi="Times New Roman;sans-serif"/>
          <w:b w:val="false"/>
          <w:color w:val="000000"/>
          <w:sz w:val="20"/>
        </w:rPr>
        <w:t>Print Name</w:t>
      </w:r>
    </w:p>
    <w:p>
      <w:pPr>
        <w:pStyle w:val="TextBody"/>
        <w:bidi w:val="0"/>
        <w:spacing w:lineRule="auto" w:line="360" w:before="360" w:after="283"/>
        <w:jc w:val="left"/>
        <w:rPr/>
      </w:pPr>
      <w:r>
        <w:rPr>
          <w:color w:val="000000"/>
          <w:u w:val="single"/>
        </w:rPr>
        <w:t>    </w:t>
      </w:r>
      <w:r>
        <w:rPr>
          <w:rFonts w:ascii="Times New Roman;sans-serif" w:hAnsi="Times New Roman;sans-serif"/>
          <w:b w:val="false"/>
          <w:color w:val="000000"/>
          <w:sz w:val="20"/>
          <w:u w:val="single"/>
        </w:rPr>
        <w:br/>
      </w:r>
      <w:r>
        <w:rPr>
          <w:rFonts w:ascii="Times New Roman;sans-serif" w:hAnsi="Times New Roman;sans-serif"/>
          <w:b w:val="false"/>
          <w:color w:val="000000"/>
          <w:sz w:val="20"/>
        </w:rPr>
        <w:t>Date</w:t>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0"/>
                              <w:jc w:val="left"/>
                              <w:rPr/>
                            </w:pPr>
                            <w:r>
                              <w:rPr>
                                <w:rFonts w:ascii="Times New Roman;sans-serif" w:hAnsi="Times New Roman;sans-serif"/>
                                <w:b w:val="false"/>
                                <w:color w:val="646464"/>
                                <w:sz w:val="18"/>
                              </w:rPr>
                              <w:t>GLB COR POL 17 REV 24 October 2023</w:t>
                            </w:r>
                            <w:r>
                              <w:rPr>
                                <w:color w:val="646464"/>
                              </w:rPr>
                              <w:t>        </w:t>
                            </w:r>
                            <w:r>
                              <w:rPr>
                                <w:color w:val="666366"/>
                              </w:rPr>
                              <w:t xml:space="preserve"> </w:t>
                            </w:r>
                            <w:r>
                              <w:rPr>
                                <w:rFonts w:ascii="Times New Roman;sans-serif" w:hAnsi="Times New Roman;sans-serif"/>
                                <w:b w:val="false"/>
                                <w:color w:val="666366"/>
                                <w:sz w:val="16"/>
                              </w:rPr>
                              <w:t>Page 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pPr>
                      <w:r>
                        <w:rPr>
                          <w:rFonts w:ascii="Times New Roman;sans-serif" w:hAnsi="Times New Roman;sans-serif"/>
                          <w:b w:val="false"/>
                          <w:color w:val="646464"/>
                          <w:sz w:val="18"/>
                        </w:rPr>
                        <w:t>GLB COR POL 17 REV 24 October 2023</w:t>
                      </w:r>
                      <w:r>
                        <w:rPr>
                          <w:color w:val="646464"/>
                        </w:rPr>
                        <w:t>        </w:t>
                      </w:r>
                      <w:r>
                        <w:rPr>
                          <w:color w:val="666366"/>
                        </w:rPr>
                        <w:t xml:space="preserve"> </w:t>
                      </w:r>
                      <w:r>
                        <w:rPr>
                          <w:rFonts w:ascii="Times New Roman;sans-serif" w:hAnsi="Times New Roman;sans-serif"/>
                          <w:b w:val="false"/>
                          <w:color w:val="666366"/>
                          <w:sz w:val="16"/>
                        </w:rPr>
                        <w:t>Page 3 of #NUM_PAGES#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590584/000143774917019804/ex_101078.htm" TargetMode="External"/><Relationship Id="rId6" Type="http://schemas.openxmlformats.org/officeDocument/2006/relationships/hyperlink" Target="http://www.sec.gov/Archives/edgar/data/1590584/000143774918004861/ex_108119.htm" TargetMode="External"/><Relationship Id="rId7" Type="http://schemas.openxmlformats.org/officeDocument/2006/relationships/hyperlink" Target="http://www.sec.gov/Archives/edgar/data/1590584/000143774918006074/ex_109485.htm" TargetMode="External"/><Relationship Id="rId8" Type="http://schemas.openxmlformats.org/officeDocument/2006/relationships/hyperlink" Target="https://www.sec.gov/Archives/edgar/data/1590584/000159058420000142/ex31amendedarticlesciveo.htm" TargetMode="External"/><Relationship Id="rId9" Type="http://schemas.openxmlformats.org/officeDocument/2006/relationships/hyperlink" Target="http://www.sec.gov/Archives/edgar/data/1590584/000159058423000043/amendedandrestatedarticl.htm" TargetMode="External"/><Relationship Id="rId10" Type="http://schemas.openxmlformats.org/officeDocument/2006/relationships/hyperlink" Target="http://www.sec.gov/Archives/edgar/data/1590584/000159058423000043/amendedandrestatedarticl.htm" TargetMode="External"/><Relationship Id="rId11" Type="http://schemas.openxmlformats.org/officeDocument/2006/relationships/hyperlink" Target="http://www.sec.gov/Archives/edgar/data/1590584/000159058423000043/amendedandrestatedarticl.htm" TargetMode="External"/><Relationship Id="rId12" Type="http://schemas.openxmlformats.org/officeDocument/2006/relationships/hyperlink" Target="http://www.sec.gov/Archives/edgar/data/1590584/000159058423000043/amendedandrestatedarticl.htm" TargetMode="External"/><Relationship Id="rId13" Type="http://schemas.openxmlformats.org/officeDocument/2006/relationships/hyperlink" Target="http://www.sec.gov/Archives/edgar/data/1590584/000143774915013719/ex4-1.htm" TargetMode="External"/><Relationship Id="rId14" Type="http://schemas.openxmlformats.org/officeDocument/2006/relationships/hyperlink" Target="http://www.sec.gov/Archives/edgar/data/1590584/000143774918006074/ex_109479.htm" TargetMode="External"/><Relationship Id="rId15" Type="http://schemas.openxmlformats.org/officeDocument/2006/relationships/hyperlink" Target="http://www.sec.gov/Archives/edgar/data/0001590584/000159058421000037/exhibit43descriptionofsecu.htm" TargetMode="External"/><Relationship Id="rId16" Type="http://schemas.openxmlformats.org/officeDocument/2006/relationships/hyperlink" Target="http://www.sec.gov/Archives/edgar/data/1590584/000143774915013719/ex10-1.htm" TargetMode="External"/><Relationship Id="rId17" Type="http://schemas.openxmlformats.org/officeDocument/2006/relationships/hyperlink" Target="http://www.sec.gov/Archives/edgar/data/0001590584/000159058421000037/exhibit103-performanceshar.htm" TargetMode="External"/><Relationship Id="rId18" Type="http://schemas.openxmlformats.org/officeDocument/2006/relationships/hyperlink" Target="http://www.sec.gov/Archives/edgar/data/0001590584/000159058421000037/exhibit103-performanceshar.htm" TargetMode="External"/><Relationship Id="rId19" Type="http://schemas.openxmlformats.org/officeDocument/2006/relationships/hyperlink" Target="http://www.sec.gov/Archives/edgar/data/0001590584/000159058421000037/exhibit104-performanceshar.htm" TargetMode="External"/><Relationship Id="rId20" Type="http://schemas.openxmlformats.org/officeDocument/2006/relationships/hyperlink" Target="http://www.sec.gov/Archives/edgar/data/0001590584/000159058421000037/exhibit104-performanceshar.htm" TargetMode="External"/><Relationship Id="rId21" Type="http://schemas.openxmlformats.org/officeDocument/2006/relationships/hyperlink" Target="http://www.sec.gov/Archives/edgar/data/1590584/000143774914006955/ex10-7.htm" TargetMode="External"/><Relationship Id="rId22" Type="http://schemas.openxmlformats.org/officeDocument/2006/relationships/hyperlink" Target="http://www.sec.gov/Archives/edgar/data/1590584/000143774914006955/ex10-8.htm" TargetMode="External"/><Relationship Id="rId23" Type="http://schemas.openxmlformats.org/officeDocument/2006/relationships/hyperlink" Target="http://www.sec.gov/Archives/edgar/data/1590584/000143774914006955/ex10-9.htm" TargetMode="External"/><Relationship Id="rId24" Type="http://schemas.openxmlformats.org/officeDocument/2006/relationships/hyperlink" Target="http://www.sec.gov/Archives/edgar/data/1590584/000143774914006955/ex10-10.htm" TargetMode="External"/><Relationship Id="rId25" Type="http://schemas.openxmlformats.org/officeDocument/2006/relationships/hyperlink" Target="http://www.sec.gov/Archives/edgar/data/1590584/000143774914006955/ex10-11.htm" TargetMode="External"/><Relationship Id="rId26" Type="http://schemas.openxmlformats.org/officeDocument/2006/relationships/hyperlink" Target="http://www.sec.gov/Archives/edgar/data/1590584/000143774914006955/ex10-12.htm" TargetMode="External"/><Relationship Id="rId27" Type="http://schemas.openxmlformats.org/officeDocument/2006/relationships/hyperlink" Target="http://www.sec.gov/Archives/edgar/data/1590584/000143774914006955/ex10-13.htm" TargetMode="External"/><Relationship Id="rId28" Type="http://schemas.openxmlformats.org/officeDocument/2006/relationships/hyperlink" Target="http://www.sec.gov/Archives/edgar/data/1590584/000143774914006955/ex10-14.htm" TargetMode="External"/><Relationship Id="rId29" Type="http://schemas.openxmlformats.org/officeDocument/2006/relationships/hyperlink" Target="http://www.sec.gov/Archives/edgar/data/1590584/000143774915005012/ex10-17.htm" TargetMode="External"/><Relationship Id="rId30" Type="http://schemas.openxmlformats.org/officeDocument/2006/relationships/hyperlink" Target="http://www.sec.gov/Archives/edgar/data/1590584/000143774915013719/ex10-3.htm" TargetMode="External"/><Relationship Id="rId31" Type="http://schemas.openxmlformats.org/officeDocument/2006/relationships/hyperlink" Target="http://www.sec.gov/Archives/edgar/data/1590584/000143774915016537/ex10-1.htm" TargetMode="External"/><Relationship Id="rId32" Type="http://schemas.openxmlformats.org/officeDocument/2006/relationships/hyperlink" Target="http://www.sec.gov/Archives/edgar/data/0001590584/000159058421000037/exhibit1018pmv2.htm" TargetMode="External"/><Relationship Id="rId33" Type="http://schemas.openxmlformats.org/officeDocument/2006/relationships/hyperlink" Target="http://www.sec.gov/Archives/edgar/data/1590584/000143774915016537/ex10-2.htm" TargetMode="External"/><Relationship Id="rId34" Type="http://schemas.openxmlformats.org/officeDocument/2006/relationships/hyperlink" Target="http://www.sec.gov/Archives/edgar/data/1590584/000143774915019401/ex10-11.htm" TargetMode="External"/><Relationship Id="rId35" Type="http://schemas.openxmlformats.org/officeDocument/2006/relationships/hyperlink" Target="https://www.sec.gov/Archives/edgar/data/1590584/000159058420000133/a102civeoalschoening.htm" TargetMode="External"/><Relationship Id="rId36" Type="http://schemas.openxmlformats.org/officeDocument/2006/relationships/hyperlink" Target="https://www.sec.gov/Archives/edgar/data/1590584/000143774915019401/ex10-12.htm" TargetMode="External"/><Relationship Id="rId37" Type="http://schemas.openxmlformats.org/officeDocument/2006/relationships/hyperlink" Target="http://www.sec.gov/Archives/edgar/data/0001590584/000159058421000037/a1025carolynstonemay2015.htm" TargetMode="External"/><Relationship Id="rId38" Type="http://schemas.openxmlformats.org/officeDocument/2006/relationships/hyperlink" Target="http://www.sec.gov/Archives/edgar/data/0001590584/000159058421000037/a1025carolynstonemay2015.htm" TargetMode="External"/><Relationship Id="rId39" Type="http://schemas.openxmlformats.org/officeDocument/2006/relationships/hyperlink" Target="http://www.sec.gov/Archives/edgar/data/0001590584/000159058421000037/a1025carolynstonemay2015.htm" TargetMode="External"/><Relationship Id="rId40" Type="http://schemas.openxmlformats.org/officeDocument/2006/relationships/hyperlink" Target="http://www.sec.gov/Archives/edgar/data/0001590584/000159058421000105/rbc-civeoxcreditagreemen.htm" TargetMode="External"/><Relationship Id="rId41" Type="http://schemas.openxmlformats.org/officeDocument/2006/relationships/hyperlink" Target="http://www.sec.gov/Archives/edgar/data/1590584/000159058423000075/rbc-civeoxfirstamendment.htm" TargetMode="External"/><Relationship Id="rId42" Type="http://schemas.openxmlformats.org/officeDocument/2006/relationships/hyperlink" Target="http://www.sec.gov/Archives/edgar/data/1590584/000159058423000075/rbc-civeoxfirstamendment.htm" TargetMode="External"/><Relationship Id="rId43" Type="http://schemas.openxmlformats.org/officeDocument/2006/relationships/hyperlink" Target="http://www.sec.gov/Archives/edgar/data/1590584/000159058423000075/rbc-civeoxfirstamendment.htm" TargetMode="External"/><Relationship Id="rId44" Type="http://schemas.openxmlformats.org/officeDocument/2006/relationships/hyperlink" Target="http://www.sec.gov/Archives/edgar/data/1590584/000159058419000055/exhibit1032directorsdeferr.htm" TargetMode="External"/><Relationship Id="rId45" Type="http://schemas.openxmlformats.org/officeDocument/2006/relationships/hyperlink" Target="http://www.sec.gov/Archives/edgar/data/1590584/000159058419000055/exhibit1033directorsdeferr.htm" TargetMode="External"/><Relationship Id="rId46" Type="http://schemas.openxmlformats.org/officeDocument/2006/relationships/hyperlink" Target="http://www.sec.gov/Archives/edgar/data/1590584/000159058423000043/a1025firstamendmenttoexecu.htm" TargetMode="External"/><Relationship Id="rId47" Type="http://schemas.openxmlformats.org/officeDocument/2006/relationships/hyperlink" Target="http://www.sec.gov/Archives/edgar/data/1590584/000159058423000043/a1025firstamendmenttoexecu.htm" TargetMode="External"/><Relationship Id="rId48" Type="http://schemas.openxmlformats.org/officeDocument/2006/relationships/hyperlink" Target="http://www.sec.gov/Archives/edgar/data/1590584/000159058423000043/a1025firstamendmenttoexecu.htm" TargetMode="External"/><Relationship Id="rId49" Type="http://schemas.openxmlformats.org/officeDocument/2006/relationships/hyperlink" Target="http://www.sec.gov/Archives/edgar/data/1590584/000159058423000043/a1025firstamendmenttoexecu.htm" TargetMode="External"/><Relationship Id="rId50" Type="http://schemas.openxmlformats.org/officeDocument/2006/relationships/hyperlink" Target="http://www.sec.gov/Archives/edgar/data/1590584/000159058421000116/schoening-dualemploymentco.htm" TargetMode="External"/><Relationship Id="rId51" Type="http://schemas.openxmlformats.org/officeDocument/2006/relationships/hyperlink" Target="http://www.sec.gov/Archives/edgar/data/1590584/000159058423000111/hp0115003alschoeningamen.htm" TargetMode="External"/><Relationship Id="rId52" Type="http://schemas.openxmlformats.org/officeDocument/2006/relationships/hyperlink" Target="http://www.sec.gov/Archives/edgar/data/1590584/000159058423000111/hp0115003alschoeningamen.htm" TargetMode="External"/><Relationship Id="rId53" Type="http://schemas.openxmlformats.org/officeDocument/2006/relationships/hyperlink" Target="http://www.sec.gov/Archives/edgar/data/1590584/000159058423000111/hp0115003alschoeningamen.htm" TargetMode="External"/><Relationship Id="rId54" Type="http://schemas.openxmlformats.org/officeDocument/2006/relationships/hyperlink" Target="http://www.sec.gov/Archives/edgar/data/1590584/000159058423000111/hp0115003alschoeningamen.htm" TargetMode="External"/><Relationship Id="rId55" Type="http://schemas.openxmlformats.org/officeDocument/2006/relationships/hyperlink" Target="http://www.sec.gov/Archives/edgar/data/1590584/000159058423000111/hp0115003alschoeningamen.htm" TargetMode="External"/><Relationship Id="rId56" Type="http://schemas.openxmlformats.org/officeDocument/2006/relationships/hyperlink" Target="http://www.sec.gov/Archives/edgar/data/1590584/000159058423000111/hp0115003alschoeningamen.htm" TargetMode="External"/><Relationship Id="rId57" Type="http://schemas.openxmlformats.org/officeDocument/2006/relationships/hyperlink" Target="http://www.sec.gov/Archives/edgar/data/1590584/000159058423000111/hp0115003alschoeningamen.htm" TargetMode="External"/><Relationship Id="rId58" Type="http://schemas.openxmlformats.org/officeDocument/2006/relationships/hyperlink" Target="http://www.sec.gov/Archives/edgar/data/1590584/000159058423000111/hp0115003alschoeningamen.htm" TargetMode="External"/><Relationship Id="rId59" Type="http://schemas.openxmlformats.org/officeDocument/2006/relationships/hyperlink" Target="http://www.sec.gov/Archives/edgar/data/1590584/000159058423000111/hp0115003alschoeningamen.htm" TargetMode="External"/><Relationship Id="rId60" Type="http://schemas.openxmlformats.org/officeDocument/2006/relationships/image" Target="media/image4.png"/><Relationship Id="rId61" Type="http://schemas.openxmlformats.org/officeDocument/2006/relationships/image" Target="media/image5.png"/><Relationship Id="rId62" Type="http://schemas.openxmlformats.org/officeDocument/2006/relationships/image" Target="media/image4.png"/><Relationship Id="rId63" Type="http://schemas.openxmlformats.org/officeDocument/2006/relationships/image" Target="media/image5.png"/><Relationship Id="rId64" Type="http://schemas.openxmlformats.org/officeDocument/2006/relationships/image" Target="media/image4.png"/><Relationship Id="rId65" Type="http://schemas.openxmlformats.org/officeDocument/2006/relationships/image" Target="media/image5.pn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61223</Words>
  <Characters>343691</Characters>
  <CharactersWithSpaces>403096</CharactersWithSpaces>
  <Paragraphs>5073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