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47"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__________________</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October 25, 2019</w:t>
      </w:r>
    </w:p>
    <w:p>
      <w:pPr>
        <w:spacing w:after="0" w:line="28" w:lineRule="exact"/>
        <w:rPr>
          <w:sz w:val="24"/>
          <w:szCs w:val="24"/>
          <w:color w:val="auto"/>
        </w:rPr>
      </w:pPr>
    </w:p>
    <w:p>
      <w:pPr>
        <w:ind w:left="4640"/>
        <w:spacing w:after="0"/>
        <w:rPr>
          <w:sz w:val="20"/>
          <w:szCs w:val="20"/>
          <w:color w:val="auto"/>
        </w:rPr>
      </w:pPr>
      <w:r>
        <w:rPr>
          <w:rFonts w:ascii="Arial" w:cs="Arial" w:eastAsia="Arial" w:hAnsi="Arial"/>
          <w:sz w:val="22"/>
          <w:szCs w:val="22"/>
          <w:u w:val="single" w:color="auto"/>
          <w:color w:val="auto"/>
        </w:rPr>
        <w:t>____________________</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Civeo Corporation</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04" w:lineRule="exact"/>
        <w:rPr>
          <w:sz w:val="24"/>
          <w:szCs w:val="24"/>
          <w:color w:val="auto"/>
        </w:rPr>
      </w:pPr>
    </w:p>
    <w:tbl>
      <w:tblPr>
        <w:tblLayout w:type="fixed"/>
        <w:tblInd w:w="940" w:type="dxa"/>
        <w:tblCellMar>
          <w:top w:w="0" w:type="dxa"/>
          <w:left w:w="0" w:type="dxa"/>
          <w:bottom w:w="0" w:type="dxa"/>
          <w:right w:w="0" w:type="dxa"/>
        </w:tblCellMar>
      </w:tblPr>
      <w:tr>
        <w:trPr>
          <w:trHeight w:val="256"/>
        </w:trPr>
        <w:tc>
          <w:tcPr>
            <w:tcW w:w="3360" w:type="dxa"/>
            <w:vAlign w:val="bottom"/>
          </w:tcPr>
          <w:p>
            <w:pPr>
              <w:jc w:val="center"/>
              <w:ind w:right="824"/>
              <w:spacing w:after="0"/>
              <w:rPr>
                <w:sz w:val="20"/>
                <w:szCs w:val="20"/>
                <w:color w:val="auto"/>
              </w:rPr>
            </w:pPr>
            <w:r>
              <w:rPr>
                <w:rFonts w:ascii="Arial" w:cs="Arial" w:eastAsia="Arial" w:hAnsi="Arial"/>
                <w:sz w:val="22"/>
                <w:szCs w:val="22"/>
                <w:b w:val="1"/>
                <w:bCs w:val="1"/>
                <w:color w:val="auto"/>
                <w:w w:val="91"/>
              </w:rPr>
              <w:t>British Columbia, Canada</w:t>
            </w:r>
          </w:p>
        </w:tc>
        <w:tc>
          <w:tcPr>
            <w:tcW w:w="3380" w:type="dxa"/>
            <w:vAlign w:val="bottom"/>
          </w:tcPr>
          <w:p>
            <w:pPr>
              <w:jc w:val="center"/>
              <w:ind w:right="124"/>
              <w:spacing w:after="0"/>
              <w:rPr>
                <w:sz w:val="20"/>
                <w:szCs w:val="20"/>
                <w:color w:val="auto"/>
              </w:rPr>
            </w:pPr>
            <w:r>
              <w:rPr>
                <w:rFonts w:ascii="Arial" w:cs="Arial" w:eastAsia="Arial" w:hAnsi="Arial"/>
                <w:sz w:val="22"/>
                <w:szCs w:val="22"/>
                <w:b w:val="1"/>
                <w:bCs w:val="1"/>
                <w:color w:val="auto"/>
                <w:w w:val="89"/>
              </w:rPr>
              <w:t>1-36246</w:t>
            </w:r>
          </w:p>
        </w:tc>
        <w:tc>
          <w:tcPr>
            <w:tcW w:w="2500" w:type="dxa"/>
            <w:vAlign w:val="bottom"/>
          </w:tcPr>
          <w:p>
            <w:pPr>
              <w:jc w:val="center"/>
              <w:ind w:left="1044"/>
              <w:spacing w:after="0"/>
              <w:rPr>
                <w:sz w:val="20"/>
                <w:szCs w:val="20"/>
                <w:color w:val="auto"/>
              </w:rPr>
            </w:pPr>
            <w:r>
              <w:rPr>
                <w:rFonts w:ascii="Arial" w:cs="Arial" w:eastAsia="Arial" w:hAnsi="Arial"/>
                <w:sz w:val="22"/>
                <w:szCs w:val="22"/>
                <w:b w:val="1"/>
                <w:bCs w:val="1"/>
                <w:color w:val="auto"/>
                <w:w w:val="88"/>
              </w:rPr>
              <w:t>98-1253716</w:t>
            </w:r>
          </w:p>
        </w:tc>
      </w:tr>
      <w:tr>
        <w:trPr>
          <w:trHeight w:val="216"/>
        </w:trPr>
        <w:tc>
          <w:tcPr>
            <w:tcW w:w="3360" w:type="dxa"/>
            <w:vAlign w:val="bottom"/>
          </w:tcPr>
          <w:p>
            <w:pPr>
              <w:jc w:val="center"/>
              <w:ind w:right="844"/>
              <w:spacing w:after="0"/>
              <w:rPr>
                <w:sz w:val="20"/>
                <w:szCs w:val="20"/>
                <w:color w:val="auto"/>
              </w:rPr>
            </w:pPr>
            <w:r>
              <w:rPr>
                <w:rFonts w:ascii="Arial" w:cs="Arial" w:eastAsia="Arial" w:hAnsi="Arial"/>
                <w:sz w:val="18"/>
                <w:szCs w:val="18"/>
                <w:color w:val="auto"/>
                <w:w w:val="92"/>
              </w:rPr>
              <w:t>(State or other jurisdiction</w:t>
            </w:r>
          </w:p>
        </w:tc>
        <w:tc>
          <w:tcPr>
            <w:tcW w:w="3380" w:type="dxa"/>
            <w:vAlign w:val="bottom"/>
          </w:tcPr>
          <w:p>
            <w:pPr>
              <w:jc w:val="center"/>
              <w:ind w:right="104"/>
              <w:spacing w:after="0"/>
              <w:rPr>
                <w:sz w:val="20"/>
                <w:szCs w:val="20"/>
                <w:color w:val="auto"/>
              </w:rPr>
            </w:pPr>
            <w:r>
              <w:rPr>
                <w:rFonts w:ascii="Arial" w:cs="Arial" w:eastAsia="Arial" w:hAnsi="Arial"/>
                <w:sz w:val="18"/>
                <w:szCs w:val="18"/>
                <w:color w:val="auto"/>
                <w:w w:val="93"/>
              </w:rPr>
              <w:t>(Commission File</w:t>
            </w:r>
          </w:p>
        </w:tc>
        <w:tc>
          <w:tcPr>
            <w:tcW w:w="2500" w:type="dxa"/>
            <w:vAlign w:val="bottom"/>
          </w:tcPr>
          <w:p>
            <w:pPr>
              <w:jc w:val="center"/>
              <w:ind w:left="1044"/>
              <w:spacing w:after="0"/>
              <w:rPr>
                <w:sz w:val="20"/>
                <w:szCs w:val="20"/>
                <w:color w:val="auto"/>
              </w:rPr>
            </w:pPr>
            <w:r>
              <w:rPr>
                <w:rFonts w:ascii="Arial" w:cs="Arial" w:eastAsia="Arial" w:hAnsi="Arial"/>
                <w:sz w:val="18"/>
                <w:szCs w:val="18"/>
                <w:color w:val="auto"/>
                <w:w w:val="93"/>
              </w:rPr>
              <w:t>(I.R.S. Employer</w:t>
            </w:r>
          </w:p>
        </w:tc>
      </w:tr>
      <w:tr>
        <w:trPr>
          <w:trHeight w:val="230"/>
        </w:trPr>
        <w:tc>
          <w:tcPr>
            <w:tcW w:w="3360" w:type="dxa"/>
            <w:vAlign w:val="bottom"/>
          </w:tcPr>
          <w:p>
            <w:pPr>
              <w:jc w:val="center"/>
              <w:ind w:right="824"/>
              <w:spacing w:after="0"/>
              <w:rPr>
                <w:sz w:val="20"/>
                <w:szCs w:val="20"/>
                <w:color w:val="auto"/>
              </w:rPr>
            </w:pPr>
            <w:r>
              <w:rPr>
                <w:rFonts w:ascii="Arial" w:cs="Arial" w:eastAsia="Arial" w:hAnsi="Arial"/>
                <w:sz w:val="18"/>
                <w:szCs w:val="18"/>
                <w:color w:val="auto"/>
                <w:w w:val="92"/>
              </w:rPr>
              <w:t>of incorporation or organization)</w:t>
            </w:r>
          </w:p>
        </w:tc>
        <w:tc>
          <w:tcPr>
            <w:tcW w:w="3380" w:type="dxa"/>
            <w:vAlign w:val="bottom"/>
          </w:tcPr>
          <w:p>
            <w:pPr>
              <w:jc w:val="center"/>
              <w:ind w:right="104"/>
              <w:spacing w:after="0"/>
              <w:rPr>
                <w:sz w:val="20"/>
                <w:szCs w:val="20"/>
                <w:color w:val="auto"/>
              </w:rPr>
            </w:pPr>
            <w:r>
              <w:rPr>
                <w:rFonts w:ascii="Arial" w:cs="Arial" w:eastAsia="Arial" w:hAnsi="Arial"/>
                <w:sz w:val="18"/>
                <w:szCs w:val="18"/>
                <w:color w:val="auto"/>
                <w:w w:val="94"/>
              </w:rPr>
              <w:t>Number)</w:t>
            </w:r>
          </w:p>
        </w:tc>
        <w:tc>
          <w:tcPr>
            <w:tcW w:w="2500" w:type="dxa"/>
            <w:vAlign w:val="bottom"/>
          </w:tcPr>
          <w:p>
            <w:pPr>
              <w:jc w:val="center"/>
              <w:ind w:left="1064"/>
              <w:spacing w:after="0"/>
              <w:rPr>
                <w:sz w:val="20"/>
                <w:szCs w:val="20"/>
                <w:color w:val="auto"/>
              </w:rPr>
            </w:pPr>
            <w:r>
              <w:rPr>
                <w:rFonts w:ascii="Arial" w:cs="Arial" w:eastAsia="Arial" w:hAnsi="Arial"/>
                <w:sz w:val="18"/>
                <w:szCs w:val="18"/>
                <w:color w:val="auto"/>
                <w:w w:val="95"/>
              </w:rPr>
              <w:t>Identification No.)</w:t>
            </w:r>
          </w:p>
        </w:tc>
      </w:tr>
    </w:tbl>
    <w:p>
      <w:pPr>
        <w:spacing w:after="0" w:line="216" w:lineRule="exact"/>
        <w:rPr>
          <w:sz w:val="24"/>
          <w:szCs w:val="24"/>
          <w:color w:val="auto"/>
        </w:rPr>
      </w:pPr>
    </w:p>
    <w:p>
      <w:pPr>
        <w:jc w:val="center"/>
        <w:ind w:left="340"/>
        <w:spacing w:after="0"/>
        <w:rPr>
          <w:sz w:val="20"/>
          <w:szCs w:val="20"/>
          <w:color w:val="auto"/>
        </w:rPr>
      </w:pPr>
      <w:r>
        <w:rPr>
          <w:rFonts w:ascii="Arial" w:cs="Arial" w:eastAsia="Arial" w:hAnsi="Arial"/>
          <w:sz w:val="22"/>
          <w:szCs w:val="22"/>
          <w:b w:val="1"/>
          <w:bCs w:val="1"/>
          <w:color w:val="auto"/>
        </w:rPr>
        <w:t>Three Allen Center</w:t>
      </w:r>
    </w:p>
    <w:p>
      <w:pPr>
        <w:spacing w:after="0" w:line="4" w:lineRule="exact"/>
        <w:rPr>
          <w:sz w:val="24"/>
          <w:szCs w:val="24"/>
          <w:color w:val="auto"/>
        </w:rPr>
      </w:pPr>
    </w:p>
    <w:p>
      <w:pPr>
        <w:jc w:val="center"/>
        <w:ind w:left="340"/>
        <w:spacing w:after="0"/>
        <w:rPr>
          <w:sz w:val="20"/>
          <w:szCs w:val="20"/>
          <w:color w:val="auto"/>
        </w:rPr>
      </w:pPr>
      <w:r>
        <w:rPr>
          <w:rFonts w:ascii="Arial" w:cs="Arial" w:eastAsia="Arial" w:hAnsi="Arial"/>
          <w:sz w:val="22"/>
          <w:szCs w:val="22"/>
          <w:b w:val="1"/>
          <w:bCs w:val="1"/>
          <w:color w:val="auto"/>
        </w:rPr>
        <w:t>333 Clay Street, Suite 4980</w:t>
      </w:r>
    </w:p>
    <w:p>
      <w:pPr>
        <w:jc w:val="center"/>
        <w:ind w:left="340"/>
        <w:spacing w:after="0" w:line="235" w:lineRule="auto"/>
        <w:rPr>
          <w:sz w:val="20"/>
          <w:szCs w:val="20"/>
          <w:color w:val="auto"/>
        </w:rPr>
      </w:pPr>
      <w:r>
        <w:rPr>
          <w:rFonts w:ascii="Arial" w:cs="Arial" w:eastAsia="Arial" w:hAnsi="Arial"/>
          <w:sz w:val="22"/>
          <w:szCs w:val="22"/>
          <w:b w:val="1"/>
          <w:bCs w:val="1"/>
          <w:color w:val="auto"/>
        </w:rPr>
        <w:t>Houston, Texas 77002</w:t>
      </w:r>
    </w:p>
    <w:p>
      <w:pPr>
        <w:spacing w:after="0" w:line="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(Address and zip code of principal executive offices)</w:t>
      </w:r>
    </w:p>
    <w:p>
      <w:pPr>
        <w:spacing w:after="0" w:line="232"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510-2400</w:t>
      </w:r>
    </w:p>
    <w:p>
      <w:pPr>
        <w:spacing w:after="0" w:line="337"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[_]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[_] Pre-commencement communications pursuant to Rule 13e-4(c) under the Exchange Act (17 CFR 240.13e-4(c))</w:t>
      </w:r>
    </w:p>
    <w:p>
      <w:pPr>
        <w:spacing w:after="0" w:line="355"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390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1"/>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90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135"/>
        </w:trPr>
        <w:tc>
          <w:tcPr>
            <w:tcW w:w="3900" w:type="dxa"/>
            <w:vAlign w:val="bottom"/>
            <w:tcBorders>
              <w:left w:val="single" w:sz="8" w:color="00000A"/>
              <w:bottom w:val="single" w:sz="8" w:color="00000A"/>
              <w:right w:val="single" w:sz="8" w:color="00000A"/>
            </w:tcBorders>
          </w:tcPr>
          <w:p>
            <w:pPr>
              <w:spacing w:after="0"/>
              <w:rPr>
                <w:sz w:val="11"/>
                <w:szCs w:val="11"/>
                <w:color w:val="auto"/>
              </w:rPr>
            </w:pPr>
          </w:p>
        </w:tc>
        <w:tc>
          <w:tcPr>
            <w:tcW w:w="2620" w:type="dxa"/>
            <w:vAlign w:val="bottom"/>
            <w:tcBorders>
              <w:bottom w:val="single" w:sz="8" w:color="00000A"/>
              <w:right w:val="single" w:sz="8" w:color="00000A"/>
            </w:tcBorders>
          </w:tcPr>
          <w:p>
            <w:pPr>
              <w:spacing w:after="0"/>
              <w:rPr>
                <w:sz w:val="11"/>
                <w:szCs w:val="11"/>
                <w:color w:val="auto"/>
              </w:rPr>
            </w:pPr>
          </w:p>
        </w:tc>
        <w:tc>
          <w:tcPr>
            <w:tcW w:w="4900" w:type="dxa"/>
            <w:vAlign w:val="bottom"/>
            <w:tcBorders>
              <w:bottom w:val="single" w:sz="8" w:color="00000A"/>
              <w:right w:val="single" w:sz="8" w:color="00000A"/>
            </w:tcBorders>
          </w:tcPr>
          <w:p>
            <w:pPr>
              <w:spacing w:after="0"/>
              <w:rPr>
                <w:sz w:val="11"/>
                <w:szCs w:val="11"/>
                <w:color w:val="auto"/>
              </w:rPr>
            </w:pPr>
          </w:p>
        </w:tc>
      </w:tr>
      <w:tr>
        <w:trPr>
          <w:trHeight w:val="237"/>
        </w:trPr>
        <w:tc>
          <w:tcPr>
            <w:tcW w:w="390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89"/>
              </w:rPr>
              <w:t>Common Shares, no par value</w:t>
            </w:r>
          </w:p>
        </w:tc>
        <w:tc>
          <w:tcPr>
            <w:tcW w:w="262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3"/>
              </w:rPr>
              <w:t>CVEO</w:t>
            </w:r>
          </w:p>
        </w:tc>
        <w:tc>
          <w:tcPr>
            <w:tcW w:w="4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135"/>
        </w:trPr>
        <w:tc>
          <w:tcPr>
            <w:tcW w:w="3900" w:type="dxa"/>
            <w:vAlign w:val="bottom"/>
            <w:tcBorders>
              <w:left w:val="single" w:sz="8" w:color="00000A"/>
              <w:bottom w:val="single" w:sz="8" w:color="00000A"/>
              <w:right w:val="single" w:sz="8" w:color="00000A"/>
            </w:tcBorders>
          </w:tcPr>
          <w:p>
            <w:pPr>
              <w:spacing w:after="0"/>
              <w:rPr>
                <w:sz w:val="11"/>
                <w:szCs w:val="11"/>
                <w:color w:val="auto"/>
              </w:rPr>
            </w:pPr>
          </w:p>
        </w:tc>
        <w:tc>
          <w:tcPr>
            <w:tcW w:w="2620" w:type="dxa"/>
            <w:vAlign w:val="bottom"/>
            <w:tcBorders>
              <w:bottom w:val="single" w:sz="8" w:color="00000A"/>
              <w:right w:val="single" w:sz="8" w:color="00000A"/>
            </w:tcBorders>
          </w:tcPr>
          <w:p>
            <w:pPr>
              <w:spacing w:after="0"/>
              <w:rPr>
                <w:sz w:val="11"/>
                <w:szCs w:val="11"/>
                <w:color w:val="auto"/>
              </w:rPr>
            </w:pPr>
          </w:p>
        </w:tc>
        <w:tc>
          <w:tcPr>
            <w:tcW w:w="4900" w:type="dxa"/>
            <w:vAlign w:val="bottom"/>
            <w:tcBorders>
              <w:bottom w:val="single" w:sz="8" w:color="00000A"/>
              <w:right w:val="single" w:sz="8" w:color="00000A"/>
            </w:tcBorders>
          </w:tcPr>
          <w:p>
            <w:pPr>
              <w:spacing w:after="0"/>
              <w:rPr>
                <w:sz w:val="11"/>
                <w:szCs w:val="11"/>
                <w:color w:val="auto"/>
              </w:rPr>
            </w:pPr>
          </w:p>
        </w:tc>
      </w:tr>
    </w:tbl>
    <w:p>
      <w:pPr>
        <w:spacing w:after="0" w:line="202"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ectPr>
          <w:pgSz w:w="11900" w:h="16838" w:orient="portrait"/>
          <w:cols w:equalWidth="0" w:num="1">
            <w:col w:w="11400"/>
          </w:cols>
          <w:pgMar w:left="240" w:top="215" w:right="259" w:bottom="1440" w:gutter="0" w:footer="0" w:header="0"/>
        </w:sectPr>
      </w:pPr>
    </w:p>
    <w:bookmarkStart w:id="1" w:name="page2"/>
    <w:bookmarkEnd w:id="1"/>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80"/>
          </w:cols>
          <w:pgMar w:left="240" w:top="584" w:right="37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On October 25, 2019, Civeo Corporation (“Civeo”) issued a press release announcing its financial condition and results of operations as of and for the quarter ended September 30, 2019. A copy of the press release is furnished as Exhibit 99.1 to this report on Form 8-K, and is incorporated herein by reference.</w:t>
      </w:r>
    </w:p>
    <w:p>
      <w:pPr>
        <w:spacing w:after="0" w:line="22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66" w:lineRule="exact"/>
        <w:rPr>
          <w:sz w:val="20"/>
          <w:szCs w:val="20"/>
          <w:color w:val="auto"/>
        </w:rPr>
      </w:pPr>
    </w:p>
    <w:p>
      <w:pPr>
        <w:ind w:left="1120" w:hanging="464"/>
        <w:spacing w:after="0"/>
        <w:tabs>
          <w:tab w:leader="none" w:pos="1120" w:val="left"/>
        </w:tabs>
        <w:numPr>
          <w:ilvl w:val="0"/>
          <w:numId w:val="1"/>
        </w:numPr>
        <w:rPr>
          <w:rFonts w:ascii="Arial" w:cs="Arial" w:eastAsia="Arial" w:hAnsi="Arial"/>
          <w:sz w:val="22"/>
          <w:szCs w:val="22"/>
          <w:color w:val="auto"/>
        </w:rPr>
      </w:pPr>
      <w:r>
        <w:rPr>
          <w:rFonts w:ascii="Arial" w:cs="Arial" w:eastAsia="Arial" w:hAnsi="Arial"/>
          <w:sz w:val="22"/>
          <w:szCs w:val="22"/>
          <w:u w:val="single" w:color="auto"/>
          <w:color w:val="auto"/>
        </w:rPr>
        <w:t>Exhibits</w:t>
      </w:r>
      <w:r>
        <w:rPr>
          <w:rFonts w:ascii="Arial" w:cs="Arial" w:eastAsia="Arial" w:hAnsi="Arial"/>
          <w:sz w:val="22"/>
          <w:szCs w:val="22"/>
          <w:color w:val="auto"/>
        </w:rPr>
        <w:t>.</w:t>
      </w:r>
    </w:p>
    <w:p>
      <w:pPr>
        <w:spacing w:after="0" w:line="38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20" w:type="dxa"/>
            <w:vAlign w:val="bottom"/>
            <w:gridSpan w:val="2"/>
          </w:tcPr>
          <w:p>
            <w:pPr>
              <w:spacing w:after="0"/>
              <w:rPr>
                <w:sz w:val="20"/>
                <w:szCs w:val="20"/>
                <w:color w:val="auto"/>
              </w:rPr>
            </w:pPr>
            <w:r>
              <w:rPr>
                <w:rFonts w:ascii="Arial" w:cs="Arial" w:eastAsia="Arial" w:hAnsi="Arial"/>
                <w:sz w:val="22"/>
                <w:szCs w:val="22"/>
                <w:color w:val="auto"/>
              </w:rPr>
              <w:t>Exhibit</w:t>
            </w:r>
          </w:p>
        </w:tc>
        <w:tc>
          <w:tcPr>
            <w:tcW w:w="3260" w:type="dxa"/>
            <w:vAlign w:val="bottom"/>
            <w:gridSpan w:val="2"/>
          </w:tcPr>
          <w:p>
            <w:pPr>
              <w:spacing w:after="0"/>
              <w:rPr>
                <w:sz w:val="20"/>
                <w:szCs w:val="20"/>
                <w:color w:val="auto"/>
              </w:rPr>
            </w:pPr>
            <w:r>
              <w:rPr>
                <w:rFonts w:ascii="Arial" w:cs="Arial" w:eastAsia="Arial" w:hAnsi="Arial"/>
                <w:sz w:val="22"/>
                <w:szCs w:val="22"/>
                <w:color w:val="auto"/>
              </w:rPr>
              <w:t>Description of Document</w:t>
            </w:r>
          </w:p>
        </w:tc>
      </w:tr>
      <w:tr>
        <w:trPr>
          <w:trHeight w:val="223"/>
        </w:trPr>
        <w:tc>
          <w:tcPr>
            <w:tcW w:w="1720" w:type="dxa"/>
            <w:vAlign w:val="bottom"/>
            <w:gridSpan w:val="2"/>
          </w:tcPr>
          <w:p>
            <w:pPr>
              <w:spacing w:after="0" w:line="223" w:lineRule="exact"/>
              <w:rPr>
                <w:sz w:val="20"/>
                <w:szCs w:val="20"/>
                <w:color w:val="auto"/>
              </w:rPr>
            </w:pPr>
            <w:r>
              <w:rPr>
                <w:rFonts w:ascii="Arial" w:cs="Arial" w:eastAsia="Arial" w:hAnsi="Arial"/>
                <w:sz w:val="22"/>
                <w:szCs w:val="22"/>
                <w:color w:val="auto"/>
              </w:rPr>
              <w:t>Number</w:t>
            </w:r>
          </w:p>
        </w:tc>
        <w:tc>
          <w:tcPr>
            <w:tcW w:w="2200" w:type="dxa"/>
            <w:vAlign w:val="bottom"/>
            <w:tcBorders>
              <w:top w:val="single" w:sz="8" w:color="auto"/>
            </w:tcBorders>
          </w:tcPr>
          <w:p>
            <w:pPr>
              <w:spacing w:after="0"/>
              <w:rPr>
                <w:sz w:val="19"/>
                <w:szCs w:val="19"/>
                <w:color w:val="auto"/>
              </w:rPr>
            </w:pPr>
          </w:p>
        </w:tc>
        <w:tc>
          <w:tcPr>
            <w:tcW w:w="1060" w:type="dxa"/>
            <w:vAlign w:val="bottom"/>
          </w:tcPr>
          <w:p>
            <w:pPr>
              <w:spacing w:after="0"/>
              <w:rPr>
                <w:sz w:val="19"/>
                <w:szCs w:val="19"/>
                <w:color w:val="auto"/>
              </w:rPr>
            </w:pPr>
          </w:p>
        </w:tc>
      </w:tr>
      <w:tr>
        <w:trPr>
          <w:trHeight w:val="520"/>
        </w:trPr>
        <w:tc>
          <w:tcPr>
            <w:tcW w:w="70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99.1</w:t>
            </w:r>
          </w:p>
        </w:tc>
        <w:tc>
          <w:tcPr>
            <w:tcW w:w="1020" w:type="dxa"/>
            <w:vAlign w:val="bottom"/>
          </w:tcPr>
          <w:p>
            <w:pPr>
              <w:spacing w:after="0"/>
              <w:rPr>
                <w:sz w:val="24"/>
                <w:szCs w:val="24"/>
                <w:color w:val="auto"/>
              </w:rPr>
            </w:pPr>
          </w:p>
        </w:tc>
        <w:tc>
          <w:tcPr>
            <w:tcW w:w="3260" w:type="dxa"/>
            <w:vAlign w:val="bottom"/>
            <w:tcBorders>
              <w:bottom w:val="single" w:sz="8" w:color="0000FF"/>
            </w:tcBorders>
            <w:gridSpan w:val="2"/>
          </w:tcPr>
          <w:p>
            <w:pPr>
              <w:spacing w:after="0"/>
              <w:rPr>
                <w:rFonts w:ascii="Arial" w:cs="Arial" w:eastAsia="Arial" w:hAnsi="Arial"/>
                <w:sz w:val="22"/>
                <w:szCs w:val="22"/>
                <w:color w:val="0000FF"/>
                <w:w w:val="85"/>
              </w:rPr>
            </w:pPr>
            <w:hyperlink w:anchor="page5">
              <w:r>
                <w:rPr>
                  <w:rFonts w:ascii="Arial" w:cs="Arial" w:eastAsia="Arial" w:hAnsi="Arial"/>
                  <w:sz w:val="22"/>
                  <w:szCs w:val="22"/>
                  <w:color w:val="0000FF"/>
                  <w:w w:val="85"/>
                </w:rPr>
                <w:t>Press Release dated October 25, 2019</w:t>
              </w:r>
            </w:hyperlink>
          </w:p>
        </w:tc>
      </w:tr>
    </w:tbl>
    <w:p>
      <w:pPr>
        <w:sectPr>
          <w:pgSz w:w="11900" w:h="16838" w:orient="portrait"/>
          <w:cols w:equalWidth="0" w:num="1">
            <w:col w:w="11420"/>
          </w:cols>
          <w:pgMar w:left="240" w:top="369"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Dated: October 25, 2019</w:t>
      </w:r>
    </w:p>
    <w:p>
      <w:pPr>
        <w:spacing w:after="0" w:line="254"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CIVEO CORPORATION</w:t>
      </w:r>
    </w:p>
    <w:p>
      <w:pPr>
        <w:spacing w:after="0" w:line="200" w:lineRule="exact"/>
        <w:rPr>
          <w:sz w:val="20"/>
          <w:szCs w:val="20"/>
          <w:color w:val="auto"/>
        </w:rPr>
      </w:pPr>
    </w:p>
    <w:p>
      <w:pPr>
        <w:spacing w:after="0" w:line="323"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Frank C. Steininger</w:t>
      </w:r>
      <w:r>
        <w:rPr>
          <w:rFonts w:ascii="Arial" w:cs="Arial" w:eastAsia="Arial" w:hAnsi="Arial"/>
          <w:sz w:val="22"/>
          <w:szCs w:val="22"/>
          <w:color w:val="auto"/>
        </w:rPr>
        <w:t xml:space="preserve"> </w:t>
      </w:r>
      <w:r>
        <w:rPr>
          <w:rFonts w:ascii="Arial" w:cs="Arial" w:eastAsia="Arial" w:hAnsi="Arial"/>
          <w:sz w:val="22"/>
          <w:szCs w:val="22"/>
          <w:color w:val="FFFFFF"/>
        </w:rPr>
        <w:t>,</w:t>
      </w:r>
    </w:p>
    <w:p>
      <w:pPr>
        <w:spacing w:after="0" w:line="22" w:lineRule="exact"/>
        <w:rPr>
          <w:sz w:val="20"/>
          <w:szCs w:val="20"/>
          <w:color w:val="auto"/>
        </w:rPr>
      </w:pPr>
    </w:p>
    <w:p>
      <w:pPr>
        <w:ind w:left="3240"/>
        <w:spacing w:after="0"/>
        <w:tabs>
          <w:tab w:leader="none" w:pos="402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Frank C. Steininger</w:t>
      </w:r>
    </w:p>
    <w:p>
      <w:pPr>
        <w:spacing w:after="0" w:line="4"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Chief Financial Officer and Treasurer</w:t>
      </w:r>
    </w:p>
    <w:p>
      <w:pPr>
        <w:sectPr>
          <w:pgSz w:w="11900" w:h="16838" w:orient="portrait"/>
          <w:cols w:equalWidth="0" w:num="1">
            <w:col w:w="11420"/>
          </w:cols>
          <w:pgMar w:left="240" w:top="369"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7"/>
          <w:szCs w:val="27"/>
          <w:b w:val="1"/>
          <w:bCs w:val="1"/>
          <w:color w:val="auto"/>
        </w:rPr>
        <w:t>Civeo Reports Third Quarter 2019 Results</w:t>
      </w:r>
    </w:p>
    <w:p>
      <w:pPr>
        <w:spacing w:after="0" w:line="200" w:lineRule="exact"/>
        <w:rPr>
          <w:sz w:val="20"/>
          <w:szCs w:val="20"/>
          <w:color w:val="auto"/>
        </w:rPr>
      </w:pPr>
    </w:p>
    <w:p>
      <w:pPr>
        <w:spacing w:after="0" w:line="31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HOUSTON and CALGARY, October 25, 2019 (BUSINESS WIRE) -- Civeo Corporation (NYSE:CVEO) today reported financial and operating results for the third quarter ended September 30, 2019.</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Highlights include:</w:t>
      </w:r>
    </w:p>
    <w:p>
      <w:pPr>
        <w:spacing w:after="0" w:line="144"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Reported third quarter revenues of $148.2 million, net income of $4.5 million and operating cash flow of $23.6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Delivered third quarter Adjusted EBITDA of $36.2 million, up 62% year-over-year, and free cash flow of $20.3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Reduced leverage ratio from 4.26x as of June 30, 2019 to 3.52x as of September 30, 2019</w:t>
      </w:r>
    </w:p>
    <w:p>
      <w:pPr>
        <w:spacing w:after="0" w:line="225" w:lineRule="exact"/>
        <w:rPr>
          <w:rFonts w:ascii="Arial" w:cs="Arial" w:eastAsia="Arial" w:hAnsi="Arial"/>
          <w:sz w:val="18"/>
          <w:szCs w:val="18"/>
          <w:color w:val="auto"/>
        </w:rPr>
      </w:pPr>
    </w:p>
    <w:p>
      <w:pPr>
        <w:ind w:left="660" w:right="8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Completed strategic acquisition of Action Industrial Catering (“Action”) on July 1, 2019, expanding the Company’s presence in both the Integrated Services and Western Australian markets</w:t>
      </w:r>
    </w:p>
    <w:p>
      <w:pPr>
        <w:spacing w:after="0" w:line="196" w:lineRule="exact"/>
        <w:rPr>
          <w:rFonts w:ascii="Arial" w:cs="Arial" w:eastAsia="Arial" w:hAnsi="Arial"/>
          <w:sz w:val="18"/>
          <w:szCs w:val="18"/>
          <w:color w:val="auto"/>
        </w:rPr>
      </w:pPr>
    </w:p>
    <w:p>
      <w:pPr>
        <w:ind w:left="660" w:right="40" w:hanging="328"/>
        <w:spacing w:after="0" w:line="27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Completed an amendment and extension to its entire credit agreement to, among other things, extend the maturity date of the revolving commitments and term loan commitments for the majority of lenders by twelve months to November 30, 2021, and preferentially adjust the permitted leverage ratio to provide the Company more financial flexibility through the maturity of the agreement</w:t>
      </w:r>
    </w:p>
    <w:p>
      <w:pPr>
        <w:spacing w:after="0" w:line="185" w:lineRule="exact"/>
        <w:rPr>
          <w:rFonts w:ascii="Arial" w:cs="Arial" w:eastAsia="Arial" w:hAnsi="Arial"/>
          <w:sz w:val="17"/>
          <w:szCs w:val="17"/>
          <w:color w:val="auto"/>
        </w:rPr>
      </w:pPr>
    </w:p>
    <w:p>
      <w:pPr>
        <w:ind w:left="66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Today announced contract extensions from two major customers in Australia with expected contracted revenues of approximately A$37 million</w:t>
      </w:r>
    </w:p>
    <w:p>
      <w:pPr>
        <w:spacing w:after="0" w:line="19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third quarter results demonstrated the diverse activity drivers and operating leverage of our lodge and village operations in our Canadian and Australian segments. In Australia, strong customer metallurgical coal margins continue to drive improved performance and growing contract coverage at our villages. We also benefited from the contributions of the recently completed Action acquisition. In British Columbia, our newly expanded Sitka Lodge is benefiting from LNG-related construction activity. Finally, we experienced strong seasonal turnaround and maintenance activity in the Canadian oil sands. The sequentially improved Adjusted EBITDA coupled with lower expansionary capital expenditures allowed us to reduce our aggregate leverage this quarter, as well as significantly reduce our leverage ratio. We were also very pleased to complete the amendment and extension to our credit agreement and appreciate the continued support of our key bank relationships as well as one new lender," stated Bradley J. Dodson, Civeo's President and Chief Executive Officer.</w:t>
      </w:r>
    </w:p>
    <w:p>
      <w:pPr>
        <w:spacing w:after="0" w:line="20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Mr. Dodson added, "We generated improved year-over-year revenue and Adjusted EBITDA, up 23% and 62%, respectively. The significant year-over-year improvement is primarily due to increased Bowen Basin activity in Australia, strong turnaround activity in the Canadian oil sands and the contribution from our newly-expanded Sitka Lodge supporting LNG activity in British Columbia. This improvement was partially offset by lower occupancy and decreased drilling and completion activity in the U.S."</w:t>
      </w:r>
    </w:p>
    <w:p>
      <w:pPr>
        <w:spacing w:after="0" w:line="20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Mr. Dodson concluded, “We are encouraged by the Company's achievements this quarter and we will continue to focus on operational execution, revenue diversification, free cash flow generation, deleveraging our balance sheet and winning new work as opportunities present themselves."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 Quarter 2019 Results</w:t>
      </w:r>
    </w:p>
    <w:p>
      <w:pPr>
        <w:spacing w:after="0" w:line="14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the third quarter of 2019, Civeo generated revenues of $ 148.2 million and reported net income of $4.5 million, or $0.02 per diluted share. During the third quarter of 2019, Civeo produced operating cash flow of $23.6 million, Adjusted EBITDA of $36.2 million and free cash flow of $20.3 million.</w:t>
      </w:r>
    </w:p>
    <w:p>
      <w:pPr>
        <w:spacing w:after="0" w:line="121"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Overall, the third quarter of 2019 outperformed the third quarter of 2018 due to stronger results in Canada and Australia coupled with a reduction in SG&amp;A in part related to $2.0 million in professional fees incurred in 2018.</w:t>
      </w:r>
    </w:p>
    <w:p>
      <w:pPr>
        <w:spacing w:after="0" w:line="11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By comparison, in the third quarter of 2018, Civeo generated revenues of $120.5 million and reported a net loss of $14.3 million, or $0.09 per diluted share, which included roughly $2.0 million in professional fees. During the third</w:t>
      </w:r>
    </w:p>
    <w:p>
      <w:pPr>
        <w:sectPr>
          <w:pgSz w:w="11900" w:h="16838" w:orient="portrait"/>
          <w:cols w:equalWidth="0" w:num="1">
            <w:col w:w="11420"/>
          </w:cols>
          <w:pgMar w:left="240" w:top="58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quarter of 2018, Civeo generated operating cash flow of $11.9 million, Adjusted EBITDA of $22.4 million and free cash flow of $9.8 million.</w:t>
      </w:r>
    </w:p>
    <w:p>
      <w:pPr>
        <w:spacing w:after="0" w:line="14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(EBITDA is a non-GAAP financial measure that is defined as net income plus interest, taxes, depreciation and amortization, and Adjusted EBITDA is defined as EBITDA adjusted to exclude impairment charges and certain costs associated with Civeo's acquisition of Noralta Lodge Ltd. ("Noralta") and Action. Free cash flow is a non-GAAP financial measure that is defined as net cash flows provided by operating activities less capital expenditures plus proceeds from asset sales. Please see the reconciliations to GAAP measures at the end of this news release.)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Segment Results</w:t>
      </w:r>
    </w:p>
    <w:p>
      <w:pPr>
        <w:spacing w:after="0" w:line="14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(Unless otherwise noted, the following discussion compares the quarterly results for the third quarter of 2019 to the results for the third quarter of 2018.)</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Canada</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During the third quarter of 2019, the Canadian segment generated revenues of $91.1 million, operating income of $2.9 million and Adjusted EBITDA of $25.0 million, compared to revenues of $76.8 million, operating loss of $7.6 million and Adjusted EBITDA of $16.0 million in the third quarter of 2018. The third quarter of 2019 results reflect the impact of a weakened Canadian dollar relative to the U.S. dollar, which decreased revenues and Adjusted EBITDA by $1.0 million and $0.3 million, respectively.</w:t>
      </w:r>
    </w:p>
    <w:p>
      <w:pPr>
        <w:spacing w:after="0" w:line="12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On a constant currency basis, the Canadian segment experienced a 20% period-over-period increase in revenues driven by a 7% year-over-year increase in billed rooms related to oil sands maintenance and turnaround activity and the contribution from the newly expanded Sitka Lodge serving LNG activity. Adjusted EBITDA for the Canadian segment increased 56% year-over-year with the higher lodge occupancy and related operating leverage.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Australia</w:t>
      </w:r>
    </w:p>
    <w:p>
      <w:pPr>
        <w:spacing w:after="0" w:line="14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During the third quarter of 2019, the Australian segment generated revenues of $47.7 million, operating income of $4.7 million and Adjusted EBITDA of $ 17.2 million, compared to revenues of $31.1 million, operating income of $0.5 million and Adjusted EBITDA of $12.4 million in the third quarter of 2018. The third quarter of 2019 results reflect the impact of a weakened Australian dollar relative to the U.S. dollar, which decreased revenues and Adjusted EBITDA by $2.2 million and $1.0 million, respectively.</w:t>
      </w:r>
    </w:p>
    <w:p>
      <w:pPr>
        <w:spacing w:after="0" w:line="12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On a constant currency basis, the Australian segment experienced a 61% period-over-period increase in revenues primarily driven by contributions from the acquisition of Action Catering. Australian village occupancy increased year-over-year with billed rooms up 15% primarily due to continued improvement in metallurgical coal activity across the Bowen Basin. Adjusted EBITDA from the Australian segment increased 38% year-over-year due to higher village occupancy coupled with contributions from the recent acquisition of Action Catering. The Australian revenues in the third quarter of 2019 increased more year-over-year than the Australian Adjusted EBITDA did due to the acquisition of Action Catering and the inherent lower margins in the service-only business model.</w:t>
      </w:r>
    </w:p>
    <w:p>
      <w:pPr>
        <w:spacing w:after="0" w:line="128"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Civeo today announced that it has been awarded two contract extensions in Australia to provide rooms and hospitality services from the Company's Dysart and Coppabella accommodation facilities in Australia. The contracts are expected to generate a combined A$37 million during their respective terms. The details are as follows:</w:t>
      </w:r>
    </w:p>
    <w:p>
      <w:pPr>
        <w:spacing w:after="0" w:line="121" w:lineRule="exact"/>
        <w:rPr>
          <w:sz w:val="20"/>
          <w:szCs w:val="20"/>
          <w:color w:val="auto"/>
        </w:rPr>
      </w:pPr>
    </w:p>
    <w:p>
      <w:pPr>
        <w:ind w:left="660" w:right="180" w:hanging="328"/>
        <w:spacing w:after="0" w:line="25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contract extension from BHP Mitsubishi Alliance Coal Operations Pty Ltd (“BMA”) at Civeo’s existing Dysart accommodation facility that will generate approximately A$27 million in contracted revenues from 2019 to 2021. Civeo will continue to provide rooms and hospitality services at Dysart to BMA for an additional two years through September 2021. As part of the extension agreement, the “take-or-pay” committed rooms will increase from 280 rooms to 480 rooms.</w:t>
      </w:r>
    </w:p>
    <w:p>
      <w:pPr>
        <w:spacing w:after="0" w:line="12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contract extension from a major coal producer at Civeo’s existing Coppabella accommodation facility that will generate approximately A$10 million in contracted revenues over 2019-2022. Civeo will continue to provide rooms and hospitality services at Coppabella to this producer for an additional 30 months through August 2022.</w:t>
      </w:r>
    </w:p>
    <w:p>
      <w:pPr>
        <w:sectPr>
          <w:pgSz w:w="11900" w:h="16838" w:orient="portrait"/>
          <w:cols w:equalWidth="0" w:num="1">
            <w:col w:w="11400"/>
          </w:cols>
          <w:pgMar w:left="240" w:top="598"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auto"/>
        </w:rPr>
        <w:t>U.S.</w:t>
      </w:r>
    </w:p>
    <w:p>
      <w:pPr>
        <w:spacing w:after="0" w:line="14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U.S. segment generated revenues of $9.3 million, operating loss of $2.2 million and Adjusted EBITDA of $0.3 million in the third quarter of 2019, compared to revenues of $ 12.6 million, operating loss of $1.3 million and Adjusted EBITDA of $2.4 million in the third quarter of 2018. Revenues and Adjusted EBITDA declined year-over-year primarily due to lower drilling and completion activity driving lower occupancy in the U.S. lodges, partially offset by improvement in the Company's wellsite business.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14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Civeo recognized an income tax benefit of $6.6 million, which resulted in an effective tax rate of 421.4%, in the third quarter of 2019. The effective tax rate for the three months ended September 30, 2019 was impacted by a tax benefit of $3.0 million related to a reduction in the Alberta, Canada income tax rate as well as a $2.1 million tax benefit related to the change in the valuation allowance in Australia resulting from the acquisition of Action.</w:t>
      </w:r>
    </w:p>
    <w:p>
      <w:pPr>
        <w:spacing w:after="0" w:line="123" w:lineRule="exact"/>
        <w:rPr>
          <w:sz w:val="20"/>
          <w:szCs w:val="20"/>
          <w:color w:val="auto"/>
        </w:rPr>
      </w:pPr>
    </w:p>
    <w:p>
      <w:pPr>
        <w:ind w:right="780"/>
        <w:spacing w:after="0" w:line="407" w:lineRule="auto"/>
        <w:rPr>
          <w:sz w:val="20"/>
          <w:szCs w:val="20"/>
          <w:color w:val="auto"/>
        </w:rPr>
      </w:pPr>
      <w:r>
        <w:rPr>
          <w:rFonts w:ascii="Arial" w:cs="Arial" w:eastAsia="Arial" w:hAnsi="Arial"/>
          <w:sz w:val="18"/>
          <w:szCs w:val="18"/>
          <w:color w:val="auto"/>
        </w:rPr>
        <w:t xml:space="preserve">During the third quarter of 2018, Civeo recognized an income tax benefit of $5.3 million, which resulted in an effective tax rate of 28%. </w:t>
      </w:r>
      <w:r>
        <w:rPr>
          <w:rFonts w:ascii="Arial" w:cs="Arial" w:eastAsia="Arial" w:hAnsi="Arial"/>
          <w:sz w:val="18"/>
          <w:szCs w:val="18"/>
          <w:u w:val="single" w:color="auto"/>
          <w:color w:val="auto"/>
        </w:rPr>
        <w:t>Financial Condition</w:t>
      </w:r>
    </w:p>
    <w:p>
      <w:pPr>
        <w:ind w:right="20"/>
        <w:spacing w:after="0" w:line="262" w:lineRule="auto"/>
        <w:rPr>
          <w:sz w:val="20"/>
          <w:szCs w:val="20"/>
          <w:color w:val="auto"/>
        </w:rPr>
      </w:pPr>
      <w:r>
        <w:rPr>
          <w:rFonts w:ascii="Arial" w:cs="Arial" w:eastAsia="Arial" w:hAnsi="Arial"/>
          <w:sz w:val="18"/>
          <w:szCs w:val="18"/>
          <w:color w:val="auto"/>
        </w:rPr>
        <w:t>As of September 30, 2019, Civeo had total liquidity of approximately $88.0 million, consisting of $79.9 million available under its revolving credit facilities and $8.1 million of cash on hand.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Civeo’s total debt outstanding on September 30, 2019 was $393.5 million, a $11.8 million decrease since June 30, 2019.</w:t>
      </w:r>
    </w:p>
    <w:p>
      <w:pPr>
        <w:spacing w:after="0" w:line="14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Civeo recently announced the completion of an amendment and extension to its entire credit agreement. Among other things, the amended credit facility extends the maturity date of both (1) the revolving commitments and (2) term loan commitments for the majority of lenders by twelve months to November 30, 2021; adjusts the permitted level of Civeo’s leverage ratio to a maximum of 4.25x for the third quarter of 2019, 4.00x in the fourth quarter of 2019, 3.75x in the first, second and third quarter of 2020 and 3.50x in the fourth quarter of 2020 and thereafter; and increases the total commitment by approximately $24 million through the addition of a new lender.</w:t>
      </w:r>
    </w:p>
    <w:p>
      <w:pPr>
        <w:spacing w:after="0" w:line="124" w:lineRule="exact"/>
        <w:rPr>
          <w:sz w:val="20"/>
          <w:szCs w:val="20"/>
          <w:color w:val="auto"/>
        </w:rPr>
      </w:pPr>
    </w:p>
    <w:p>
      <w:pPr>
        <w:ind w:right="580"/>
        <w:spacing w:after="0" w:line="407" w:lineRule="auto"/>
        <w:rPr>
          <w:sz w:val="20"/>
          <w:szCs w:val="20"/>
          <w:color w:val="auto"/>
        </w:rPr>
      </w:pPr>
      <w:r>
        <w:rPr>
          <w:rFonts w:ascii="Arial" w:cs="Arial" w:eastAsia="Arial" w:hAnsi="Arial"/>
          <w:sz w:val="18"/>
          <w:szCs w:val="18"/>
          <w:color w:val="auto"/>
        </w:rPr>
        <w:t xml:space="preserve">During the third quarter of 2019, Civeo invested $4.3 million in capital expenditures, up from $2.7 million during the third quarter of 2018. </w:t>
      </w:r>
      <w:r>
        <w:rPr>
          <w:rFonts w:ascii="Arial" w:cs="Arial" w:eastAsia="Arial" w:hAnsi="Arial"/>
          <w:sz w:val="18"/>
          <w:szCs w:val="18"/>
          <w:u w:val="single" w:color="auto"/>
          <w:color w:val="auto"/>
        </w:rPr>
        <w:t>Fourth Quarter and Full Year 2019 Guidance</w:t>
      </w:r>
    </w:p>
    <w:p>
      <w:pPr>
        <w:spacing w:after="0" w:line="256" w:lineRule="auto"/>
        <w:rPr>
          <w:sz w:val="20"/>
          <w:szCs w:val="20"/>
          <w:color w:val="auto"/>
        </w:rPr>
      </w:pPr>
      <w:r>
        <w:rPr>
          <w:rFonts w:ascii="Arial" w:cs="Arial" w:eastAsia="Arial" w:hAnsi="Arial"/>
          <w:sz w:val="18"/>
          <w:szCs w:val="18"/>
          <w:color w:val="auto"/>
        </w:rPr>
        <w:t>For the fourth quarter of 2019, Civeo expects Adjusted EBITDA of $19.5 million to $23.5 million and for the full year of 2019, Civeo is increasing Adjusted EBITDA guidance to a range of $98.0 million to $102.0 million. The Company is lowering its full year 2019 capital expenditure guidance to a range of $33 million to $37 million.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Conference Call</w:t>
      </w:r>
    </w:p>
    <w:p>
      <w:pPr>
        <w:spacing w:after="0" w:line="14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Civeo will host a conference call to discuss its third quarter 2019 financial results today at 11:00 a.m. Eastern time. This call is being webcast and can be accessed at Civeo's website at www.civeo.com. Participants may also join the conference call by dialing (800) 239-9838 in the United States or (323) 794-2551 internationally and using the conference ID 7512562#. A replay will be available after the call by dialing (844) 512-2921 in the United States or (412) 317-6671 internationally and using the conference ID 7512562#.</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Civeo</w:t>
      </w:r>
    </w:p>
    <w:p>
      <w:pPr>
        <w:spacing w:after="0" w:line="14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Civeo Corporation is a leading provider of hospitality services with prominent market positions in the Canadian oil sands and the Australian natural resource regions. Civeo offers comprehensive solutions for lodging hundreds or thousands of workers with its long-term and temporary accommodations and provides food services, housekeeping, facility management, laundry, water and wastewater treatment, power generation, communications systems, security and logistics services. Civeo currently operates a total of 30 lodges and villages in Canada, Australia and the U.S., with an aggregate of approximately 31,000 rooms. Civeo is publicly traded under the symbol CVEO on the New York Stock Exchange. For more information, please visit Civeo's website at www.civeo.com.</w:t>
      </w:r>
    </w:p>
    <w:p>
      <w:pPr>
        <w:sectPr>
          <w:pgSz w:w="11900" w:h="16838" w:orient="portrait"/>
          <w:cols w:equalWidth="0" w:num="1">
            <w:col w:w="11420"/>
          </w:cols>
          <w:pgMar w:left="240" w:top="59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Forward Looking Statements</w:t>
      </w:r>
    </w:p>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in this news release include the statements regarding Civeo’s future plans, priorities, contracted revenues and borrowing needs; growth opportunities and ability to adapt to market conditions; expectations about activity, market demand and commodity price environment in 2019; expected benefits of the contract extensions from two major Australian customers and fourth quarter and full year 2019 guidance. The forward-looking statements included herein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the general nature of the accommodations industry, risks associated with the level of supply and demand for oil, coal, iron ore and other minerals, including the level of activity and developments in the Canadian oil sands, the level of demand for coal and other natural resources from Australia, and fluctuations in the current and future prices of oil, coal, iron ore and other minerals, risks associated with currency exchange rates, risks associated with the Noralta acquisition, risks associated with the acquisition of Action Catering, risks associated with the development of new projects, including whether such projects will continue in the future, and other factors discussed in the "Management’s Discussion and Analysis of Financial Condition and Results of Operations" and "Risk Factors" sections of Civeo’s annual report on Form 10-K for the year ended December 31, 2018 and other reports the Company may file from time to time with the U.S. Securities and Exchange Commission. Each forward-looking statement contained in this news release speaks only as of the date of this release. Except as required by law, Civeo expressly disclaims any intention or obligation to revise or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 Financial Schedules Follow -</w:t>
      </w:r>
    </w:p>
    <w:p>
      <w:pPr>
        <w:sectPr>
          <w:pgSz w:w="11900" w:h="16838" w:orient="portrait"/>
          <w:cols w:equalWidth="0" w:num="1">
            <w:col w:w="11420"/>
          </w:cols>
          <w:pgMar w:left="240" w:top="598" w:right="2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00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Nine Months Ended</w:t>
            </w:r>
          </w:p>
        </w:tc>
      </w:tr>
      <w:tr>
        <w:trPr>
          <w:trHeight w:val="190"/>
        </w:trPr>
        <w:tc>
          <w:tcPr>
            <w:tcW w:w="4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200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September 30,</w:t>
            </w:r>
          </w:p>
        </w:tc>
      </w:tr>
      <w:tr>
        <w:trPr>
          <w:trHeight w:val="276"/>
        </w:trPr>
        <w:tc>
          <w:tcPr>
            <w:tcW w:w="4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r>
      <w:tr>
        <w:trPr>
          <w:trHeight w:val="582"/>
        </w:trPr>
        <w:tc>
          <w:tcPr>
            <w:tcW w:w="4560" w:type="dxa"/>
            <w:vAlign w:val="bottom"/>
          </w:tcPr>
          <w:p>
            <w:pPr>
              <w:spacing w:after="0"/>
              <w:rPr>
                <w:sz w:val="20"/>
                <w:szCs w:val="20"/>
                <w:color w:val="auto"/>
              </w:rPr>
            </w:pPr>
            <w:r>
              <w:rPr>
                <w:rFonts w:ascii="Arial" w:cs="Arial" w:eastAsia="Arial" w:hAnsi="Arial"/>
                <w:sz w:val="14"/>
                <w:szCs w:val="14"/>
                <w:color w:val="auto"/>
              </w:rPr>
              <w:t>Revenues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148,163</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120,491</w:t>
            </w:r>
          </w:p>
        </w:tc>
        <w:tc>
          <w:tcPr>
            <w:tcW w:w="18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378,866</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352,172</w:t>
            </w:r>
          </w:p>
        </w:tc>
      </w:tr>
      <w:tr>
        <w:trPr>
          <w:trHeight w:val="567"/>
        </w:trPr>
        <w:tc>
          <w:tcPr>
            <w:tcW w:w="4560" w:type="dxa"/>
            <w:vAlign w:val="bottom"/>
          </w:tcPr>
          <w:p>
            <w:pPr>
              <w:spacing w:after="0"/>
              <w:rPr>
                <w:sz w:val="20"/>
                <w:szCs w:val="20"/>
                <w:color w:val="auto"/>
              </w:rPr>
            </w:pPr>
            <w:r>
              <w:rPr>
                <w:rFonts w:ascii="Arial" w:cs="Arial" w:eastAsia="Arial" w:hAnsi="Arial"/>
                <w:sz w:val="14"/>
                <w:szCs w:val="14"/>
                <w:color w:val="auto"/>
              </w:rPr>
              <w:t>Costs and expenses:</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0"/>
        </w:trPr>
        <w:tc>
          <w:tcPr>
            <w:tcW w:w="4560" w:type="dxa"/>
            <w:vAlign w:val="bottom"/>
          </w:tcPr>
          <w:p>
            <w:pPr>
              <w:ind w:left="140"/>
              <w:spacing w:after="0"/>
              <w:rPr>
                <w:sz w:val="20"/>
                <w:szCs w:val="20"/>
                <w:color w:val="auto"/>
              </w:rPr>
            </w:pPr>
            <w:r>
              <w:rPr>
                <w:rFonts w:ascii="Arial" w:cs="Arial" w:eastAsia="Arial" w:hAnsi="Arial"/>
                <w:sz w:val="14"/>
                <w:szCs w:val="14"/>
                <w:color w:val="auto"/>
              </w:rPr>
              <w:t>Cost of sales and services</w:t>
            </w:r>
          </w:p>
        </w:tc>
        <w:tc>
          <w:tcPr>
            <w:tcW w:w="28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99,480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82,227</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264,350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249,383</w:t>
            </w:r>
          </w:p>
        </w:tc>
      </w:tr>
      <w:tr>
        <w:trPr>
          <w:trHeight w:val="270"/>
        </w:trPr>
        <w:tc>
          <w:tcPr>
            <w:tcW w:w="4560" w:type="dxa"/>
            <w:vAlign w:val="bottom"/>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28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14,334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16,854</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42,960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55,189</w:t>
            </w:r>
          </w:p>
        </w:tc>
      </w:tr>
      <w:tr>
        <w:trPr>
          <w:trHeight w:val="270"/>
        </w:trPr>
        <w:tc>
          <w:tcPr>
            <w:tcW w:w="4560" w:type="dxa"/>
            <w:vAlign w:val="bottom"/>
          </w:tcPr>
          <w:p>
            <w:pPr>
              <w:ind w:left="140"/>
              <w:spacing w:after="0"/>
              <w:rPr>
                <w:sz w:val="20"/>
                <w:szCs w:val="20"/>
                <w:color w:val="auto"/>
              </w:rPr>
            </w:pPr>
            <w:r>
              <w:rPr>
                <w:rFonts w:ascii="Arial" w:cs="Arial" w:eastAsia="Arial" w:hAnsi="Arial"/>
                <w:sz w:val="14"/>
                <w:szCs w:val="14"/>
                <w:color w:val="auto"/>
              </w:rPr>
              <w:t>Depreciation and amortization expense</w:t>
            </w:r>
          </w:p>
        </w:tc>
        <w:tc>
          <w:tcPr>
            <w:tcW w:w="28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31,196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34,468</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92,974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99,502</w:t>
            </w:r>
          </w:p>
        </w:tc>
      </w:tr>
      <w:tr>
        <w:trPr>
          <w:trHeight w:val="270"/>
        </w:trPr>
        <w:tc>
          <w:tcPr>
            <w:tcW w:w="4560" w:type="dxa"/>
            <w:vAlign w:val="bottom"/>
          </w:tcPr>
          <w:p>
            <w:pPr>
              <w:ind w:left="140"/>
              <w:spacing w:after="0"/>
              <w:rPr>
                <w:sz w:val="20"/>
                <w:szCs w:val="20"/>
                <w:color w:val="auto"/>
              </w:rPr>
            </w:pPr>
            <w:r>
              <w:rPr>
                <w:rFonts w:ascii="Arial" w:cs="Arial" w:eastAsia="Arial" w:hAnsi="Arial"/>
                <w:sz w:val="14"/>
                <w:szCs w:val="14"/>
                <w:color w:val="auto"/>
              </w:rPr>
              <w:t>Impairment expense</w:t>
            </w:r>
          </w:p>
        </w:tc>
        <w:tc>
          <w:tcPr>
            <w:tcW w:w="28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5,546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28,661</w:t>
            </w:r>
          </w:p>
        </w:tc>
      </w:tr>
      <w:tr>
        <w:trPr>
          <w:trHeight w:val="276"/>
        </w:trPr>
        <w:tc>
          <w:tcPr>
            <w:tcW w:w="4560" w:type="dxa"/>
            <w:vAlign w:val="bottom"/>
          </w:tcPr>
          <w:p>
            <w:pPr>
              <w:ind w:left="140"/>
              <w:spacing w:after="0"/>
              <w:rPr>
                <w:sz w:val="20"/>
                <w:szCs w:val="20"/>
                <w:color w:val="auto"/>
              </w:rPr>
            </w:pPr>
            <w:r>
              <w:rPr>
                <w:rFonts w:ascii="Arial" w:cs="Arial" w:eastAsia="Arial" w:hAnsi="Arial"/>
                <w:sz w:val="14"/>
                <w:szCs w:val="14"/>
                <w:color w:val="auto"/>
              </w:rPr>
              <w:t>Other operating expense (income)</w:t>
            </w: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348</w:t>
            </w:r>
          </w:p>
        </w:tc>
      </w:tr>
      <w:tr>
        <w:trPr>
          <w:trHeight w:val="250"/>
        </w:trPr>
        <w:tc>
          <w:tcPr>
            <w:tcW w:w="45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145,287</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133,386</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405,939</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433,083</w:t>
            </w:r>
          </w:p>
        </w:tc>
      </w:tr>
      <w:tr>
        <w:trPr>
          <w:trHeight w:val="244"/>
        </w:trPr>
        <w:tc>
          <w:tcPr>
            <w:tcW w:w="4560" w:type="dxa"/>
            <w:vAlign w:val="bottom"/>
          </w:tcPr>
          <w:p>
            <w:pPr>
              <w:spacing w:after="0"/>
              <w:rPr>
                <w:sz w:val="20"/>
                <w:szCs w:val="20"/>
                <w:color w:val="auto"/>
              </w:rPr>
            </w:pPr>
            <w:r>
              <w:rPr>
                <w:rFonts w:ascii="Arial" w:cs="Arial" w:eastAsia="Arial" w:hAnsi="Arial"/>
                <w:sz w:val="14"/>
                <w:szCs w:val="14"/>
                <w:color w:val="auto"/>
              </w:rPr>
              <w:t>Operating income (loss)</w:t>
            </w:r>
          </w:p>
        </w:tc>
        <w:tc>
          <w:tcPr>
            <w:tcW w:w="280" w:type="dxa"/>
            <w:vAlign w:val="bottom"/>
          </w:tcPr>
          <w:p>
            <w:pPr>
              <w:spacing w:after="0"/>
              <w:rPr>
                <w:sz w:val="21"/>
                <w:szCs w:val="21"/>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2,876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(12,895)</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(27,073)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(80,911)</w:t>
            </w:r>
          </w:p>
        </w:tc>
      </w:tr>
      <w:tr>
        <w:trPr>
          <w:trHeight w:val="567"/>
        </w:trPr>
        <w:tc>
          <w:tcPr>
            <w:tcW w:w="4560" w:type="dxa"/>
            <w:vAlign w:val="bottom"/>
          </w:tcPr>
          <w:p>
            <w:pPr>
              <w:spacing w:after="0"/>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(7,315)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(6,404)</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(20,670)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(19,329)</w:t>
            </w:r>
          </w:p>
        </w:tc>
      </w:tr>
      <w:tr>
        <w:trPr>
          <w:trHeight w:val="270"/>
        </w:trPr>
        <w:tc>
          <w:tcPr>
            <w:tcW w:w="4560" w:type="dxa"/>
            <w:vAlign w:val="bottom"/>
          </w:tcPr>
          <w:p>
            <w:pPr>
              <w:spacing w:after="0"/>
              <w:rPr>
                <w:sz w:val="20"/>
                <w:szCs w:val="20"/>
                <w:color w:val="auto"/>
              </w:rPr>
            </w:pPr>
            <w:r>
              <w:rPr>
                <w:rFonts w:ascii="Arial" w:cs="Arial" w:eastAsia="Arial" w:hAnsi="Arial"/>
                <w:sz w:val="14"/>
                <w:szCs w:val="14"/>
                <w:color w:val="auto"/>
              </w:rPr>
              <w:t>Loss on extinguishment of debt</w:t>
            </w:r>
          </w:p>
        </w:tc>
        <w:tc>
          <w:tcPr>
            <w:tcW w:w="28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(748)</w:t>
            </w:r>
          </w:p>
        </w:tc>
      </w:tr>
      <w:tr>
        <w:trPr>
          <w:trHeight w:val="270"/>
        </w:trPr>
        <w:tc>
          <w:tcPr>
            <w:tcW w:w="4560" w:type="dxa"/>
            <w:vAlign w:val="bottom"/>
          </w:tcPr>
          <w:p>
            <w:pPr>
              <w:spacing w:after="0"/>
              <w:rPr>
                <w:sz w:val="20"/>
                <w:szCs w:val="20"/>
                <w:color w:val="auto"/>
              </w:rPr>
            </w:pPr>
            <w:r>
              <w:rPr>
                <w:rFonts w:ascii="Arial" w:cs="Arial" w:eastAsia="Arial" w:hAnsi="Arial"/>
                <w:sz w:val="14"/>
                <w:szCs w:val="14"/>
                <w:color w:val="auto"/>
              </w:rPr>
              <w:t>Interest income</w:t>
            </w:r>
          </w:p>
        </w:tc>
        <w:tc>
          <w:tcPr>
            <w:tcW w:w="28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92</w:t>
            </w:r>
          </w:p>
        </w:tc>
      </w:tr>
      <w:tr>
        <w:trPr>
          <w:trHeight w:val="276"/>
        </w:trPr>
        <w:tc>
          <w:tcPr>
            <w:tcW w:w="4560" w:type="dxa"/>
            <w:vAlign w:val="bottom"/>
          </w:tcPr>
          <w:p>
            <w:pPr>
              <w:spacing w:after="0"/>
              <w:rPr>
                <w:sz w:val="20"/>
                <w:szCs w:val="20"/>
                <w:color w:val="auto"/>
              </w:rPr>
            </w:pPr>
            <w:r>
              <w:rPr>
                <w:rFonts w:ascii="Arial" w:cs="Arial" w:eastAsia="Arial" w:hAnsi="Arial"/>
                <w:sz w:val="14"/>
                <w:szCs w:val="14"/>
                <w:color w:val="auto"/>
              </w:rPr>
              <w:t>Other income</w:t>
            </w: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2,849</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412</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6,882</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2,923</w:t>
            </w:r>
          </w:p>
        </w:tc>
      </w:tr>
      <w:tr>
        <w:trPr>
          <w:trHeight w:val="244"/>
        </w:trPr>
        <w:tc>
          <w:tcPr>
            <w:tcW w:w="4560" w:type="dxa"/>
            <w:vAlign w:val="bottom"/>
          </w:tcPr>
          <w:p>
            <w:pPr>
              <w:ind w:left="140"/>
              <w:spacing w:after="0"/>
              <w:rPr>
                <w:sz w:val="20"/>
                <w:szCs w:val="20"/>
                <w:color w:val="auto"/>
              </w:rPr>
            </w:pPr>
            <w:r>
              <w:rPr>
                <w:rFonts w:ascii="Arial" w:cs="Arial" w:eastAsia="Arial" w:hAnsi="Arial"/>
                <w:sz w:val="14"/>
                <w:szCs w:val="14"/>
                <w:color w:val="auto"/>
              </w:rPr>
              <w:t>Loss before income taxes</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(18,871)</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(40,795)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(97,973)</w:t>
            </w:r>
          </w:p>
        </w:tc>
      </w:tr>
      <w:tr>
        <w:trPr>
          <w:trHeight w:val="276"/>
        </w:trPr>
        <w:tc>
          <w:tcPr>
            <w:tcW w:w="4560" w:type="dxa"/>
            <w:vAlign w:val="bottom"/>
          </w:tcPr>
          <w:p>
            <w:pPr>
              <w:spacing w:after="0"/>
              <w:rPr>
                <w:sz w:val="20"/>
                <w:szCs w:val="20"/>
                <w:color w:val="auto"/>
              </w:rPr>
            </w:pPr>
            <w:r>
              <w:rPr>
                <w:rFonts w:ascii="Arial" w:cs="Arial" w:eastAsia="Arial" w:hAnsi="Arial"/>
                <w:sz w:val="14"/>
                <w:szCs w:val="14"/>
                <w:color w:val="auto"/>
              </w:rPr>
              <w:t>Income tax benefit</w:t>
            </w: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6,629</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5,330</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13,963</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29,386</w:t>
            </w:r>
          </w:p>
        </w:tc>
      </w:tr>
      <w:tr>
        <w:trPr>
          <w:trHeight w:val="244"/>
        </w:trPr>
        <w:tc>
          <w:tcPr>
            <w:tcW w:w="4560" w:type="dxa"/>
            <w:vAlign w:val="bottom"/>
          </w:tcPr>
          <w:p>
            <w:pPr>
              <w:spacing w:after="0"/>
              <w:rPr>
                <w:sz w:val="20"/>
                <w:szCs w:val="20"/>
                <w:color w:val="auto"/>
              </w:rPr>
            </w:pPr>
            <w:r>
              <w:rPr>
                <w:rFonts w:ascii="Arial" w:cs="Arial" w:eastAsia="Arial" w:hAnsi="Arial"/>
                <w:sz w:val="14"/>
                <w:szCs w:val="14"/>
                <w:color w:val="auto"/>
              </w:rPr>
              <w:t>Net income (loss)</w:t>
            </w:r>
          </w:p>
        </w:tc>
        <w:tc>
          <w:tcPr>
            <w:tcW w:w="280" w:type="dxa"/>
            <w:vAlign w:val="bottom"/>
          </w:tcPr>
          <w:p>
            <w:pPr>
              <w:spacing w:after="0"/>
              <w:rPr>
                <w:sz w:val="21"/>
                <w:szCs w:val="21"/>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5,056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(13,541)</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(26,832)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(68,587)</w:t>
            </w:r>
          </w:p>
        </w:tc>
      </w:tr>
      <w:tr>
        <w:trPr>
          <w:trHeight w:val="276"/>
        </w:trPr>
        <w:tc>
          <w:tcPr>
            <w:tcW w:w="4560" w:type="dxa"/>
            <w:vAlign w:val="bottom"/>
          </w:tcPr>
          <w:p>
            <w:pPr>
              <w:ind w:left="140"/>
              <w:spacing w:after="0"/>
              <w:rPr>
                <w:sz w:val="20"/>
                <w:szCs w:val="20"/>
                <w:color w:val="auto"/>
              </w:rPr>
            </w:pPr>
            <w:r>
              <w:rPr>
                <w:rFonts w:ascii="Arial" w:cs="Arial" w:eastAsia="Arial" w:hAnsi="Arial"/>
                <w:sz w:val="14"/>
                <w:szCs w:val="14"/>
                <w:color w:val="auto"/>
              </w:rPr>
              <w:t>Less: Net income attributable to noncontrolling interest</w:t>
            </w: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341</w:t>
            </w:r>
          </w:p>
        </w:tc>
      </w:tr>
      <w:tr>
        <w:trPr>
          <w:trHeight w:val="244"/>
        </w:trPr>
        <w:tc>
          <w:tcPr>
            <w:tcW w:w="4560" w:type="dxa"/>
            <w:vAlign w:val="bottom"/>
          </w:tcPr>
          <w:p>
            <w:pPr>
              <w:spacing w:after="0"/>
              <w:rPr>
                <w:sz w:val="20"/>
                <w:szCs w:val="20"/>
                <w:color w:val="auto"/>
              </w:rPr>
            </w:pPr>
            <w:r>
              <w:rPr>
                <w:rFonts w:ascii="Arial" w:cs="Arial" w:eastAsia="Arial" w:hAnsi="Arial"/>
                <w:sz w:val="14"/>
                <w:szCs w:val="14"/>
                <w:color w:val="auto"/>
              </w:rPr>
              <w:t>Net income (loss) attributable to Civeo Corporation</w:t>
            </w:r>
          </w:p>
        </w:tc>
        <w:tc>
          <w:tcPr>
            <w:tcW w:w="280" w:type="dxa"/>
            <w:vAlign w:val="bottom"/>
          </w:tcPr>
          <w:p>
            <w:pPr>
              <w:spacing w:after="0"/>
              <w:rPr>
                <w:sz w:val="21"/>
                <w:szCs w:val="21"/>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4,996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(13,638)</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(26,892)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(68,928)</w:t>
            </w:r>
          </w:p>
        </w:tc>
      </w:tr>
      <w:tr>
        <w:trPr>
          <w:trHeight w:val="276"/>
        </w:trPr>
        <w:tc>
          <w:tcPr>
            <w:tcW w:w="4560" w:type="dxa"/>
            <w:vAlign w:val="bottom"/>
          </w:tcPr>
          <w:p>
            <w:pPr>
              <w:ind w:left="140"/>
              <w:spacing w:after="0"/>
              <w:rPr>
                <w:sz w:val="20"/>
                <w:szCs w:val="20"/>
                <w:color w:val="auto"/>
              </w:rPr>
            </w:pPr>
            <w:r>
              <w:rPr>
                <w:rFonts w:ascii="Arial" w:cs="Arial" w:eastAsia="Arial" w:hAnsi="Arial"/>
                <w:sz w:val="14"/>
                <w:szCs w:val="14"/>
                <w:color w:val="auto"/>
              </w:rPr>
              <w:t>Less: Dividends attributable to Class A preferred shares</w:t>
            </w: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464</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612</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1,384</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49,100</w:t>
            </w:r>
          </w:p>
        </w:tc>
      </w:tr>
      <w:tr>
        <w:trPr>
          <w:trHeight w:val="243"/>
        </w:trPr>
        <w:tc>
          <w:tcPr>
            <w:tcW w:w="4560" w:type="dxa"/>
            <w:vAlign w:val="bottom"/>
          </w:tcPr>
          <w:p>
            <w:pPr>
              <w:spacing w:after="0"/>
              <w:rPr>
                <w:sz w:val="20"/>
                <w:szCs w:val="20"/>
                <w:color w:val="auto"/>
              </w:rPr>
            </w:pPr>
            <w:r>
              <w:rPr>
                <w:rFonts w:ascii="Arial" w:cs="Arial" w:eastAsia="Arial" w:hAnsi="Arial"/>
                <w:sz w:val="14"/>
                <w:szCs w:val="14"/>
                <w:color w:val="auto"/>
              </w:rPr>
              <w:t>Net income (loss) attributable to Civeo common shareholders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4,532</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(14,250)</w:t>
            </w:r>
          </w:p>
        </w:tc>
        <w:tc>
          <w:tcPr>
            <w:tcW w:w="18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(28,276)</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(118,028)</w:t>
            </w:r>
          </w:p>
        </w:tc>
      </w:tr>
      <w:tr>
        <w:trPr>
          <w:trHeight w:val="20"/>
        </w:trPr>
        <w:tc>
          <w:tcPr>
            <w:tcW w:w="4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536"/>
        </w:trPr>
        <w:tc>
          <w:tcPr>
            <w:tcW w:w="4840" w:type="dxa"/>
            <w:vAlign w:val="bottom"/>
            <w:gridSpan w:val="2"/>
          </w:tcPr>
          <w:p>
            <w:pPr>
              <w:spacing w:after="0"/>
              <w:rPr>
                <w:sz w:val="20"/>
                <w:szCs w:val="20"/>
                <w:color w:val="auto"/>
              </w:rPr>
            </w:pPr>
            <w:r>
              <w:rPr>
                <w:rFonts w:ascii="Arial" w:cs="Arial" w:eastAsia="Arial" w:hAnsi="Arial"/>
                <w:sz w:val="14"/>
                <w:szCs w:val="14"/>
                <w:color w:val="auto"/>
              </w:rPr>
              <w:t>Net loss per share attributable to Civeo Corporation common shareholders:</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0"/>
        </w:trPr>
        <w:tc>
          <w:tcPr>
            <w:tcW w:w="4560" w:type="dxa"/>
            <w:vAlign w:val="bottom"/>
          </w:tcPr>
          <w:p>
            <w:pPr>
              <w:ind w:left="140"/>
              <w:spacing w:after="0"/>
              <w:rPr>
                <w:sz w:val="20"/>
                <w:szCs w:val="20"/>
                <w:color w:val="auto"/>
              </w:rPr>
            </w:pPr>
            <w:r>
              <w:rPr>
                <w:rFonts w:ascii="Arial" w:cs="Arial" w:eastAsia="Arial" w:hAnsi="Arial"/>
                <w:sz w:val="14"/>
                <w:szCs w:val="14"/>
                <w:color w:val="auto"/>
              </w:rPr>
              <w:t>Basic</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(0.09)</w:t>
            </w:r>
          </w:p>
        </w:tc>
        <w:tc>
          <w:tcPr>
            <w:tcW w:w="18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(0.76)</w:t>
            </w:r>
          </w:p>
        </w:tc>
      </w:tr>
      <w:tr>
        <w:trPr>
          <w:trHeight w:val="270"/>
        </w:trPr>
        <w:tc>
          <w:tcPr>
            <w:tcW w:w="4560" w:type="dxa"/>
            <w:vAlign w:val="bottom"/>
          </w:tcPr>
          <w:p>
            <w:pPr>
              <w:ind w:left="140"/>
              <w:spacing w:after="0"/>
              <w:rPr>
                <w:sz w:val="20"/>
                <w:szCs w:val="20"/>
                <w:color w:val="auto"/>
              </w:rPr>
            </w:pPr>
            <w:r>
              <w:rPr>
                <w:rFonts w:ascii="Arial" w:cs="Arial" w:eastAsia="Arial" w:hAnsi="Arial"/>
                <w:sz w:val="14"/>
                <w:szCs w:val="14"/>
                <w:color w:val="auto"/>
              </w:rPr>
              <w:t>Diluted</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(0.09)</w:t>
            </w:r>
          </w:p>
        </w:tc>
        <w:tc>
          <w:tcPr>
            <w:tcW w:w="18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(0.76)</w:t>
            </w:r>
          </w:p>
        </w:tc>
      </w:tr>
      <w:tr>
        <w:trPr>
          <w:trHeight w:val="567"/>
        </w:trPr>
        <w:tc>
          <w:tcPr>
            <w:tcW w:w="4560" w:type="dxa"/>
            <w:vAlign w:val="bottom"/>
          </w:tcPr>
          <w:p>
            <w:pPr>
              <w:spacing w:after="0"/>
              <w:rPr>
                <w:sz w:val="20"/>
                <w:szCs w:val="20"/>
                <w:color w:val="auto"/>
              </w:rPr>
            </w:pPr>
            <w:r>
              <w:rPr>
                <w:rFonts w:ascii="Arial" w:cs="Arial" w:eastAsia="Arial" w:hAnsi="Arial"/>
                <w:sz w:val="14"/>
                <w:szCs w:val="14"/>
                <w:color w:val="auto"/>
              </w:rPr>
              <w:t>Weighted average number of common shares outstanding:</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70"/>
        </w:trPr>
        <w:tc>
          <w:tcPr>
            <w:tcW w:w="4560" w:type="dxa"/>
            <w:vAlign w:val="bottom"/>
          </w:tcPr>
          <w:p>
            <w:pPr>
              <w:ind w:left="140"/>
              <w:spacing w:after="0"/>
              <w:rPr>
                <w:sz w:val="20"/>
                <w:szCs w:val="20"/>
                <w:color w:val="auto"/>
              </w:rPr>
            </w:pPr>
            <w:r>
              <w:rPr>
                <w:rFonts w:ascii="Arial" w:cs="Arial" w:eastAsia="Arial" w:hAnsi="Arial"/>
                <w:sz w:val="14"/>
                <w:szCs w:val="14"/>
                <w:color w:val="auto"/>
              </w:rPr>
              <w:t>Basic</w:t>
            </w:r>
          </w:p>
        </w:tc>
        <w:tc>
          <w:tcPr>
            <w:tcW w:w="28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167,640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165,855</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166,842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154,411</w:t>
            </w:r>
          </w:p>
        </w:tc>
      </w:tr>
      <w:tr>
        <w:trPr>
          <w:trHeight w:val="270"/>
        </w:trPr>
        <w:tc>
          <w:tcPr>
            <w:tcW w:w="4560" w:type="dxa"/>
            <w:vAlign w:val="bottom"/>
          </w:tcPr>
          <w:p>
            <w:pPr>
              <w:ind w:left="140"/>
              <w:spacing w:after="0"/>
              <w:rPr>
                <w:sz w:val="20"/>
                <w:szCs w:val="20"/>
                <w:color w:val="auto"/>
              </w:rPr>
            </w:pPr>
            <w:r>
              <w:rPr>
                <w:rFonts w:ascii="Arial" w:cs="Arial" w:eastAsia="Arial" w:hAnsi="Arial"/>
                <w:sz w:val="14"/>
                <w:szCs w:val="14"/>
                <w:color w:val="auto"/>
              </w:rPr>
              <w:t>Diluted</w:t>
            </w:r>
          </w:p>
        </w:tc>
        <w:tc>
          <w:tcPr>
            <w:tcW w:w="28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167,642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165,855</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166,842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154,411</w:t>
            </w:r>
          </w:p>
        </w:tc>
      </w:tr>
    </w:tbl>
    <w:p>
      <w:pPr>
        <w:sectPr>
          <w:pgSz w:w="11900" w:h="16838" w:orient="portrait"/>
          <w:cols w:equalWidth="0" w:num="1">
            <w:col w:w="9180"/>
          </w:cols>
          <w:pgMar w:left="1380" w:top="576" w:right="13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336" w:lineRule="exact"/>
        <w:rPr>
          <w:sz w:val="20"/>
          <w:szCs w:val="20"/>
          <w:color w:val="auto"/>
        </w:rPr>
      </w:pPr>
    </w:p>
    <w:tbl>
      <w:tblPr>
        <w:tblLayout w:type="fixed"/>
        <w:tblInd w:w="1040" w:type="dxa"/>
        <w:tblCellMar>
          <w:top w:w="0" w:type="dxa"/>
          <w:left w:w="0" w:type="dxa"/>
          <w:bottom w:w="0" w:type="dxa"/>
          <w:right w:w="0" w:type="dxa"/>
        </w:tblCellMar>
      </w:tblPr>
      <w:tr>
        <w:trPr>
          <w:trHeight w:val="189"/>
        </w:trPr>
        <w:tc>
          <w:tcPr>
            <w:tcW w:w="3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8"/>
        </w:trPr>
        <w:tc>
          <w:tcPr>
            <w:tcW w:w="3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8"/>
        </w:trPr>
        <w:tc>
          <w:tcPr>
            <w:tcW w:w="3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860" w:type="dxa"/>
            <w:vAlign w:val="bottom"/>
          </w:tcPr>
          <w:p>
            <w:pPr>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8,072</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12,372</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106,792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70,223</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6,823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4,313</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Assets held for sale</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8,132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10,297</w:t>
            </w:r>
          </w:p>
        </w:tc>
        <w:tc>
          <w:tcPr>
            <w:tcW w:w="0" w:type="dxa"/>
            <w:vAlign w:val="bottom"/>
          </w:tcPr>
          <w:p>
            <w:pPr>
              <w:spacing w:after="0"/>
              <w:rPr>
                <w:sz w:val="1"/>
                <w:szCs w:val="1"/>
                <w:color w:val="auto"/>
              </w:rPr>
            </w:pPr>
          </w:p>
        </w:tc>
      </w:tr>
      <w:tr>
        <w:trPr>
          <w:trHeight w:val="283"/>
        </w:trPr>
        <w:tc>
          <w:tcPr>
            <w:tcW w:w="3860" w:type="dxa"/>
            <w:vAlign w:val="bottom"/>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14,376</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10,592</w:t>
            </w:r>
          </w:p>
        </w:tc>
        <w:tc>
          <w:tcPr>
            <w:tcW w:w="0" w:type="dxa"/>
            <w:vAlign w:val="bottom"/>
          </w:tcPr>
          <w:p>
            <w:pPr>
              <w:spacing w:after="0"/>
              <w:rPr>
                <w:sz w:val="1"/>
                <w:szCs w:val="1"/>
                <w:color w:val="auto"/>
              </w:rPr>
            </w:pPr>
          </w:p>
        </w:tc>
      </w:tr>
      <w:tr>
        <w:trPr>
          <w:trHeight w:val="237"/>
        </w:trPr>
        <w:tc>
          <w:tcPr>
            <w:tcW w:w="3860" w:type="dxa"/>
            <w:vAlign w:val="bottom"/>
          </w:tcPr>
          <w:p>
            <w:pPr>
              <w:ind w:left="24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144,195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107,797</w:t>
            </w:r>
          </w:p>
        </w:tc>
        <w:tc>
          <w:tcPr>
            <w:tcW w:w="0" w:type="dxa"/>
            <w:vAlign w:val="bottom"/>
          </w:tcPr>
          <w:p>
            <w:pPr>
              <w:spacing w:after="0"/>
              <w:rPr>
                <w:sz w:val="1"/>
                <w:szCs w:val="1"/>
                <w:color w:val="auto"/>
              </w:rPr>
            </w:pPr>
          </w:p>
        </w:tc>
      </w:tr>
      <w:tr>
        <w:trPr>
          <w:trHeight w:val="554"/>
        </w:trPr>
        <w:tc>
          <w:tcPr>
            <w:tcW w:w="386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599,950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658,905</w:t>
            </w:r>
          </w:p>
        </w:tc>
        <w:tc>
          <w:tcPr>
            <w:tcW w:w="0" w:type="dxa"/>
            <w:vAlign w:val="bottom"/>
          </w:tcPr>
          <w:p>
            <w:pPr>
              <w:spacing w:after="0"/>
              <w:rPr>
                <w:sz w:val="1"/>
                <w:szCs w:val="1"/>
                <w:color w:val="auto"/>
              </w:rPr>
            </w:pPr>
          </w:p>
        </w:tc>
      </w:tr>
      <w:tr>
        <w:trPr>
          <w:trHeight w:val="270"/>
        </w:trPr>
        <w:tc>
          <w:tcPr>
            <w:tcW w:w="3860" w:type="dxa"/>
            <w:vAlign w:val="bottom"/>
          </w:tcPr>
          <w:p>
            <w:pPr>
              <w:spacing w:after="0"/>
              <w:rPr>
                <w:sz w:val="20"/>
                <w:szCs w:val="20"/>
                <w:color w:val="auto"/>
              </w:rPr>
            </w:pPr>
            <w:r>
              <w:rPr>
                <w:rFonts w:ascii="Arial" w:cs="Arial" w:eastAsia="Arial" w:hAnsi="Arial"/>
                <w:sz w:val="16"/>
                <w:szCs w:val="16"/>
                <w:color w:val="auto"/>
              </w:rPr>
              <w:t>Goodwill, net</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128,077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114,207</w:t>
            </w:r>
          </w:p>
        </w:tc>
        <w:tc>
          <w:tcPr>
            <w:tcW w:w="0" w:type="dxa"/>
            <w:vAlign w:val="bottom"/>
          </w:tcPr>
          <w:p>
            <w:pPr>
              <w:spacing w:after="0"/>
              <w:rPr>
                <w:sz w:val="1"/>
                <w:szCs w:val="1"/>
                <w:color w:val="auto"/>
              </w:rPr>
            </w:pPr>
          </w:p>
        </w:tc>
      </w:tr>
      <w:tr>
        <w:trPr>
          <w:trHeight w:val="270"/>
        </w:trPr>
        <w:tc>
          <w:tcPr>
            <w:tcW w:w="386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111,888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119,409</w:t>
            </w:r>
          </w:p>
        </w:tc>
        <w:tc>
          <w:tcPr>
            <w:tcW w:w="0" w:type="dxa"/>
            <w:vAlign w:val="bottom"/>
          </w:tcPr>
          <w:p>
            <w:pPr>
              <w:spacing w:after="0"/>
              <w:rPr>
                <w:sz w:val="1"/>
                <w:szCs w:val="1"/>
                <w:color w:val="auto"/>
              </w:rPr>
            </w:pPr>
          </w:p>
        </w:tc>
      </w:tr>
      <w:tr>
        <w:trPr>
          <w:trHeight w:val="270"/>
        </w:trPr>
        <w:tc>
          <w:tcPr>
            <w:tcW w:w="386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25,034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386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1,679</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1,359</w:t>
            </w:r>
          </w:p>
        </w:tc>
        <w:tc>
          <w:tcPr>
            <w:tcW w:w="0" w:type="dxa"/>
            <w:vAlign w:val="bottom"/>
          </w:tcPr>
          <w:p>
            <w:pPr>
              <w:spacing w:after="0"/>
              <w:rPr>
                <w:sz w:val="1"/>
                <w:szCs w:val="1"/>
                <w:color w:val="auto"/>
              </w:rPr>
            </w:pPr>
          </w:p>
        </w:tc>
      </w:tr>
      <w:tr>
        <w:trPr>
          <w:trHeight w:val="237"/>
        </w:trPr>
        <w:tc>
          <w:tcPr>
            <w:tcW w:w="3860" w:type="dxa"/>
            <w:vAlign w:val="bottom"/>
          </w:tcPr>
          <w:p>
            <w:pPr>
              <w:ind w:left="24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1,010,823</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1,001,677</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8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35,266</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28,334</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Accrued liabilities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19,355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15,956</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Income taxes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34,372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33,329</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Deferred revenue</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4,442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3,035</w:t>
            </w:r>
          </w:p>
        </w:tc>
        <w:tc>
          <w:tcPr>
            <w:tcW w:w="0" w:type="dxa"/>
            <w:vAlign w:val="bottom"/>
          </w:tcPr>
          <w:p>
            <w:pPr>
              <w:spacing w:after="0"/>
              <w:rPr>
                <w:sz w:val="1"/>
                <w:szCs w:val="1"/>
                <w:color w:val="auto"/>
              </w:rPr>
            </w:pPr>
          </w:p>
        </w:tc>
      </w:tr>
      <w:tr>
        <w:trPr>
          <w:trHeight w:val="283"/>
        </w:trPr>
        <w:tc>
          <w:tcPr>
            <w:tcW w:w="3860" w:type="dxa"/>
            <w:vAlign w:val="bottom"/>
          </w:tcPr>
          <w:p>
            <w:pPr>
              <w:ind w:left="14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9,098</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5,719</w:t>
            </w:r>
          </w:p>
        </w:tc>
        <w:tc>
          <w:tcPr>
            <w:tcW w:w="0" w:type="dxa"/>
            <w:vAlign w:val="bottom"/>
          </w:tcPr>
          <w:p>
            <w:pPr>
              <w:spacing w:after="0"/>
              <w:rPr>
                <w:sz w:val="1"/>
                <w:szCs w:val="1"/>
                <w:color w:val="auto"/>
              </w:rPr>
            </w:pPr>
          </w:p>
        </w:tc>
      </w:tr>
      <w:tr>
        <w:trPr>
          <w:trHeight w:val="237"/>
        </w:trPr>
        <w:tc>
          <w:tcPr>
            <w:tcW w:w="3860" w:type="dxa"/>
            <w:vAlign w:val="bottom"/>
          </w:tcPr>
          <w:p>
            <w:pPr>
              <w:ind w:left="24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103,443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86,683</w:t>
            </w:r>
          </w:p>
        </w:tc>
        <w:tc>
          <w:tcPr>
            <w:tcW w:w="0" w:type="dxa"/>
            <w:vAlign w:val="bottom"/>
          </w:tcPr>
          <w:p>
            <w:pPr>
              <w:spacing w:after="0"/>
              <w:rPr>
                <w:sz w:val="1"/>
                <w:szCs w:val="1"/>
                <w:color w:val="auto"/>
              </w:rPr>
            </w:pPr>
          </w:p>
        </w:tc>
      </w:tr>
      <w:tr>
        <w:trPr>
          <w:trHeight w:val="554"/>
        </w:trPr>
        <w:tc>
          <w:tcPr>
            <w:tcW w:w="3860" w:type="dxa"/>
            <w:vAlign w:val="bottom"/>
          </w:tcPr>
          <w:p>
            <w:pPr>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356,704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342,908</w:t>
            </w:r>
          </w:p>
        </w:tc>
        <w:tc>
          <w:tcPr>
            <w:tcW w:w="0" w:type="dxa"/>
            <w:vAlign w:val="bottom"/>
          </w:tcPr>
          <w:p>
            <w:pPr>
              <w:spacing w:after="0"/>
              <w:rPr>
                <w:sz w:val="1"/>
                <w:szCs w:val="1"/>
                <w:color w:val="auto"/>
              </w:rPr>
            </w:pPr>
          </w:p>
        </w:tc>
      </w:tr>
      <w:tr>
        <w:trPr>
          <w:trHeight w:val="270"/>
        </w:trPr>
        <w:tc>
          <w:tcPr>
            <w:tcW w:w="3860" w:type="dxa"/>
            <w:vAlign w:val="bottom"/>
          </w:tcPr>
          <w:p>
            <w:pPr>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6,085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18,442</w:t>
            </w:r>
          </w:p>
        </w:tc>
        <w:tc>
          <w:tcPr>
            <w:tcW w:w="0" w:type="dxa"/>
            <w:vAlign w:val="bottom"/>
          </w:tcPr>
          <w:p>
            <w:pPr>
              <w:spacing w:after="0"/>
              <w:rPr>
                <w:sz w:val="1"/>
                <w:szCs w:val="1"/>
                <w:color w:val="auto"/>
              </w:rPr>
            </w:pPr>
          </w:p>
        </w:tc>
      </w:tr>
      <w:tr>
        <w:trPr>
          <w:trHeight w:val="270"/>
        </w:trPr>
        <w:tc>
          <w:tcPr>
            <w:tcW w:w="386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20,992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386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18,081</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18,220</w:t>
            </w:r>
          </w:p>
        </w:tc>
        <w:tc>
          <w:tcPr>
            <w:tcW w:w="0" w:type="dxa"/>
            <w:vAlign w:val="bottom"/>
          </w:tcPr>
          <w:p>
            <w:pPr>
              <w:spacing w:after="0"/>
              <w:rPr>
                <w:sz w:val="1"/>
                <w:szCs w:val="1"/>
                <w:color w:val="auto"/>
              </w:rPr>
            </w:pPr>
          </w:p>
        </w:tc>
      </w:tr>
      <w:tr>
        <w:trPr>
          <w:trHeight w:val="237"/>
        </w:trPr>
        <w:tc>
          <w:tcPr>
            <w:tcW w:w="3860" w:type="dxa"/>
            <w:vAlign w:val="bottom"/>
          </w:tcPr>
          <w:p>
            <w:pPr>
              <w:ind w:left="24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505,305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466,253</w:t>
            </w:r>
          </w:p>
        </w:tc>
        <w:tc>
          <w:tcPr>
            <w:tcW w:w="0" w:type="dxa"/>
            <w:vAlign w:val="bottom"/>
          </w:tcPr>
          <w:p>
            <w:pPr>
              <w:spacing w:after="0"/>
              <w:rPr>
                <w:sz w:val="1"/>
                <w:szCs w:val="1"/>
                <w:color w:val="auto"/>
              </w:rPr>
            </w:pPr>
          </w:p>
        </w:tc>
      </w:tr>
      <w:tr>
        <w:trPr>
          <w:trHeight w:val="554"/>
        </w:trPr>
        <w:tc>
          <w:tcPr>
            <w:tcW w:w="3860" w:type="dxa"/>
            <w:vAlign w:val="bottom"/>
          </w:tcPr>
          <w:p>
            <w:pPr>
              <w:spacing w:after="0"/>
              <w:rPr>
                <w:sz w:val="20"/>
                <w:szCs w:val="20"/>
                <w:color w:val="auto"/>
              </w:rPr>
            </w:pPr>
            <w:r>
              <w:rPr>
                <w:rFonts w:ascii="Arial" w:cs="Arial" w:eastAsia="Arial" w:hAnsi="Arial"/>
                <w:sz w:val="16"/>
                <w:szCs w:val="16"/>
                <w:color w:val="auto"/>
              </w:rPr>
              <w:t>Shareholders' equity:</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Preferred shares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57,664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56,280</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Common shares</w:t>
            </w:r>
          </w:p>
        </w:tc>
        <w:tc>
          <w:tcPr>
            <w:tcW w:w="16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1,569,734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1,562,133</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(739,526)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(710,551)</w:t>
            </w:r>
          </w:p>
        </w:tc>
        <w:tc>
          <w:tcPr>
            <w:tcW w:w="0" w:type="dxa"/>
            <w:vAlign w:val="bottom"/>
          </w:tcPr>
          <w:p>
            <w:pPr>
              <w:spacing w:after="0"/>
              <w:rPr>
                <w:sz w:val="1"/>
                <w:szCs w:val="1"/>
                <w:color w:val="auto"/>
              </w:rPr>
            </w:pPr>
          </w:p>
        </w:tc>
      </w:tr>
      <w:tr>
        <w:trPr>
          <w:trHeight w:val="270"/>
        </w:trPr>
        <w:tc>
          <w:tcPr>
            <w:tcW w:w="3860" w:type="dxa"/>
            <w:vAlign w:val="bottom"/>
          </w:tcPr>
          <w:p>
            <w:pPr>
              <w:ind w:left="140"/>
              <w:spacing w:after="0"/>
              <w:rPr>
                <w:sz w:val="20"/>
                <w:szCs w:val="20"/>
                <w:color w:val="auto"/>
              </w:rPr>
            </w:pPr>
            <w:r>
              <w:rPr>
                <w:rFonts w:ascii="Arial" w:cs="Arial" w:eastAsia="Arial" w:hAnsi="Arial"/>
                <w:sz w:val="16"/>
                <w:szCs w:val="16"/>
                <w:color w:val="auto"/>
              </w:rPr>
              <w:t>Treasury stock</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(5,472)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(1,189)</w:t>
            </w:r>
          </w:p>
        </w:tc>
        <w:tc>
          <w:tcPr>
            <w:tcW w:w="0" w:type="dxa"/>
            <w:vAlign w:val="bottom"/>
          </w:tcPr>
          <w:p>
            <w:pPr>
              <w:spacing w:after="0"/>
              <w:rPr>
                <w:sz w:val="1"/>
                <w:szCs w:val="1"/>
                <w:color w:val="auto"/>
              </w:rPr>
            </w:pPr>
          </w:p>
        </w:tc>
      </w:tr>
      <w:tr>
        <w:trPr>
          <w:trHeight w:val="283"/>
        </w:trPr>
        <w:tc>
          <w:tcPr>
            <w:tcW w:w="3860" w:type="dxa"/>
            <w:vAlign w:val="bottom"/>
          </w:tcPr>
          <w:p>
            <w:pPr>
              <w:ind w:left="14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(376,882)</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(371,249)</w:t>
            </w:r>
          </w:p>
        </w:tc>
        <w:tc>
          <w:tcPr>
            <w:tcW w:w="0" w:type="dxa"/>
            <w:vAlign w:val="bottom"/>
          </w:tcPr>
          <w:p>
            <w:pPr>
              <w:spacing w:after="0"/>
              <w:rPr>
                <w:sz w:val="1"/>
                <w:szCs w:val="1"/>
                <w:color w:val="auto"/>
              </w:rPr>
            </w:pPr>
          </w:p>
        </w:tc>
      </w:tr>
      <w:tr>
        <w:trPr>
          <w:trHeight w:val="250"/>
        </w:trPr>
        <w:tc>
          <w:tcPr>
            <w:tcW w:w="3860" w:type="dxa"/>
            <w:vAlign w:val="bottom"/>
          </w:tcPr>
          <w:p>
            <w:pPr>
              <w:ind w:left="240"/>
              <w:spacing w:after="0"/>
              <w:rPr>
                <w:sz w:val="20"/>
                <w:szCs w:val="20"/>
                <w:color w:val="auto"/>
              </w:rPr>
            </w:pPr>
            <w:r>
              <w:rPr>
                <w:rFonts w:ascii="Arial" w:cs="Arial" w:eastAsia="Arial" w:hAnsi="Arial"/>
                <w:sz w:val="16"/>
                <w:szCs w:val="16"/>
                <w:color w:val="auto"/>
              </w:rPr>
              <w:t>Total Civeo Corporation shareholders' equity</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505,518</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535,424</w:t>
            </w:r>
          </w:p>
        </w:tc>
        <w:tc>
          <w:tcPr>
            <w:tcW w:w="0" w:type="dxa"/>
            <w:vAlign w:val="bottom"/>
          </w:tcPr>
          <w:p>
            <w:pPr>
              <w:spacing w:after="0"/>
              <w:rPr>
                <w:sz w:val="1"/>
                <w:szCs w:val="1"/>
                <w:color w:val="auto"/>
              </w:rPr>
            </w:pPr>
          </w:p>
        </w:tc>
      </w:tr>
      <w:tr>
        <w:trPr>
          <w:trHeight w:val="250"/>
        </w:trPr>
        <w:tc>
          <w:tcPr>
            <w:tcW w:w="386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3860" w:type="dxa"/>
            <w:vAlign w:val="bottom"/>
          </w:tcPr>
          <w:p>
            <w:pPr>
              <w:ind w:left="140"/>
              <w:spacing w:after="0"/>
              <w:rPr>
                <w:sz w:val="20"/>
                <w:szCs w:val="20"/>
                <w:color w:val="auto"/>
              </w:rPr>
            </w:pPr>
            <w:r>
              <w:rPr>
                <w:rFonts w:ascii="Arial" w:cs="Arial" w:eastAsia="Arial" w:hAnsi="Arial"/>
                <w:sz w:val="16"/>
                <w:szCs w:val="16"/>
                <w:color w:val="auto"/>
              </w:rPr>
              <w:t>Total shareholders' equity</w:t>
            </w:r>
          </w:p>
        </w:tc>
        <w:tc>
          <w:tcPr>
            <w:tcW w:w="16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505,518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535,424</w:t>
            </w:r>
          </w:p>
        </w:tc>
        <w:tc>
          <w:tcPr>
            <w:tcW w:w="0" w:type="dxa"/>
            <w:vAlign w:val="bottom"/>
          </w:tcPr>
          <w:p>
            <w:pPr>
              <w:spacing w:after="0"/>
              <w:rPr>
                <w:sz w:val="1"/>
                <w:szCs w:val="1"/>
                <w:color w:val="auto"/>
              </w:rPr>
            </w:pPr>
          </w:p>
        </w:tc>
      </w:tr>
      <w:tr>
        <w:trPr>
          <w:trHeight w:val="240"/>
        </w:trPr>
        <w:tc>
          <w:tcPr>
            <w:tcW w:w="3860" w:type="dxa"/>
            <w:vAlign w:val="bottom"/>
          </w:tcPr>
          <w:p>
            <w:pPr>
              <w:ind w:left="24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1,010,823</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1,001,677</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581"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47" w:lineRule="exact"/>
        <w:rPr>
          <w:sz w:val="20"/>
          <w:szCs w:val="20"/>
          <w:color w:val="auto"/>
        </w:rPr>
      </w:pPr>
    </w:p>
    <w:p>
      <w:pPr>
        <w:jc w:val="center"/>
        <w:ind w:left="6020"/>
        <w:spacing w:after="0"/>
        <w:rPr>
          <w:sz w:val="20"/>
          <w:szCs w:val="20"/>
          <w:color w:val="auto"/>
        </w:rPr>
      </w:pPr>
      <w:r>
        <w:rPr>
          <w:rFonts w:ascii="Arial" w:cs="Arial" w:eastAsia="Arial" w:hAnsi="Arial"/>
          <w:sz w:val="16"/>
          <w:szCs w:val="16"/>
          <w:b w:val="1"/>
          <w:bCs w:val="1"/>
          <w:color w:val="auto"/>
        </w:rPr>
        <w:t>Nine Months Ended</w:t>
      </w:r>
    </w:p>
    <w:p>
      <w:pPr>
        <w:spacing w:after="0" w:line="25" w:lineRule="exact"/>
        <w:rPr>
          <w:sz w:val="20"/>
          <w:szCs w:val="20"/>
          <w:color w:val="auto"/>
        </w:rPr>
      </w:pPr>
    </w:p>
    <w:p>
      <w:pPr>
        <w:jc w:val="center"/>
        <w:ind w:left="6020"/>
        <w:spacing w:after="0"/>
        <w:rPr>
          <w:sz w:val="20"/>
          <w:szCs w:val="20"/>
          <w:color w:val="auto"/>
        </w:rPr>
      </w:pPr>
      <w:r>
        <w:rPr>
          <w:rFonts w:ascii="Arial" w:cs="Arial" w:eastAsia="Arial" w:hAnsi="Arial"/>
          <w:sz w:val="16"/>
          <w:szCs w:val="16"/>
          <w:b w:val="1"/>
          <w:bCs w:val="1"/>
          <w:color w:val="auto"/>
        </w:rPr>
        <w:t>September 30,</w:t>
      </w:r>
    </w:p>
    <w:p>
      <w:pPr>
        <w:spacing w:after="0" w:line="66" w:lineRule="exact"/>
        <w:rPr>
          <w:sz w:val="20"/>
          <w:szCs w:val="20"/>
          <w:color w:val="auto"/>
        </w:rPr>
      </w:pPr>
    </w:p>
    <w:tbl>
      <w:tblPr>
        <w:tblLayout w:type="fixed"/>
        <w:tblInd w:w="80" w:type="dxa"/>
        <w:tblCellMar>
          <w:top w:w="0" w:type="dxa"/>
          <w:left w:w="0" w:type="dxa"/>
          <w:bottom w:w="0" w:type="dxa"/>
          <w:right w:w="0" w:type="dxa"/>
        </w:tblCellMar>
      </w:tblPr>
      <w:tr>
        <w:trPr>
          <w:trHeight w:val="228"/>
        </w:trPr>
        <w:tc>
          <w:tcPr>
            <w:tcW w:w="59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r>
      <w:tr>
        <w:trPr>
          <w:trHeight w:val="548"/>
        </w:trPr>
        <w:tc>
          <w:tcPr>
            <w:tcW w:w="596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(26,832)</w:t>
            </w:r>
          </w:p>
        </w:tc>
        <w:tc>
          <w:tcPr>
            <w:tcW w:w="12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(68,587)</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59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92,974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99,502</w:t>
            </w:r>
          </w:p>
        </w:tc>
      </w:tr>
      <w:tr>
        <w:trPr>
          <w:trHeight w:val="270"/>
        </w:trPr>
        <w:tc>
          <w:tcPr>
            <w:tcW w:w="5960" w:type="dxa"/>
            <w:vAlign w:val="bottom"/>
          </w:tcPr>
          <w:p>
            <w:pPr>
              <w:ind w:left="140"/>
              <w:spacing w:after="0"/>
              <w:rPr>
                <w:sz w:val="20"/>
                <w:szCs w:val="20"/>
                <w:color w:val="auto"/>
              </w:rPr>
            </w:pPr>
            <w:r>
              <w:rPr>
                <w:rFonts w:ascii="Arial" w:cs="Arial" w:eastAsia="Arial" w:hAnsi="Arial"/>
                <w:sz w:val="16"/>
                <w:szCs w:val="16"/>
                <w:color w:val="auto"/>
              </w:rPr>
              <w:t>Impairment charges</w:t>
            </w:r>
          </w:p>
        </w:tc>
        <w:tc>
          <w:tcPr>
            <w:tcW w:w="3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5,546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28,661</w:t>
            </w:r>
          </w:p>
        </w:tc>
      </w:tr>
      <w:tr>
        <w:trPr>
          <w:trHeight w:val="270"/>
        </w:trPr>
        <w:tc>
          <w:tcPr>
            <w:tcW w:w="5960" w:type="dxa"/>
            <w:vAlign w:val="bottom"/>
          </w:tcPr>
          <w:p>
            <w:pPr>
              <w:ind w:left="140"/>
              <w:spacing w:after="0"/>
              <w:rPr>
                <w:sz w:val="20"/>
                <w:szCs w:val="20"/>
                <w:color w:val="auto"/>
              </w:rPr>
            </w:pPr>
            <w:r>
              <w:rPr>
                <w:rFonts w:ascii="Arial" w:cs="Arial" w:eastAsia="Arial" w:hAnsi="Arial"/>
                <w:sz w:val="16"/>
                <w:szCs w:val="16"/>
                <w:color w:val="auto"/>
              </w:rPr>
              <w:t>Loss on extinguishment of debt</w:t>
            </w:r>
          </w:p>
        </w:tc>
        <w:tc>
          <w:tcPr>
            <w:tcW w:w="32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748</w:t>
            </w:r>
          </w:p>
        </w:tc>
      </w:tr>
      <w:tr>
        <w:trPr>
          <w:trHeight w:val="270"/>
        </w:trPr>
        <w:tc>
          <w:tcPr>
            <w:tcW w:w="5960" w:type="dxa"/>
            <w:vAlign w:val="bottom"/>
          </w:tcPr>
          <w:p>
            <w:pPr>
              <w:ind w:left="140"/>
              <w:spacing w:after="0"/>
              <w:rPr>
                <w:sz w:val="20"/>
                <w:szCs w:val="20"/>
                <w:color w:val="auto"/>
              </w:rPr>
            </w:pPr>
            <w:r>
              <w:rPr>
                <w:rFonts w:ascii="Arial" w:cs="Arial" w:eastAsia="Arial" w:hAnsi="Arial"/>
                <w:sz w:val="16"/>
                <w:szCs w:val="16"/>
                <w:color w:val="auto"/>
              </w:rPr>
              <w:t>Deferred income tax benefit</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(14,732)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(29,272)</w:t>
            </w:r>
          </w:p>
        </w:tc>
      </w:tr>
      <w:tr>
        <w:trPr>
          <w:trHeight w:val="270"/>
        </w:trPr>
        <w:tc>
          <w:tcPr>
            <w:tcW w:w="5960" w:type="dxa"/>
            <w:vAlign w:val="bottom"/>
          </w:tcPr>
          <w:p>
            <w:pPr>
              <w:ind w:left="140"/>
              <w:spacing w:after="0"/>
              <w:rPr>
                <w:sz w:val="20"/>
                <w:szCs w:val="20"/>
                <w:color w:val="auto"/>
              </w:rPr>
            </w:pPr>
            <w:r>
              <w:rPr>
                <w:rFonts w:ascii="Arial" w:cs="Arial" w:eastAsia="Arial" w:hAnsi="Arial"/>
                <w:sz w:val="16"/>
                <w:szCs w:val="16"/>
                <w:color w:val="auto"/>
              </w:rPr>
              <w:t>Non-cash compensation charge</w:t>
            </w:r>
          </w:p>
        </w:tc>
        <w:tc>
          <w:tcPr>
            <w:tcW w:w="3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7,601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7,804</w:t>
            </w:r>
          </w:p>
        </w:tc>
      </w:tr>
      <w:tr>
        <w:trPr>
          <w:trHeight w:val="270"/>
        </w:trPr>
        <w:tc>
          <w:tcPr>
            <w:tcW w:w="5960" w:type="dxa"/>
            <w:vAlign w:val="bottom"/>
          </w:tcPr>
          <w:p>
            <w:pPr>
              <w:ind w:left="140"/>
              <w:spacing w:after="0"/>
              <w:rPr>
                <w:sz w:val="20"/>
                <w:szCs w:val="20"/>
                <w:color w:val="auto"/>
              </w:rPr>
            </w:pPr>
            <w:r>
              <w:rPr>
                <w:rFonts w:ascii="Arial" w:cs="Arial" w:eastAsia="Arial" w:hAnsi="Arial"/>
                <w:sz w:val="16"/>
                <w:szCs w:val="16"/>
                <w:color w:val="auto"/>
              </w:rPr>
              <w:t>Gains on disposals of assets</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(4,095)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(2,714)</w:t>
            </w:r>
          </w:p>
        </w:tc>
      </w:tr>
      <w:tr>
        <w:trPr>
          <w:trHeight w:val="270"/>
        </w:trPr>
        <w:tc>
          <w:tcPr>
            <w:tcW w:w="5960" w:type="dxa"/>
            <w:vAlign w:val="bottom"/>
          </w:tcPr>
          <w:p>
            <w:pPr>
              <w:ind w:left="140"/>
              <w:spacing w:after="0"/>
              <w:rPr>
                <w:sz w:val="20"/>
                <w:szCs w:val="20"/>
                <w:color w:val="auto"/>
              </w:rPr>
            </w:pPr>
            <w:r>
              <w:rPr>
                <w:rFonts w:ascii="Arial" w:cs="Arial" w:eastAsia="Arial" w:hAnsi="Arial"/>
                <w:sz w:val="16"/>
                <w:szCs w:val="16"/>
                <w:color w:val="auto"/>
              </w:rPr>
              <w:t>Provision for loss on receivables, net of recoveries</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70"/>
        </w:trPr>
        <w:tc>
          <w:tcPr>
            <w:tcW w:w="5960" w:type="dxa"/>
            <w:vAlign w:val="bottom"/>
          </w:tcPr>
          <w:p>
            <w:pPr>
              <w:ind w:left="140"/>
              <w:spacing w:after="0"/>
              <w:rPr>
                <w:sz w:val="20"/>
                <w:szCs w:val="20"/>
                <w:color w:val="auto"/>
              </w:rPr>
            </w:pPr>
            <w:r>
              <w:rPr>
                <w:rFonts w:ascii="Arial" w:cs="Arial" w:eastAsia="Arial" w:hAnsi="Arial"/>
                <w:sz w:val="16"/>
                <w:szCs w:val="16"/>
                <w:color w:val="auto"/>
              </w:rPr>
              <w:t>Other, net</w:t>
            </w:r>
          </w:p>
        </w:tc>
        <w:tc>
          <w:tcPr>
            <w:tcW w:w="3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2,530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3,959</w:t>
            </w:r>
          </w:p>
        </w:tc>
      </w:tr>
      <w:tr>
        <w:trPr>
          <w:trHeight w:val="270"/>
        </w:trPr>
        <w:tc>
          <w:tcPr>
            <w:tcW w:w="596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70"/>
        </w:trPr>
        <w:tc>
          <w:tcPr>
            <w:tcW w:w="5960" w:type="dxa"/>
            <w:vAlign w:val="bottom"/>
          </w:tcPr>
          <w:p>
            <w:pPr>
              <w:ind w:left="24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(30,227)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89</w:t>
            </w:r>
          </w:p>
        </w:tc>
      </w:tr>
      <w:tr>
        <w:trPr>
          <w:trHeight w:val="270"/>
        </w:trPr>
        <w:tc>
          <w:tcPr>
            <w:tcW w:w="5960" w:type="dxa"/>
            <w:vAlign w:val="bottom"/>
          </w:tcPr>
          <w:p>
            <w:pPr>
              <w:ind w:left="24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(1,175)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1,342</w:t>
            </w:r>
          </w:p>
        </w:tc>
      </w:tr>
      <w:tr>
        <w:trPr>
          <w:trHeight w:val="270"/>
        </w:trPr>
        <w:tc>
          <w:tcPr>
            <w:tcW w:w="5960" w:type="dxa"/>
            <w:vAlign w:val="bottom"/>
          </w:tcPr>
          <w:p>
            <w:pPr>
              <w:ind w:left="240"/>
              <w:spacing w:after="0"/>
              <w:rPr>
                <w:sz w:val="20"/>
                <w:szCs w:val="20"/>
                <w:color w:val="auto"/>
              </w:rPr>
            </w:pPr>
            <w:r>
              <w:rPr>
                <w:rFonts w:ascii="Arial" w:cs="Arial" w:eastAsia="Arial" w:hAnsi="Arial"/>
                <w:sz w:val="16"/>
                <w:szCs w:val="16"/>
                <w:color w:val="auto"/>
              </w:rPr>
              <w:t>Accounts payable and accrued liabilities</w:t>
            </w:r>
          </w:p>
        </w:tc>
        <w:tc>
          <w:tcPr>
            <w:tcW w:w="3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4,958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(10,787)</w:t>
            </w:r>
          </w:p>
        </w:tc>
      </w:tr>
      <w:tr>
        <w:trPr>
          <w:trHeight w:val="270"/>
        </w:trPr>
        <w:tc>
          <w:tcPr>
            <w:tcW w:w="5960" w:type="dxa"/>
            <w:vAlign w:val="bottom"/>
          </w:tcPr>
          <w:p>
            <w:pPr>
              <w:ind w:left="240"/>
              <w:spacing w:after="0"/>
              <w:rPr>
                <w:sz w:val="20"/>
                <w:szCs w:val="20"/>
                <w:color w:val="auto"/>
              </w:rPr>
            </w:pPr>
            <w:r>
              <w:rPr>
                <w:rFonts w:ascii="Arial" w:cs="Arial" w:eastAsia="Arial" w:hAnsi="Arial"/>
                <w:sz w:val="16"/>
                <w:szCs w:val="16"/>
                <w:color w:val="auto"/>
              </w:rPr>
              <w:t>Taxes payable</w:t>
            </w:r>
          </w:p>
        </w:tc>
        <w:tc>
          <w:tcPr>
            <w:tcW w:w="3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939</w:t>
            </w:r>
          </w:p>
        </w:tc>
      </w:tr>
      <w:tr>
        <w:trPr>
          <w:trHeight w:val="283"/>
        </w:trPr>
        <w:tc>
          <w:tcPr>
            <w:tcW w:w="5960" w:type="dxa"/>
            <w:vAlign w:val="bottom"/>
          </w:tcPr>
          <w:p>
            <w:pPr>
              <w:ind w:left="240"/>
              <w:spacing w:after="0"/>
              <w:rPr>
                <w:sz w:val="20"/>
                <w:szCs w:val="20"/>
                <w:color w:val="auto"/>
              </w:rPr>
            </w:pPr>
            <w:r>
              <w:rPr>
                <w:rFonts w:ascii="Arial" w:cs="Arial" w:eastAsia="Arial" w:hAnsi="Arial"/>
                <w:sz w:val="16"/>
                <w:szCs w:val="16"/>
                <w:color w:val="auto"/>
              </w:rPr>
              <w:t>Other current and noncurrent assets and liabilities, net</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(3,328)</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(5,716)</w:t>
            </w:r>
          </w:p>
        </w:tc>
      </w:tr>
      <w:tr>
        <w:trPr>
          <w:trHeight w:val="237"/>
        </w:trPr>
        <w:tc>
          <w:tcPr>
            <w:tcW w:w="5960" w:type="dxa"/>
            <w:vAlign w:val="bottom"/>
          </w:tcPr>
          <w:p>
            <w:pPr>
              <w:ind w:left="360"/>
              <w:spacing w:after="0"/>
              <w:rPr>
                <w:sz w:val="20"/>
                <w:szCs w:val="20"/>
                <w:color w:val="auto"/>
              </w:rPr>
            </w:pPr>
            <w:r>
              <w:rPr>
                <w:rFonts w:ascii="Arial" w:cs="Arial" w:eastAsia="Arial" w:hAnsi="Arial"/>
                <w:sz w:val="16"/>
                <w:szCs w:val="16"/>
                <w:color w:val="auto"/>
              </w:rPr>
              <w:t>Net cash flows provided by operating activities</w:t>
            </w:r>
          </w:p>
        </w:tc>
        <w:tc>
          <w:tcPr>
            <w:tcW w:w="3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33,526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25,862</w:t>
            </w:r>
          </w:p>
        </w:tc>
      </w:tr>
      <w:tr>
        <w:trPr>
          <w:trHeight w:val="567"/>
        </w:trPr>
        <w:tc>
          <w:tcPr>
            <w:tcW w:w="596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5960" w:type="dxa"/>
            <w:vAlign w:val="bottom"/>
          </w:tcPr>
          <w:p>
            <w:pPr>
              <w:ind w:left="14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(25,517)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(8,666)</w:t>
            </w:r>
          </w:p>
        </w:tc>
      </w:tr>
      <w:tr>
        <w:trPr>
          <w:trHeight w:val="270"/>
        </w:trPr>
        <w:tc>
          <w:tcPr>
            <w:tcW w:w="5960" w:type="dxa"/>
            <w:vAlign w:val="bottom"/>
          </w:tcPr>
          <w:p>
            <w:pPr>
              <w:ind w:left="140"/>
              <w:spacing w:after="0"/>
              <w:rPr>
                <w:sz w:val="20"/>
                <w:szCs w:val="20"/>
                <w:color w:val="auto"/>
              </w:rPr>
            </w:pPr>
            <w:r>
              <w:rPr>
                <w:rFonts w:ascii="Arial" w:cs="Arial" w:eastAsia="Arial" w:hAnsi="Arial"/>
                <w:sz w:val="16"/>
                <w:szCs w:val="16"/>
                <w:color w:val="auto"/>
              </w:rPr>
              <w:t>Payments related to acquisitions, net of cash acquired</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(16,439)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(181,589)</w:t>
            </w:r>
          </w:p>
        </w:tc>
      </w:tr>
      <w:tr>
        <w:trPr>
          <w:trHeight w:val="270"/>
        </w:trPr>
        <w:tc>
          <w:tcPr>
            <w:tcW w:w="5960" w:type="dxa"/>
            <w:vAlign w:val="bottom"/>
          </w:tcPr>
          <w:p>
            <w:pPr>
              <w:ind w:left="140"/>
              <w:spacing w:after="0"/>
              <w:rPr>
                <w:sz w:val="20"/>
                <w:szCs w:val="20"/>
                <w:color w:val="auto"/>
              </w:rPr>
            </w:pPr>
            <w:r>
              <w:rPr>
                <w:rFonts w:ascii="Arial" w:cs="Arial" w:eastAsia="Arial" w:hAnsi="Arial"/>
                <w:sz w:val="16"/>
                <w:szCs w:val="16"/>
                <w:color w:val="auto"/>
              </w:rPr>
              <w:t>Proceeds from disposition of property, plant and equipment</w:t>
            </w:r>
          </w:p>
        </w:tc>
        <w:tc>
          <w:tcPr>
            <w:tcW w:w="3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5,482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4,038</w:t>
            </w:r>
          </w:p>
        </w:tc>
      </w:tr>
      <w:tr>
        <w:trPr>
          <w:trHeight w:val="283"/>
        </w:trPr>
        <w:tc>
          <w:tcPr>
            <w:tcW w:w="5960" w:type="dxa"/>
            <w:vAlign w:val="bottom"/>
          </w:tcPr>
          <w:p>
            <w:pPr>
              <w:ind w:left="140"/>
              <w:spacing w:after="0"/>
              <w:rPr>
                <w:sz w:val="20"/>
                <w:szCs w:val="20"/>
                <w:color w:val="auto"/>
              </w:rPr>
            </w:pPr>
            <w:r>
              <w:rPr>
                <w:rFonts w:ascii="Arial" w:cs="Arial" w:eastAsia="Arial" w:hAnsi="Arial"/>
                <w:sz w:val="16"/>
                <w:szCs w:val="16"/>
                <w:color w:val="auto"/>
              </w:rPr>
              <w:t>Other, net</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1,762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w:t>
            </w:r>
          </w:p>
        </w:tc>
      </w:tr>
      <w:tr>
        <w:trPr>
          <w:trHeight w:val="237"/>
        </w:trPr>
        <w:tc>
          <w:tcPr>
            <w:tcW w:w="5960" w:type="dxa"/>
            <w:vAlign w:val="bottom"/>
          </w:tcPr>
          <w:p>
            <w:pPr>
              <w:ind w:left="360"/>
              <w:spacing w:after="0"/>
              <w:rPr>
                <w:sz w:val="20"/>
                <w:szCs w:val="20"/>
                <w:color w:val="auto"/>
              </w:rPr>
            </w:pPr>
            <w:r>
              <w:rPr>
                <w:rFonts w:ascii="Arial" w:cs="Arial" w:eastAsia="Arial" w:hAnsi="Arial"/>
                <w:sz w:val="16"/>
                <w:szCs w:val="16"/>
                <w:color w:val="auto"/>
              </w:rPr>
              <w:t>Net cash flows used in investing activities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(34,712)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(186,106)</w:t>
            </w:r>
          </w:p>
        </w:tc>
      </w:tr>
      <w:tr>
        <w:trPr>
          <w:trHeight w:val="567"/>
        </w:trPr>
        <w:tc>
          <w:tcPr>
            <w:tcW w:w="596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5960" w:type="dxa"/>
            <w:vAlign w:val="bottom"/>
          </w:tcPr>
          <w:p>
            <w:pPr>
              <w:ind w:left="140"/>
              <w:spacing w:after="0"/>
              <w:rPr>
                <w:sz w:val="20"/>
                <w:szCs w:val="20"/>
                <w:color w:val="auto"/>
              </w:rPr>
            </w:pPr>
            <w:r>
              <w:rPr>
                <w:rFonts w:ascii="Arial" w:cs="Arial" w:eastAsia="Arial" w:hAnsi="Arial"/>
                <w:sz w:val="16"/>
                <w:szCs w:val="16"/>
                <w:color w:val="auto"/>
              </w:rPr>
              <w:t>Term loan repayments</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(26,085)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(18,177)</w:t>
            </w:r>
          </w:p>
        </w:tc>
      </w:tr>
      <w:tr>
        <w:trPr>
          <w:trHeight w:val="270"/>
        </w:trPr>
        <w:tc>
          <w:tcPr>
            <w:tcW w:w="5960" w:type="dxa"/>
            <w:vAlign w:val="bottom"/>
          </w:tcPr>
          <w:p>
            <w:pPr>
              <w:ind w:left="140"/>
              <w:spacing w:after="0"/>
              <w:rPr>
                <w:sz w:val="20"/>
                <w:szCs w:val="20"/>
                <w:color w:val="auto"/>
              </w:rPr>
            </w:pPr>
            <w:r>
              <w:rPr>
                <w:rFonts w:ascii="Arial" w:cs="Arial" w:eastAsia="Arial" w:hAnsi="Arial"/>
                <w:sz w:val="16"/>
                <w:szCs w:val="16"/>
                <w:color w:val="auto"/>
              </w:rPr>
              <w:t>Revolving credit borrowings (repayments), net</w:t>
            </w:r>
          </w:p>
        </w:tc>
        <w:tc>
          <w:tcPr>
            <w:tcW w:w="32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29,548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155,410</w:t>
            </w:r>
          </w:p>
        </w:tc>
      </w:tr>
      <w:tr>
        <w:trPr>
          <w:trHeight w:val="270"/>
        </w:trPr>
        <w:tc>
          <w:tcPr>
            <w:tcW w:w="5960" w:type="dxa"/>
            <w:vAlign w:val="bottom"/>
          </w:tcPr>
          <w:p>
            <w:pPr>
              <w:ind w:left="140"/>
              <w:spacing w:after="0"/>
              <w:rPr>
                <w:sz w:val="20"/>
                <w:szCs w:val="20"/>
                <w:color w:val="auto"/>
              </w:rPr>
            </w:pPr>
            <w:r>
              <w:rPr>
                <w:rFonts w:ascii="Arial" w:cs="Arial" w:eastAsia="Arial" w:hAnsi="Arial"/>
                <w:sz w:val="16"/>
                <w:szCs w:val="16"/>
                <w:color w:val="auto"/>
              </w:rPr>
              <w:t>Debt issuance costs</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(1,950)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(2,742)</w:t>
            </w:r>
          </w:p>
        </w:tc>
      </w:tr>
      <w:tr>
        <w:trPr>
          <w:trHeight w:val="283"/>
        </w:trPr>
        <w:tc>
          <w:tcPr>
            <w:tcW w:w="5960" w:type="dxa"/>
            <w:vAlign w:val="bottom"/>
          </w:tcPr>
          <w:p>
            <w:pPr>
              <w:ind w:left="140"/>
              <w:spacing w:after="0"/>
              <w:rPr>
                <w:sz w:val="20"/>
                <w:szCs w:val="20"/>
                <w:color w:val="auto"/>
              </w:rPr>
            </w:pPr>
            <w:r>
              <w:rPr>
                <w:rFonts w:ascii="Arial" w:cs="Arial" w:eastAsia="Arial" w:hAnsi="Arial"/>
                <w:sz w:val="16"/>
                <w:szCs w:val="16"/>
                <w:color w:val="auto"/>
              </w:rPr>
              <w:t>Taxes paid on vested shares</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(4,283)</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w:t>
            </w:r>
          </w:p>
        </w:tc>
      </w:tr>
      <w:tr>
        <w:trPr>
          <w:trHeight w:val="237"/>
        </w:trPr>
        <w:tc>
          <w:tcPr>
            <w:tcW w:w="5960" w:type="dxa"/>
            <w:vAlign w:val="bottom"/>
          </w:tcPr>
          <w:p>
            <w:pPr>
              <w:ind w:left="360"/>
              <w:spacing w:after="0"/>
              <w:rPr>
                <w:sz w:val="20"/>
                <w:szCs w:val="20"/>
                <w:color w:val="auto"/>
              </w:rPr>
            </w:pPr>
            <w:r>
              <w:rPr>
                <w:rFonts w:ascii="Arial" w:cs="Arial" w:eastAsia="Arial" w:hAnsi="Arial"/>
                <w:sz w:val="16"/>
                <w:szCs w:val="16"/>
                <w:color w:val="auto"/>
              </w:rPr>
              <w:t>Net cash flows provided by (used in) financing activities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(2,770)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133,859</w:t>
            </w:r>
          </w:p>
        </w:tc>
      </w:tr>
      <w:tr>
        <w:trPr>
          <w:trHeight w:val="580"/>
        </w:trPr>
        <w:tc>
          <w:tcPr>
            <w:tcW w:w="596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(1,722)</w:t>
            </w:r>
          </w:p>
        </w:tc>
      </w:tr>
      <w:tr>
        <w:trPr>
          <w:trHeight w:val="237"/>
        </w:trPr>
        <w:tc>
          <w:tcPr>
            <w:tcW w:w="596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(28,107)</w:t>
            </w:r>
          </w:p>
        </w:tc>
      </w:tr>
      <w:tr>
        <w:trPr>
          <w:trHeight w:val="580"/>
        </w:trPr>
        <w:tc>
          <w:tcPr>
            <w:tcW w:w="596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12,372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32,647</w:t>
            </w:r>
          </w:p>
        </w:tc>
      </w:tr>
      <w:tr>
        <w:trPr>
          <w:trHeight w:val="240"/>
        </w:trPr>
        <w:tc>
          <w:tcPr>
            <w:tcW w:w="596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8,072</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4,540</w:t>
            </w:r>
          </w:p>
        </w:tc>
      </w:tr>
      <w:tr>
        <w:trPr>
          <w:trHeight w:val="20"/>
        </w:trPr>
        <w:tc>
          <w:tcPr>
            <w:tcW w:w="5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581" w:right="1440" w:bottom="1440" w:gutter="0" w:footer="0" w:header="0"/>
        </w:sectPr>
      </w:pPr>
    </w:p>
    <w:bookmarkStart w:id="11" w:name="page12"/>
    <w:bookmarkEnd w:id="11"/>
    <w:p>
      <w:pPr>
        <w:jc w:val="center"/>
        <w:ind w:right="40"/>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SEGMENT DATA</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6"/>
                <w:szCs w:val="16"/>
                <w:color w:val="auto"/>
              </w:rPr>
            </w:pPr>
          </w:p>
        </w:tc>
        <w:tc>
          <w:tcPr>
            <w:tcW w:w="242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3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8"/>
                <w:szCs w:val="18"/>
                <w:color w:val="auto"/>
              </w:rPr>
            </w:pPr>
          </w:p>
        </w:tc>
        <w:tc>
          <w:tcPr>
            <w:tcW w:w="242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83"/>
        </w:trPr>
        <w:tc>
          <w:tcPr>
            <w:tcW w:w="36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51"/>
        </w:trPr>
        <w:tc>
          <w:tcPr>
            <w:tcW w:w="3660" w:type="dxa"/>
            <w:vAlign w:val="bottom"/>
          </w:tcPr>
          <w:p>
            <w:pPr>
              <w:spacing w:after="0"/>
              <w:rPr>
                <w:sz w:val="20"/>
                <w:szCs w:val="20"/>
                <w:color w:val="auto"/>
              </w:rPr>
            </w:pPr>
            <w:r>
              <w:rPr>
                <w:rFonts w:ascii="Arial" w:cs="Arial" w:eastAsia="Arial" w:hAnsi="Arial"/>
                <w:sz w:val="16"/>
                <w:szCs w:val="16"/>
                <w:color w:val="auto"/>
              </w:rPr>
              <w:t>Revenues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24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91,071</w:t>
            </w:r>
          </w:p>
        </w:tc>
        <w:tc>
          <w:tcPr>
            <w:tcW w:w="12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76,753</w:t>
            </w:r>
          </w:p>
        </w:tc>
        <w:tc>
          <w:tcPr>
            <w:tcW w:w="12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235,943</w:t>
            </w:r>
          </w:p>
        </w:tc>
        <w:tc>
          <w:tcPr>
            <w:tcW w:w="120" w:type="dxa"/>
            <w:vAlign w:val="bottom"/>
          </w:tcPr>
          <w:p>
            <w:pPr>
              <w:spacing w:after="0"/>
              <w:rPr>
                <w:sz w:val="23"/>
                <w:szCs w:val="23"/>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226,661</w:t>
            </w:r>
          </w:p>
        </w:tc>
        <w:tc>
          <w:tcPr>
            <w:tcW w:w="0" w:type="dxa"/>
            <w:vAlign w:val="bottom"/>
          </w:tcPr>
          <w:p>
            <w:pPr>
              <w:spacing w:after="0"/>
              <w:rPr>
                <w:sz w:val="1"/>
                <w:szCs w:val="1"/>
                <w:color w:val="auto"/>
              </w:rPr>
            </w:pPr>
          </w:p>
        </w:tc>
      </w:tr>
      <w:tr>
        <w:trPr>
          <w:trHeight w:val="270"/>
        </w:trPr>
        <w:tc>
          <w:tcPr>
            <w:tcW w:w="3660" w:type="dxa"/>
            <w:vAlign w:val="bottom"/>
          </w:tcPr>
          <w:p>
            <w:pPr>
              <w:ind w:left="24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47,743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31,090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107,160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89,542</w:t>
            </w:r>
          </w:p>
        </w:tc>
        <w:tc>
          <w:tcPr>
            <w:tcW w:w="0" w:type="dxa"/>
            <w:vAlign w:val="bottom"/>
          </w:tcPr>
          <w:p>
            <w:pPr>
              <w:spacing w:after="0"/>
              <w:rPr>
                <w:sz w:val="1"/>
                <w:szCs w:val="1"/>
                <w:color w:val="auto"/>
              </w:rPr>
            </w:pPr>
          </w:p>
        </w:tc>
      </w:tr>
      <w:tr>
        <w:trPr>
          <w:trHeight w:val="283"/>
        </w:trPr>
        <w:tc>
          <w:tcPr>
            <w:tcW w:w="3660" w:type="dxa"/>
            <w:vAlign w:val="bottom"/>
          </w:tcPr>
          <w:p>
            <w:pPr>
              <w:ind w:left="240"/>
              <w:spacing w:after="0"/>
              <w:rPr>
                <w:sz w:val="20"/>
                <w:szCs w:val="20"/>
                <w:color w:val="auto"/>
              </w:rPr>
            </w:pPr>
            <w:r>
              <w:rPr>
                <w:rFonts w:ascii="Arial" w:cs="Arial" w:eastAsia="Arial" w:hAnsi="Arial"/>
                <w:sz w:val="16"/>
                <w:szCs w:val="16"/>
                <w:color w:val="auto"/>
              </w:rPr>
              <w:t>United States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9,349</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12,648</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35,763</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35,969</w:t>
            </w:r>
          </w:p>
        </w:tc>
        <w:tc>
          <w:tcPr>
            <w:tcW w:w="0" w:type="dxa"/>
            <w:vAlign w:val="bottom"/>
          </w:tcPr>
          <w:p>
            <w:pPr>
              <w:spacing w:after="0"/>
              <w:rPr>
                <w:sz w:val="1"/>
                <w:szCs w:val="1"/>
                <w:color w:val="auto"/>
              </w:rPr>
            </w:pPr>
          </w:p>
        </w:tc>
      </w:tr>
      <w:tr>
        <w:trPr>
          <w:trHeight w:val="237"/>
        </w:trPr>
        <w:tc>
          <w:tcPr>
            <w:tcW w:w="366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148,163</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120,491</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378,866</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352,172</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6"/>
                <w:szCs w:val="16"/>
                <w:color w:val="auto"/>
              </w:rPr>
              <w:t>EBITDA (1)</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6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24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24,955</w:t>
            </w:r>
          </w:p>
        </w:tc>
        <w:tc>
          <w:tcPr>
            <w:tcW w:w="12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15,620</w:t>
            </w:r>
          </w:p>
        </w:tc>
        <w:tc>
          <w:tcPr>
            <w:tcW w:w="12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51,434</w:t>
            </w:r>
          </w:p>
        </w:tc>
        <w:tc>
          <w:tcPr>
            <w:tcW w:w="120" w:type="dxa"/>
            <w:vAlign w:val="bottom"/>
          </w:tcPr>
          <w:p>
            <w:pPr>
              <w:spacing w:after="0"/>
              <w:rPr>
                <w:sz w:val="23"/>
                <w:szCs w:val="23"/>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11,527</w:t>
            </w:r>
          </w:p>
        </w:tc>
        <w:tc>
          <w:tcPr>
            <w:tcW w:w="0" w:type="dxa"/>
            <w:vAlign w:val="bottom"/>
          </w:tcPr>
          <w:p>
            <w:pPr>
              <w:spacing w:after="0"/>
              <w:rPr>
                <w:sz w:val="1"/>
                <w:szCs w:val="1"/>
                <w:color w:val="auto"/>
              </w:rPr>
            </w:pPr>
          </w:p>
        </w:tc>
      </w:tr>
      <w:tr>
        <w:trPr>
          <w:trHeight w:val="270"/>
        </w:trPr>
        <w:tc>
          <w:tcPr>
            <w:tcW w:w="3660" w:type="dxa"/>
            <w:vAlign w:val="bottom"/>
          </w:tcPr>
          <w:p>
            <w:pPr>
              <w:ind w:left="24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17,915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12,426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34,308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33,062</w:t>
            </w:r>
          </w:p>
        </w:tc>
        <w:tc>
          <w:tcPr>
            <w:tcW w:w="0" w:type="dxa"/>
            <w:vAlign w:val="bottom"/>
          </w:tcPr>
          <w:p>
            <w:pPr>
              <w:spacing w:after="0"/>
              <w:rPr>
                <w:sz w:val="1"/>
                <w:szCs w:val="1"/>
                <w:color w:val="auto"/>
              </w:rPr>
            </w:pPr>
          </w:p>
        </w:tc>
      </w:tr>
      <w:tr>
        <w:trPr>
          <w:trHeight w:val="270"/>
        </w:trPr>
        <w:tc>
          <w:tcPr>
            <w:tcW w:w="3660" w:type="dxa"/>
            <w:vAlign w:val="bottom"/>
          </w:tcPr>
          <w:p>
            <w:pPr>
              <w:ind w:left="240"/>
              <w:spacing w:after="0"/>
              <w:rPr>
                <w:sz w:val="20"/>
                <w:szCs w:val="20"/>
                <w:color w:val="auto"/>
              </w:rPr>
            </w:pPr>
            <w:r>
              <w:rPr>
                <w:rFonts w:ascii="Arial" w:cs="Arial" w:eastAsia="Arial" w:hAnsi="Arial"/>
                <w:sz w:val="16"/>
                <w:szCs w:val="16"/>
                <w:color w:val="auto"/>
              </w:rPr>
              <w:t>United States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2,414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5,634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3,658</w:t>
            </w:r>
          </w:p>
        </w:tc>
        <w:tc>
          <w:tcPr>
            <w:tcW w:w="0" w:type="dxa"/>
            <w:vAlign w:val="bottom"/>
          </w:tcPr>
          <w:p>
            <w:pPr>
              <w:spacing w:after="0"/>
              <w:rPr>
                <w:sz w:val="1"/>
                <w:szCs w:val="1"/>
                <w:color w:val="auto"/>
              </w:rPr>
            </w:pPr>
          </w:p>
        </w:tc>
      </w:tr>
      <w:tr>
        <w:trPr>
          <w:trHeight w:val="283"/>
        </w:trPr>
        <w:tc>
          <w:tcPr>
            <w:tcW w:w="3660" w:type="dxa"/>
            <w:vAlign w:val="bottom"/>
          </w:tcPr>
          <w:p>
            <w:pPr>
              <w:ind w:left="240"/>
              <w:spacing w:after="0"/>
              <w:rPr>
                <w:sz w:val="20"/>
                <w:szCs w:val="20"/>
                <w:color w:val="auto"/>
              </w:rPr>
            </w:pPr>
            <w:r>
              <w:rPr>
                <w:rFonts w:ascii="Arial" w:cs="Arial" w:eastAsia="Arial" w:hAnsi="Arial"/>
                <w:sz w:val="16"/>
                <w:szCs w:val="16"/>
                <w:color w:val="auto"/>
              </w:rPr>
              <w:t>Corporate and eliminations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(6,261)</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(18,653)</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(27,074)</w:t>
            </w:r>
          </w:p>
        </w:tc>
        <w:tc>
          <w:tcPr>
            <w:tcW w:w="0" w:type="dxa"/>
            <w:vAlign w:val="bottom"/>
          </w:tcPr>
          <w:p>
            <w:pPr>
              <w:spacing w:after="0"/>
              <w:rPr>
                <w:sz w:val="1"/>
                <w:szCs w:val="1"/>
                <w:color w:val="auto"/>
              </w:rPr>
            </w:pPr>
          </w:p>
        </w:tc>
      </w:tr>
      <w:tr>
        <w:trPr>
          <w:trHeight w:val="237"/>
        </w:trPr>
        <w:tc>
          <w:tcPr>
            <w:tcW w:w="3660" w:type="dxa"/>
            <w:vAlign w:val="bottom"/>
          </w:tcPr>
          <w:p>
            <w:pPr>
              <w:ind w:left="460"/>
              <w:spacing w:after="0"/>
              <w:rPr>
                <w:sz w:val="20"/>
                <w:szCs w:val="20"/>
                <w:color w:val="auto"/>
              </w:rPr>
            </w:pPr>
            <w:r>
              <w:rPr>
                <w:rFonts w:ascii="Arial" w:cs="Arial" w:eastAsia="Arial" w:hAnsi="Arial"/>
                <w:sz w:val="16"/>
                <w:szCs w:val="16"/>
                <w:color w:val="auto"/>
              </w:rPr>
              <w:t>Total EBITDA</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36,861</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21,888</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72,723</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21,173</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6"/>
                <w:szCs w:val="16"/>
                <w:color w:val="auto"/>
              </w:rPr>
              <w:t>Adjusted EBITDA (1)</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6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24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24,955</w:t>
            </w:r>
          </w:p>
        </w:tc>
        <w:tc>
          <w:tcPr>
            <w:tcW w:w="12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16,020</w:t>
            </w:r>
          </w:p>
        </w:tc>
        <w:tc>
          <w:tcPr>
            <w:tcW w:w="12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51,434</w:t>
            </w:r>
          </w:p>
        </w:tc>
        <w:tc>
          <w:tcPr>
            <w:tcW w:w="120" w:type="dxa"/>
            <w:vAlign w:val="bottom"/>
          </w:tcPr>
          <w:p>
            <w:pPr>
              <w:spacing w:after="0"/>
              <w:rPr>
                <w:sz w:val="23"/>
                <w:szCs w:val="23"/>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42,503</w:t>
            </w:r>
          </w:p>
        </w:tc>
        <w:tc>
          <w:tcPr>
            <w:tcW w:w="0" w:type="dxa"/>
            <w:vAlign w:val="bottom"/>
          </w:tcPr>
          <w:p>
            <w:pPr>
              <w:spacing w:after="0"/>
              <w:rPr>
                <w:sz w:val="1"/>
                <w:szCs w:val="1"/>
                <w:color w:val="auto"/>
              </w:rPr>
            </w:pPr>
          </w:p>
        </w:tc>
      </w:tr>
      <w:tr>
        <w:trPr>
          <w:trHeight w:val="270"/>
        </w:trPr>
        <w:tc>
          <w:tcPr>
            <w:tcW w:w="3660" w:type="dxa"/>
            <w:vAlign w:val="bottom"/>
          </w:tcPr>
          <w:p>
            <w:pPr>
              <w:ind w:left="24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17,207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12,426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40,070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33,062</w:t>
            </w:r>
          </w:p>
        </w:tc>
        <w:tc>
          <w:tcPr>
            <w:tcW w:w="0" w:type="dxa"/>
            <w:vAlign w:val="bottom"/>
          </w:tcPr>
          <w:p>
            <w:pPr>
              <w:spacing w:after="0"/>
              <w:rPr>
                <w:sz w:val="1"/>
                <w:szCs w:val="1"/>
                <w:color w:val="auto"/>
              </w:rPr>
            </w:pPr>
          </w:p>
        </w:tc>
      </w:tr>
      <w:tr>
        <w:trPr>
          <w:trHeight w:val="270"/>
        </w:trPr>
        <w:tc>
          <w:tcPr>
            <w:tcW w:w="3660" w:type="dxa"/>
            <w:vAlign w:val="bottom"/>
          </w:tcPr>
          <w:p>
            <w:pPr>
              <w:ind w:left="240"/>
              <w:spacing w:after="0"/>
              <w:rPr>
                <w:sz w:val="20"/>
                <w:szCs w:val="20"/>
                <w:color w:val="auto"/>
              </w:rPr>
            </w:pPr>
            <w:r>
              <w:rPr>
                <w:rFonts w:ascii="Arial" w:cs="Arial" w:eastAsia="Arial" w:hAnsi="Arial"/>
                <w:sz w:val="16"/>
                <w:szCs w:val="16"/>
                <w:color w:val="auto"/>
              </w:rPr>
              <w:t>United States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2,414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5,634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3,658</w:t>
            </w:r>
          </w:p>
        </w:tc>
        <w:tc>
          <w:tcPr>
            <w:tcW w:w="0" w:type="dxa"/>
            <w:vAlign w:val="bottom"/>
          </w:tcPr>
          <w:p>
            <w:pPr>
              <w:spacing w:after="0"/>
              <w:rPr>
                <w:sz w:val="1"/>
                <w:szCs w:val="1"/>
                <w:color w:val="auto"/>
              </w:rPr>
            </w:pPr>
          </w:p>
        </w:tc>
      </w:tr>
      <w:tr>
        <w:trPr>
          <w:trHeight w:val="283"/>
        </w:trPr>
        <w:tc>
          <w:tcPr>
            <w:tcW w:w="3660" w:type="dxa"/>
            <w:vAlign w:val="bottom"/>
          </w:tcPr>
          <w:p>
            <w:pPr>
              <w:ind w:left="240"/>
              <w:spacing w:after="0"/>
              <w:rPr>
                <w:sz w:val="20"/>
                <w:szCs w:val="20"/>
                <w:color w:val="auto"/>
              </w:rPr>
            </w:pPr>
            <w:r>
              <w:rPr>
                <w:rFonts w:ascii="Arial" w:cs="Arial" w:eastAsia="Arial" w:hAnsi="Arial"/>
                <w:sz w:val="16"/>
                <w:szCs w:val="16"/>
                <w:color w:val="auto"/>
              </w:rPr>
              <w:t>Corporate and eliminations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(6,261)</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(8,508)</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(18,653)</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(22,348)</w:t>
            </w:r>
          </w:p>
        </w:tc>
        <w:tc>
          <w:tcPr>
            <w:tcW w:w="0" w:type="dxa"/>
            <w:vAlign w:val="bottom"/>
          </w:tcPr>
          <w:p>
            <w:pPr>
              <w:spacing w:after="0"/>
              <w:rPr>
                <w:sz w:val="1"/>
                <w:szCs w:val="1"/>
                <w:color w:val="auto"/>
              </w:rPr>
            </w:pPr>
          </w:p>
        </w:tc>
      </w:tr>
      <w:tr>
        <w:trPr>
          <w:trHeight w:val="237"/>
        </w:trPr>
        <w:tc>
          <w:tcPr>
            <w:tcW w:w="3660" w:type="dxa"/>
            <w:vAlign w:val="bottom"/>
          </w:tcPr>
          <w:p>
            <w:pPr>
              <w:ind w:left="460"/>
              <w:spacing w:after="0"/>
              <w:rPr>
                <w:sz w:val="20"/>
                <w:szCs w:val="20"/>
                <w:color w:val="auto"/>
              </w:rPr>
            </w:pPr>
            <w:r>
              <w:rPr>
                <w:rFonts w:ascii="Arial" w:cs="Arial" w:eastAsia="Arial" w:hAnsi="Arial"/>
                <w:sz w:val="16"/>
                <w:szCs w:val="16"/>
                <w:color w:val="auto"/>
              </w:rPr>
              <w:t>Total adjusted EBITDA</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36,153</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22,352</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78,485</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56,875</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6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60" w:type="dxa"/>
            <w:vAlign w:val="bottom"/>
          </w:tcPr>
          <w:p>
            <w:pPr>
              <w:ind w:left="240"/>
              <w:spacing w:after="0"/>
              <w:rPr>
                <w:sz w:val="20"/>
                <w:szCs w:val="20"/>
                <w:color w:val="auto"/>
              </w:rPr>
            </w:pPr>
            <w:r>
              <w:rPr>
                <w:rFonts w:ascii="Arial" w:cs="Arial" w:eastAsia="Arial" w:hAnsi="Arial"/>
                <w:sz w:val="16"/>
                <w:szCs w:val="16"/>
                <w:color w:val="auto"/>
              </w:rPr>
              <w:t>Canada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2,919</w:t>
            </w:r>
          </w:p>
        </w:tc>
        <w:tc>
          <w:tcPr>
            <w:tcW w:w="12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(7,603)</w:t>
            </w:r>
          </w:p>
        </w:tc>
        <w:tc>
          <w:tcPr>
            <w:tcW w:w="12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(14,437)</w:t>
            </w:r>
          </w:p>
        </w:tc>
        <w:tc>
          <w:tcPr>
            <w:tcW w:w="120" w:type="dxa"/>
            <w:vAlign w:val="bottom"/>
          </w:tcPr>
          <w:p>
            <w:pPr>
              <w:spacing w:after="0"/>
              <w:rPr>
                <w:sz w:val="23"/>
                <w:szCs w:val="23"/>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(55,342)</w:t>
            </w:r>
          </w:p>
        </w:tc>
        <w:tc>
          <w:tcPr>
            <w:tcW w:w="0" w:type="dxa"/>
            <w:vAlign w:val="bottom"/>
          </w:tcPr>
          <w:p>
            <w:pPr>
              <w:spacing w:after="0"/>
              <w:rPr>
                <w:sz w:val="1"/>
                <w:szCs w:val="1"/>
                <w:color w:val="auto"/>
              </w:rPr>
            </w:pPr>
          </w:p>
        </w:tc>
      </w:tr>
      <w:tr>
        <w:trPr>
          <w:trHeight w:val="270"/>
        </w:trPr>
        <w:tc>
          <w:tcPr>
            <w:tcW w:w="3660" w:type="dxa"/>
            <w:vAlign w:val="bottom"/>
          </w:tcPr>
          <w:p>
            <w:pPr>
              <w:ind w:left="240"/>
              <w:spacing w:after="0"/>
              <w:rPr>
                <w:sz w:val="20"/>
                <w:szCs w:val="20"/>
                <w:color w:val="auto"/>
              </w:rPr>
            </w:pPr>
            <w:r>
              <w:rPr>
                <w:rFonts w:ascii="Arial" w:cs="Arial" w:eastAsia="Arial" w:hAnsi="Arial"/>
                <w:sz w:val="16"/>
                <w:szCs w:val="16"/>
                <w:color w:val="auto"/>
              </w:rPr>
              <w:t>Australia</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4,662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(3,793)</w:t>
            </w:r>
          </w:p>
        </w:tc>
        <w:tc>
          <w:tcPr>
            <w:tcW w:w="0" w:type="dxa"/>
            <w:vAlign w:val="bottom"/>
          </w:tcPr>
          <w:p>
            <w:pPr>
              <w:spacing w:after="0"/>
              <w:rPr>
                <w:sz w:val="1"/>
                <w:szCs w:val="1"/>
                <w:color w:val="auto"/>
              </w:rPr>
            </w:pPr>
          </w:p>
        </w:tc>
      </w:tr>
      <w:tr>
        <w:trPr>
          <w:trHeight w:val="270"/>
        </w:trPr>
        <w:tc>
          <w:tcPr>
            <w:tcW w:w="3660" w:type="dxa"/>
            <w:vAlign w:val="bottom"/>
          </w:tcPr>
          <w:p>
            <w:pPr>
              <w:ind w:left="240"/>
              <w:spacing w:after="0"/>
              <w:rPr>
                <w:sz w:val="20"/>
                <w:szCs w:val="20"/>
                <w:color w:val="auto"/>
              </w:rPr>
            </w:pPr>
            <w:r>
              <w:rPr>
                <w:rFonts w:ascii="Arial" w:cs="Arial" w:eastAsia="Arial" w:hAnsi="Arial"/>
                <w:sz w:val="16"/>
                <w:szCs w:val="16"/>
                <w:color w:val="auto"/>
              </w:rPr>
              <w:t>United States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(2,167)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(1,349)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(4,484)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(6,445)</w:t>
            </w:r>
          </w:p>
        </w:tc>
        <w:tc>
          <w:tcPr>
            <w:tcW w:w="0" w:type="dxa"/>
            <w:vAlign w:val="bottom"/>
          </w:tcPr>
          <w:p>
            <w:pPr>
              <w:spacing w:after="0"/>
              <w:rPr>
                <w:sz w:val="1"/>
                <w:szCs w:val="1"/>
                <w:color w:val="auto"/>
              </w:rPr>
            </w:pPr>
          </w:p>
        </w:tc>
      </w:tr>
      <w:tr>
        <w:trPr>
          <w:trHeight w:val="283"/>
        </w:trPr>
        <w:tc>
          <w:tcPr>
            <w:tcW w:w="3660" w:type="dxa"/>
            <w:vAlign w:val="bottom"/>
          </w:tcPr>
          <w:p>
            <w:pPr>
              <w:ind w:left="240"/>
              <w:spacing w:after="0"/>
              <w:rPr>
                <w:sz w:val="20"/>
                <w:szCs w:val="20"/>
                <w:color w:val="auto"/>
              </w:rPr>
            </w:pPr>
            <w:r>
              <w:rPr>
                <w:rFonts w:ascii="Arial" w:cs="Arial" w:eastAsia="Arial" w:hAnsi="Arial"/>
                <w:sz w:val="16"/>
                <w:szCs w:val="16"/>
                <w:color w:val="auto"/>
              </w:rPr>
              <w:t>Corporate and eliminations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(2,538)</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(4,415)</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(6,850)</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(15,331)</w:t>
            </w:r>
          </w:p>
        </w:tc>
        <w:tc>
          <w:tcPr>
            <w:tcW w:w="0" w:type="dxa"/>
            <w:vAlign w:val="bottom"/>
          </w:tcPr>
          <w:p>
            <w:pPr>
              <w:spacing w:after="0"/>
              <w:rPr>
                <w:sz w:val="1"/>
                <w:szCs w:val="1"/>
                <w:color w:val="auto"/>
              </w:rPr>
            </w:pPr>
          </w:p>
        </w:tc>
      </w:tr>
      <w:tr>
        <w:trPr>
          <w:trHeight w:val="240"/>
        </w:trPr>
        <w:tc>
          <w:tcPr>
            <w:tcW w:w="3660" w:type="dxa"/>
            <w:vAlign w:val="bottom"/>
          </w:tcPr>
          <w:p>
            <w:pPr>
              <w:ind w:left="460"/>
              <w:spacing w:after="0"/>
              <w:rPr>
                <w:sz w:val="20"/>
                <w:szCs w:val="20"/>
                <w:color w:val="auto"/>
              </w:rPr>
            </w:pPr>
            <w:r>
              <w:rPr>
                <w:rFonts w:ascii="Arial" w:cs="Arial" w:eastAsia="Arial" w:hAnsi="Arial"/>
                <w:sz w:val="16"/>
                <w:szCs w:val="16"/>
                <w:color w:val="auto"/>
              </w:rPr>
              <w:t>Total operating income (loss)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2,876</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(12,895)</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(27,073)</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(80,911)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(1) Please see Non-GAAP Reconciliation Schedule.</w:t>
      </w:r>
    </w:p>
    <w:p>
      <w:pPr>
        <w:sectPr>
          <w:pgSz w:w="11900" w:h="16838" w:orient="portrait"/>
          <w:cols w:equalWidth="0" w:num="1">
            <w:col w:w="9220"/>
          </w:cols>
          <w:pgMar w:left="1360" w:top="581" w:right="1319" w:bottom="1440" w:gutter="0" w:footer="0" w:header="0"/>
        </w:sectPr>
      </w:pPr>
    </w:p>
    <w:bookmarkStart w:id="12" w:name="page13"/>
    <w:bookmarkEnd w:id="12"/>
    <w:p>
      <w:pPr>
        <w:jc w:val="center"/>
        <w:ind w:right="-31"/>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NON-GAAP RECONCILIATIONS</w:t>
      </w:r>
    </w:p>
    <w:p>
      <w:pPr>
        <w:spacing w:after="0" w:line="5"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31"/>
        <w:spacing w:after="0"/>
        <w:rPr>
          <w:sz w:val="20"/>
          <w:szCs w:val="20"/>
          <w:color w:val="auto"/>
        </w:rPr>
      </w:pPr>
      <w:r>
        <w:rPr>
          <w:rFonts w:ascii="Arial" w:cs="Arial" w:eastAsia="Arial" w:hAnsi="Arial"/>
          <w:sz w:val="16"/>
          <w:szCs w:val="16"/>
          <w:b w:val="1"/>
          <w:bCs w:val="1"/>
          <w:color w:val="auto"/>
        </w:rPr>
        <w:t>(unaudited)</w:t>
      </w:r>
    </w:p>
    <w:p>
      <w:pPr>
        <w:spacing w:after="0" w:line="336" w:lineRule="exact"/>
        <w:rPr>
          <w:sz w:val="20"/>
          <w:szCs w:val="20"/>
          <w:color w:val="auto"/>
        </w:rPr>
      </w:pPr>
    </w:p>
    <w:tbl>
      <w:tblPr>
        <w:tblLayout w:type="fixed"/>
        <w:tblInd w:w="2492" w:type="dxa"/>
        <w:tblCellMar>
          <w:top w:w="0" w:type="dxa"/>
          <w:left w:w="0" w:type="dxa"/>
          <w:bottom w:w="0" w:type="dxa"/>
          <w:right w:w="0" w:type="dxa"/>
        </w:tblCellMar>
      </w:tblPr>
      <w:tr>
        <w:trPr>
          <w:trHeight w:val="189"/>
        </w:trPr>
        <w:tc>
          <w:tcPr>
            <w:tcW w:w="1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196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1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96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September 30,</w:t>
            </w:r>
          </w:p>
        </w:tc>
      </w:tr>
      <w:tr>
        <w:trPr>
          <w:trHeight w:val="283"/>
        </w:trPr>
        <w:tc>
          <w:tcPr>
            <w:tcW w:w="19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r>
      <w:tr>
        <w:trPr>
          <w:trHeight w:val="575"/>
        </w:trPr>
        <w:tc>
          <w:tcPr>
            <w:tcW w:w="1920" w:type="dxa"/>
            <w:vAlign w:val="bottom"/>
          </w:tcPr>
          <w:p>
            <w:pPr>
              <w:spacing w:after="0"/>
              <w:rPr>
                <w:sz w:val="20"/>
                <w:szCs w:val="20"/>
                <w:color w:val="auto"/>
              </w:rPr>
            </w:pPr>
            <w:r>
              <w:rPr>
                <w:rFonts w:ascii="Arial" w:cs="Arial" w:eastAsia="Arial" w:hAnsi="Arial"/>
                <w:sz w:val="16"/>
                <w:szCs w:val="16"/>
                <w:color w:val="auto"/>
              </w:rPr>
              <w:t>EBITDA (1)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36,861</w:t>
            </w:r>
          </w:p>
        </w:tc>
        <w:tc>
          <w:tcPr>
            <w:tcW w:w="12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21,888</w:t>
            </w:r>
          </w:p>
        </w:tc>
        <w:tc>
          <w:tcPr>
            <w:tcW w:w="12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72,723</w:t>
            </w:r>
          </w:p>
        </w:tc>
        <w:tc>
          <w:tcPr>
            <w:tcW w:w="12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21,173</w:t>
            </w:r>
          </w:p>
        </w:tc>
      </w:tr>
      <w:tr>
        <w:trPr>
          <w:trHeight w:val="270"/>
        </w:trPr>
        <w:tc>
          <w:tcPr>
            <w:tcW w:w="1920" w:type="dxa"/>
            <w:vAlign w:val="bottom"/>
          </w:tcPr>
          <w:p>
            <w:pPr>
              <w:spacing w:after="0"/>
              <w:rPr>
                <w:sz w:val="20"/>
                <w:szCs w:val="20"/>
                <w:color w:val="auto"/>
              </w:rPr>
            </w:pPr>
            <w:r>
              <w:rPr>
                <w:rFonts w:ascii="Arial" w:cs="Arial" w:eastAsia="Arial" w:hAnsi="Arial"/>
                <w:sz w:val="16"/>
                <w:szCs w:val="16"/>
                <w:color w:val="auto"/>
              </w:rPr>
              <w:t>Adjusted EBITDA (1)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36,153</w:t>
            </w:r>
          </w:p>
        </w:tc>
        <w:tc>
          <w:tcPr>
            <w:tcW w:w="12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22,352</w:t>
            </w:r>
          </w:p>
        </w:tc>
        <w:tc>
          <w:tcPr>
            <w:tcW w:w="12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78,485</w:t>
            </w:r>
          </w:p>
        </w:tc>
        <w:tc>
          <w:tcPr>
            <w:tcW w:w="12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56,875</w:t>
            </w:r>
          </w:p>
        </w:tc>
      </w:tr>
      <w:tr>
        <w:trPr>
          <w:trHeight w:val="270"/>
        </w:trPr>
        <w:tc>
          <w:tcPr>
            <w:tcW w:w="1920" w:type="dxa"/>
            <w:vAlign w:val="bottom"/>
          </w:tcPr>
          <w:p>
            <w:pPr>
              <w:spacing w:after="0"/>
              <w:rPr>
                <w:sz w:val="20"/>
                <w:szCs w:val="20"/>
                <w:color w:val="auto"/>
              </w:rPr>
            </w:pPr>
            <w:r>
              <w:rPr>
                <w:rFonts w:ascii="Arial" w:cs="Arial" w:eastAsia="Arial" w:hAnsi="Arial"/>
                <w:sz w:val="16"/>
                <w:szCs w:val="16"/>
                <w:color w:val="auto"/>
              </w:rPr>
              <w:t>Free Cash Flow (2)</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20,291</w:t>
            </w:r>
          </w:p>
        </w:tc>
        <w:tc>
          <w:tcPr>
            <w:tcW w:w="12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9,762</w:t>
            </w:r>
          </w:p>
        </w:tc>
        <w:tc>
          <w:tcPr>
            <w:tcW w:w="12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13,491</w:t>
            </w:r>
          </w:p>
        </w:tc>
        <w:tc>
          <w:tcPr>
            <w:tcW w:w="12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21,234</w:t>
            </w:r>
          </w:p>
        </w:tc>
      </w:tr>
    </w:tbl>
    <w:p>
      <w:pPr>
        <w:spacing w:after="0" w:line="210" w:lineRule="exact"/>
        <w:rPr>
          <w:sz w:val="20"/>
          <w:szCs w:val="20"/>
          <w:color w:val="auto"/>
        </w:rPr>
      </w:pPr>
    </w:p>
    <w:p>
      <w:pPr>
        <w:ind w:left="332" w:hanging="332"/>
        <w:spacing w:after="0" w:line="248" w:lineRule="auto"/>
        <w:tabs>
          <w:tab w:leader="none" w:pos="332"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term EBITDA is defined as net income (loss) attributable to Civeo Corporation plus interest, taxes, depreciation and amortization. The term Adjusted EBITDA is defined as EBITDA adjusted to exclude impairment charges and certain costs associated with Civeo's acquisitions of Noralta and Action.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the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178" w:lineRule="exact"/>
        <w:rPr>
          <w:rFonts w:ascii="Arial" w:cs="Arial" w:eastAsia="Arial" w:hAnsi="Arial"/>
          <w:sz w:val="16"/>
          <w:szCs w:val="16"/>
          <w:color w:val="auto"/>
        </w:rPr>
      </w:pPr>
    </w:p>
    <w:p>
      <w:pPr>
        <w:ind w:left="332" w:right="380"/>
        <w:spacing w:after="0" w:line="260"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EBITDA and Adjusted EBITDA to net loss attributable to Civeo Corporation, which is the most directly comparable measure of financial performance calculated under generally accepted accounting principles (in thousands) (unaudited):</w:t>
      </w:r>
    </w:p>
    <w:p>
      <w:pPr>
        <w:spacing w:after="0" w:line="311" w:lineRule="exact"/>
        <w:rPr>
          <w:sz w:val="20"/>
          <w:szCs w:val="20"/>
          <w:color w:val="auto"/>
        </w:rPr>
      </w:pPr>
    </w:p>
    <w:tbl>
      <w:tblPr>
        <w:tblLayout w:type="fixed"/>
        <w:tblInd w:w="1532" w:type="dxa"/>
        <w:tblCellMar>
          <w:top w:w="0" w:type="dxa"/>
          <w:left w:w="0" w:type="dxa"/>
          <w:bottom w:w="0" w:type="dxa"/>
          <w:right w:w="0" w:type="dxa"/>
        </w:tblCellMar>
      </w:tblPr>
      <w:tr>
        <w:trPr>
          <w:trHeight w:val="189"/>
        </w:trPr>
        <w:tc>
          <w:tcPr>
            <w:tcW w:w="3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02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3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202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September 30,</w:t>
            </w:r>
          </w:p>
        </w:tc>
      </w:tr>
      <w:tr>
        <w:trPr>
          <w:trHeight w:val="283"/>
        </w:trPr>
        <w:tc>
          <w:tcPr>
            <w:tcW w:w="3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r>
      <w:tr>
        <w:trPr>
          <w:trHeight w:val="575"/>
        </w:trPr>
        <w:tc>
          <w:tcPr>
            <w:tcW w:w="3740" w:type="dxa"/>
            <w:vAlign w:val="bottom"/>
          </w:tcPr>
          <w:p>
            <w:pPr>
              <w:spacing w:after="0"/>
              <w:rPr>
                <w:sz w:val="20"/>
                <w:szCs w:val="20"/>
                <w:color w:val="auto"/>
              </w:rPr>
            </w:pPr>
            <w:r>
              <w:rPr>
                <w:rFonts w:ascii="Arial" w:cs="Arial" w:eastAsia="Arial" w:hAnsi="Arial"/>
                <w:sz w:val="16"/>
                <w:szCs w:val="16"/>
                <w:color w:val="auto"/>
              </w:rPr>
              <w:t>Net income (loss) attributable to Civeo Corporation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4,996</w:t>
            </w: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(13,638)</w:t>
            </w:r>
          </w:p>
        </w:tc>
        <w:tc>
          <w:tcPr>
            <w:tcW w:w="12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(26,892)</w:t>
            </w: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(68,928)</w:t>
            </w:r>
          </w:p>
        </w:tc>
      </w:tr>
      <w:tr>
        <w:trPr>
          <w:trHeight w:val="270"/>
        </w:trPr>
        <w:tc>
          <w:tcPr>
            <w:tcW w:w="3740" w:type="dxa"/>
            <w:vAlign w:val="bottom"/>
          </w:tcPr>
          <w:p>
            <w:pPr>
              <w:spacing w:after="0"/>
              <w:rPr>
                <w:sz w:val="20"/>
                <w:szCs w:val="20"/>
                <w:color w:val="auto"/>
              </w:rPr>
            </w:pPr>
            <w:r>
              <w:rPr>
                <w:rFonts w:ascii="Arial" w:cs="Arial" w:eastAsia="Arial" w:hAnsi="Arial"/>
                <w:sz w:val="16"/>
                <w:szCs w:val="16"/>
                <w:color w:val="auto"/>
              </w:rPr>
              <w:t>Income tax benefit</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(6,629)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(5,330)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(13,963)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(29,386)</w:t>
            </w:r>
          </w:p>
        </w:tc>
      </w:tr>
      <w:tr>
        <w:trPr>
          <w:trHeight w:val="270"/>
        </w:trPr>
        <w:tc>
          <w:tcPr>
            <w:tcW w:w="374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31,196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34,468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92,974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99,502</w:t>
            </w:r>
          </w:p>
        </w:tc>
      </w:tr>
      <w:tr>
        <w:trPr>
          <w:trHeight w:val="270"/>
        </w:trPr>
        <w:tc>
          <w:tcPr>
            <w:tcW w:w="3740" w:type="dxa"/>
            <w:vAlign w:val="bottom"/>
          </w:tcPr>
          <w:p>
            <w:pPr>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70"/>
        </w:trPr>
        <w:tc>
          <w:tcPr>
            <w:tcW w:w="3740" w:type="dxa"/>
            <w:vAlign w:val="bottom"/>
          </w:tcPr>
          <w:p>
            <w:pPr>
              <w:spacing w:after="0"/>
              <w:rPr>
                <w:sz w:val="20"/>
                <w:szCs w:val="20"/>
                <w:color w:val="auto"/>
              </w:rPr>
            </w:pPr>
            <w:r>
              <w:rPr>
                <w:rFonts w:ascii="Arial" w:cs="Arial" w:eastAsia="Arial" w:hAnsi="Arial"/>
                <w:sz w:val="16"/>
                <w:szCs w:val="16"/>
                <w:color w:val="auto"/>
              </w:rPr>
              <w:t>Loss on extinguishment of debt</w:t>
            </w:r>
          </w:p>
        </w:tc>
        <w:tc>
          <w:tcPr>
            <w:tcW w:w="2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748</w:t>
            </w:r>
          </w:p>
        </w:tc>
      </w:tr>
      <w:tr>
        <w:trPr>
          <w:trHeight w:val="283"/>
        </w:trPr>
        <w:tc>
          <w:tcPr>
            <w:tcW w:w="3740" w:type="dxa"/>
            <w:vAlign w:val="bottom"/>
          </w:tcPr>
          <w:p>
            <w:pPr>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7,315</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6,404</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20,670</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19,329</w:t>
            </w:r>
          </w:p>
        </w:tc>
      </w:tr>
      <w:tr>
        <w:trPr>
          <w:trHeight w:val="250"/>
        </w:trPr>
        <w:tc>
          <w:tcPr>
            <w:tcW w:w="3740" w:type="dxa"/>
            <w:vAlign w:val="bottom"/>
          </w:tcPr>
          <w:p>
            <w:pPr>
              <w:ind w:left="220"/>
              <w:spacing w:after="0"/>
              <w:rPr>
                <w:sz w:val="20"/>
                <w:szCs w:val="20"/>
                <w:color w:val="auto"/>
              </w:rPr>
            </w:pPr>
            <w:r>
              <w:rPr>
                <w:rFonts w:ascii="Arial" w:cs="Arial" w:eastAsia="Arial" w:hAnsi="Arial"/>
                <w:sz w:val="16"/>
                <w:szCs w:val="16"/>
                <w:color w:val="auto"/>
              </w:rPr>
              <w:t>EBITDA</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36,861</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21,888</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72,723</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21,173</w:t>
            </w:r>
          </w:p>
        </w:tc>
      </w:tr>
      <w:tr>
        <w:trPr>
          <w:trHeight w:val="251"/>
        </w:trPr>
        <w:tc>
          <w:tcPr>
            <w:tcW w:w="3740" w:type="dxa"/>
            <w:vAlign w:val="bottom"/>
          </w:tcPr>
          <w:p>
            <w:pPr>
              <w:spacing w:after="0"/>
              <w:rPr>
                <w:sz w:val="20"/>
                <w:szCs w:val="20"/>
                <w:color w:val="auto"/>
              </w:rPr>
            </w:pPr>
            <w:r>
              <w:rPr>
                <w:rFonts w:ascii="Arial" w:cs="Arial" w:eastAsia="Arial" w:hAnsi="Arial"/>
                <w:sz w:val="16"/>
                <w:szCs w:val="16"/>
                <w:color w:val="auto"/>
              </w:rPr>
              <w:t>Adjustments to EBITDA</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0"/>
        </w:trPr>
        <w:tc>
          <w:tcPr>
            <w:tcW w:w="3740" w:type="dxa"/>
            <w:vAlign w:val="bottom"/>
          </w:tcPr>
          <w:p>
            <w:pPr>
              <w:ind w:left="220"/>
              <w:spacing w:after="0"/>
              <w:rPr>
                <w:sz w:val="20"/>
                <w:szCs w:val="20"/>
                <w:color w:val="auto"/>
              </w:rPr>
            </w:pPr>
            <w:r>
              <w:rPr>
                <w:rFonts w:ascii="Arial" w:cs="Arial" w:eastAsia="Arial" w:hAnsi="Arial"/>
                <w:sz w:val="16"/>
                <w:szCs w:val="16"/>
                <w:color w:val="auto"/>
              </w:rPr>
              <w:t>Impairment expense (a)</w:t>
            </w:r>
          </w:p>
        </w:tc>
        <w:tc>
          <w:tcPr>
            <w:tcW w:w="2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5,546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28,661</w:t>
            </w:r>
          </w:p>
        </w:tc>
      </w:tr>
      <w:tr>
        <w:trPr>
          <w:trHeight w:val="270"/>
        </w:trPr>
        <w:tc>
          <w:tcPr>
            <w:tcW w:w="3740" w:type="dxa"/>
            <w:vAlign w:val="bottom"/>
          </w:tcPr>
          <w:p>
            <w:pPr>
              <w:ind w:left="220"/>
              <w:spacing w:after="0"/>
              <w:rPr>
                <w:sz w:val="20"/>
                <w:szCs w:val="20"/>
                <w:color w:val="auto"/>
              </w:rPr>
            </w:pPr>
            <w:r>
              <w:rPr>
                <w:rFonts w:ascii="Arial" w:cs="Arial" w:eastAsia="Arial" w:hAnsi="Arial"/>
                <w:sz w:val="16"/>
                <w:szCs w:val="16"/>
                <w:color w:val="auto"/>
              </w:rPr>
              <w:t>Noralta transaction costs (b)</w:t>
            </w:r>
          </w:p>
        </w:tc>
        <w:tc>
          <w:tcPr>
            <w:tcW w:w="2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7,041</w:t>
            </w:r>
          </w:p>
        </w:tc>
      </w:tr>
      <w:tr>
        <w:trPr>
          <w:trHeight w:val="243"/>
        </w:trPr>
        <w:tc>
          <w:tcPr>
            <w:tcW w:w="3740" w:type="dxa"/>
            <w:vAlign w:val="bottom"/>
          </w:tcPr>
          <w:p>
            <w:pPr>
              <w:ind w:left="240"/>
              <w:spacing w:after="0"/>
              <w:rPr>
                <w:sz w:val="20"/>
                <w:szCs w:val="20"/>
                <w:color w:val="auto"/>
              </w:rPr>
            </w:pPr>
            <w:r>
              <w:rPr>
                <w:rFonts w:ascii="Arial" w:cs="Arial" w:eastAsia="Arial" w:hAnsi="Arial"/>
                <w:sz w:val="16"/>
                <w:szCs w:val="16"/>
                <w:color w:val="auto"/>
              </w:rPr>
              <w:t>Australia ARO adjustment (c)</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3"/>
        </w:trPr>
        <w:tc>
          <w:tcPr>
            <w:tcW w:w="3740" w:type="dxa"/>
            <w:vAlign w:val="bottom"/>
          </w:tcPr>
          <w:p>
            <w:pPr>
              <w:ind w:left="240"/>
              <w:spacing w:after="0"/>
              <w:rPr>
                <w:sz w:val="20"/>
                <w:szCs w:val="20"/>
                <w:color w:val="auto"/>
              </w:rPr>
            </w:pPr>
            <w:r>
              <w:rPr>
                <w:rFonts w:ascii="Arial" w:cs="Arial" w:eastAsia="Arial" w:hAnsi="Arial"/>
                <w:sz w:val="16"/>
                <w:szCs w:val="16"/>
                <w:color w:val="auto"/>
              </w:rPr>
              <w:t>Action transaction costs (d)</w:t>
            </w:r>
          </w:p>
        </w:tc>
        <w:tc>
          <w:tcPr>
            <w:tcW w:w="24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3740" w:type="dxa"/>
            <w:vAlign w:val="bottom"/>
          </w:tcPr>
          <w:p>
            <w:pPr>
              <w:ind w:left="440"/>
              <w:spacing w:after="0"/>
              <w:rPr>
                <w:sz w:val="20"/>
                <w:szCs w:val="20"/>
                <w:color w:val="auto"/>
              </w:rPr>
            </w:pPr>
            <w:r>
              <w:rPr>
                <w:rFonts w:ascii="Arial" w:cs="Arial" w:eastAsia="Arial" w:hAnsi="Arial"/>
                <w:sz w:val="16"/>
                <w:szCs w:val="16"/>
                <w:color w:val="auto"/>
              </w:rPr>
              <w:t>Adjusted EBITDA</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36,153</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22,352</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78,485</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56,875</w:t>
            </w:r>
          </w:p>
        </w:tc>
      </w:tr>
      <w:tr>
        <w:trPr>
          <w:trHeight w:val="20"/>
        </w:trPr>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652" w:right="40" w:hanging="328"/>
        <w:spacing w:after="0" w:line="250" w:lineRule="auto"/>
        <w:tabs>
          <w:tab w:leader="none" w:pos="652" w:val="left"/>
        </w:tabs>
        <w:numPr>
          <w:ilvl w:val="0"/>
          <w:numId w:val="5"/>
        </w:numPr>
        <w:rPr>
          <w:rFonts w:ascii="Arial" w:cs="Arial" w:eastAsia="Arial" w:hAnsi="Arial"/>
          <w:sz w:val="16"/>
          <w:szCs w:val="16"/>
          <w:color w:val="auto"/>
        </w:rPr>
      </w:pPr>
      <w:r>
        <w:rPr>
          <w:rFonts w:ascii="Arial" w:cs="Arial" w:eastAsia="Arial" w:hAnsi="Arial"/>
          <w:sz w:val="16"/>
          <w:szCs w:val="16"/>
          <w:color w:val="auto"/>
        </w:rPr>
        <w:t>Relates to asset impairments recorded in the second quarter 2019 and the first quarter 2018. In the second quarter 2019, we recorded a pre-tax loss related to the impairment of assets in Australia of $5.5 million ($5.5 million after-tax, or $0.03 per diluted share), which is included in Impairment expense on the unaudited statements of operations. This includes $1.0 million of impairment expense related to an error corrected in the second quarter 2019. During the second quarter of 2019, we identified a future liability related to an asset retirement obligation (ARO) at one of our villages in Australia that should have been recorded in 2011. We determined that the error was not material to our</w:t>
      </w:r>
    </w:p>
    <w:p>
      <w:pPr>
        <w:sectPr>
          <w:pgSz w:w="11900" w:h="16838" w:orient="portrait"/>
          <w:cols w:equalWidth="0" w:num="1">
            <w:col w:w="11372"/>
          </w:cols>
          <w:pgMar w:left="248" w:top="581" w:right="279" w:bottom="1440" w:gutter="0" w:footer="0" w:header="0"/>
        </w:sectPr>
      </w:pPr>
    </w:p>
    <w:bookmarkStart w:id="13" w:name="page14"/>
    <w:bookmarkEnd w:id="13"/>
    <w:p>
      <w:pPr>
        <w:ind w:left="652" w:right="180"/>
        <w:spacing w:after="0" w:line="348" w:lineRule="auto"/>
        <w:rPr>
          <w:sz w:val="20"/>
          <w:szCs w:val="20"/>
          <w:color w:val="auto"/>
        </w:rPr>
      </w:pPr>
      <w:r>
        <w:rPr>
          <w:rFonts w:ascii="Arial" w:cs="Arial" w:eastAsia="Arial" w:hAnsi="Arial"/>
          <w:sz w:val="16"/>
          <w:szCs w:val="16"/>
          <w:color w:val="auto"/>
        </w:rPr>
        <w:t>previously issued financial statements included in our Annual Report on Form 10-K for the year ended December 31, 2018, and therefore, corrected the error in the second quarter of 2019.</w:t>
      </w:r>
    </w:p>
    <w:p>
      <w:pPr>
        <w:spacing w:after="0" w:line="142" w:lineRule="exact"/>
        <w:rPr>
          <w:sz w:val="20"/>
          <w:szCs w:val="20"/>
          <w:color w:val="auto"/>
        </w:rPr>
      </w:pPr>
    </w:p>
    <w:p>
      <w:pPr>
        <w:ind w:left="652" w:right="20"/>
        <w:spacing w:after="0" w:line="260" w:lineRule="auto"/>
        <w:rPr>
          <w:sz w:val="20"/>
          <w:szCs w:val="20"/>
          <w:color w:val="auto"/>
        </w:rPr>
      </w:pPr>
      <w:r>
        <w:rPr>
          <w:rFonts w:ascii="Arial" w:cs="Arial" w:eastAsia="Arial" w:hAnsi="Arial"/>
          <w:sz w:val="16"/>
          <w:szCs w:val="16"/>
          <w:color w:val="auto"/>
        </w:rPr>
        <w:t>In the first quarter 2018, we recorded a pre-tax loss related to the impairment of assets in Canada of $28.7 million ($20.9 million after-tax, or $0.14 per diluted share), which is included in Impairment expense on the unaudited statements of operations.</w:t>
      </w:r>
    </w:p>
    <w:p>
      <w:pPr>
        <w:spacing w:after="0" w:line="169" w:lineRule="exact"/>
        <w:rPr>
          <w:sz w:val="20"/>
          <w:szCs w:val="20"/>
          <w:color w:val="auto"/>
        </w:rPr>
      </w:pPr>
    </w:p>
    <w:p>
      <w:pPr>
        <w:ind w:left="652" w:right="100" w:hanging="328"/>
        <w:spacing w:after="0" w:line="249" w:lineRule="auto"/>
        <w:tabs>
          <w:tab w:leader="none" w:pos="652" w:val="left"/>
        </w:tabs>
        <w:numPr>
          <w:ilvl w:val="1"/>
          <w:numId w:val="6"/>
        </w:numPr>
        <w:rPr>
          <w:rFonts w:ascii="Arial" w:cs="Arial" w:eastAsia="Arial" w:hAnsi="Arial"/>
          <w:sz w:val="16"/>
          <w:szCs w:val="16"/>
          <w:color w:val="auto"/>
        </w:rPr>
      </w:pPr>
      <w:r>
        <w:rPr>
          <w:rFonts w:ascii="Arial" w:cs="Arial" w:eastAsia="Arial" w:hAnsi="Arial"/>
          <w:sz w:val="16"/>
          <w:szCs w:val="16"/>
          <w:color w:val="auto"/>
        </w:rPr>
        <w:t>Relates to costs incurred associated with Civeo's acquisition of Noralta. For the nine month period ended September 30, 2018, the $7.0 million of costs ($6.3 million after-tax, or $0.04, per diluted shares), are reflected in the Canada ($2.3 million) and Corporate and eliminations ($4.7 million) reportable segments and are included in Costs of sales and services ($0.4 million) and Selling, general and administrative expenses ($6.7 million) on the unaudited statements of operations. During the third quarter 2018, the $0.5 million of costs ($0.4 million after-tax, or $0.00, per diluted share), are reflected in the Canada ($0.4 million) and Corporate and eliminations ($0.1 million) reportable segments and are included in Costs of sales and services ($0.2 million) and Selling, general and administrative expenses ($0.3 million) on the unaudited statements of operations.</w:t>
      </w:r>
    </w:p>
    <w:p>
      <w:pPr>
        <w:spacing w:after="0" w:line="178" w:lineRule="exact"/>
        <w:rPr>
          <w:rFonts w:ascii="Arial" w:cs="Arial" w:eastAsia="Arial" w:hAnsi="Arial"/>
          <w:sz w:val="16"/>
          <w:szCs w:val="16"/>
          <w:color w:val="auto"/>
        </w:rPr>
      </w:pPr>
    </w:p>
    <w:p>
      <w:pPr>
        <w:ind w:left="652" w:right="40" w:hanging="328"/>
        <w:spacing w:after="0" w:line="251" w:lineRule="auto"/>
        <w:tabs>
          <w:tab w:leader="none" w:pos="652" w:val="left"/>
        </w:tabs>
        <w:numPr>
          <w:ilvl w:val="1"/>
          <w:numId w:val="6"/>
        </w:numPr>
        <w:rPr>
          <w:rFonts w:ascii="Arial" w:cs="Arial" w:eastAsia="Arial" w:hAnsi="Arial"/>
          <w:sz w:val="16"/>
          <w:szCs w:val="16"/>
          <w:color w:val="auto"/>
        </w:rPr>
      </w:pPr>
      <w:r>
        <w:rPr>
          <w:rFonts w:ascii="Arial" w:cs="Arial" w:eastAsia="Arial" w:hAnsi="Arial"/>
          <w:sz w:val="16"/>
          <w:szCs w:val="16"/>
          <w:color w:val="auto"/>
        </w:rPr>
        <w:t>As noted above, during the second quarter of 2019, we identified a future liability related to an ARO at one of our villages in Australia that should have been recorded in 2011. The correction included a $0.9 million ($0.9 million after-tax, or $0.01 per diluted share) adjustment, which was included in Cost of sales and services on the unaudited statements of operations during the second quarter of 2019. This amount represented the prior period impact of this correction.</w:t>
      </w:r>
    </w:p>
    <w:p>
      <w:pPr>
        <w:spacing w:after="0" w:line="175" w:lineRule="exact"/>
        <w:rPr>
          <w:rFonts w:ascii="Arial" w:cs="Arial" w:eastAsia="Arial" w:hAnsi="Arial"/>
          <w:sz w:val="16"/>
          <w:szCs w:val="16"/>
          <w:color w:val="auto"/>
        </w:rPr>
      </w:pPr>
    </w:p>
    <w:p>
      <w:pPr>
        <w:ind w:left="652" w:right="20"/>
        <w:spacing w:after="0" w:line="250" w:lineRule="auto"/>
        <w:rPr>
          <w:rFonts w:ascii="Arial" w:cs="Arial" w:eastAsia="Arial" w:hAnsi="Arial"/>
          <w:sz w:val="16"/>
          <w:szCs w:val="16"/>
          <w:color w:val="auto"/>
        </w:rPr>
      </w:pPr>
      <w:r>
        <w:rPr>
          <w:rFonts w:ascii="Arial" w:cs="Arial" w:eastAsia="Arial" w:hAnsi="Arial"/>
          <w:sz w:val="16"/>
          <w:szCs w:val="16"/>
          <w:color w:val="auto"/>
        </w:rPr>
        <w:t>In the third quarter 2019, we sold the village in Australia with the ARO noted above. The ARO was assumed by the purchaser. Accordingly, the ARO liability was released and a gain on sale was recognized. As the $0.9 million adjustment in the second quarter 2019 was not included in Adjusted EBITDA, we have added back the corresponding release of the liability. The impact of the adjustment for the three month period ended September 30, 2019 totals $0.9 million ($0.9 million after tax, or $0.01 per diluted share), and is included in Other income on the unaudited statement of operations, resulting in a net impact of zero for the nine months ended September 30, 2019.</w:t>
      </w:r>
    </w:p>
    <w:p>
      <w:pPr>
        <w:spacing w:after="0" w:line="176" w:lineRule="exact"/>
        <w:rPr>
          <w:rFonts w:ascii="Arial" w:cs="Arial" w:eastAsia="Arial" w:hAnsi="Arial"/>
          <w:sz w:val="16"/>
          <w:szCs w:val="16"/>
          <w:color w:val="auto"/>
        </w:rPr>
      </w:pPr>
    </w:p>
    <w:p>
      <w:pPr>
        <w:ind w:left="652" w:right="320" w:hanging="328"/>
        <w:spacing w:after="0" w:line="253" w:lineRule="auto"/>
        <w:tabs>
          <w:tab w:leader="none" w:pos="652" w:val="left"/>
        </w:tabs>
        <w:numPr>
          <w:ilvl w:val="1"/>
          <w:numId w:val="6"/>
        </w:numPr>
        <w:rPr>
          <w:rFonts w:ascii="Arial" w:cs="Arial" w:eastAsia="Arial" w:hAnsi="Arial"/>
          <w:sz w:val="16"/>
          <w:szCs w:val="16"/>
          <w:color w:val="auto"/>
        </w:rPr>
      </w:pPr>
      <w:r>
        <w:rPr>
          <w:rFonts w:ascii="Arial" w:cs="Arial" w:eastAsia="Arial" w:hAnsi="Arial"/>
          <w:sz w:val="16"/>
          <w:szCs w:val="16"/>
          <w:color w:val="auto"/>
        </w:rPr>
        <w:t>Relates to costs incurred associated with Civeo's acquisition of Action. For the three and nine month periods ended September 30, 2019, the $0.2 million of costs ($0.2 million after-tax, or $0.00, per diluted share), are reflected in the Australia reportable segment and are included in Selling, general and administrative expenses on the unaudited statements of operations.</w:t>
      </w:r>
    </w:p>
    <w:p>
      <w:pPr>
        <w:spacing w:after="0" w:line="174" w:lineRule="exact"/>
        <w:rPr>
          <w:rFonts w:ascii="Arial" w:cs="Arial" w:eastAsia="Arial" w:hAnsi="Arial"/>
          <w:sz w:val="16"/>
          <w:szCs w:val="16"/>
          <w:color w:val="auto"/>
        </w:rPr>
      </w:pPr>
    </w:p>
    <w:p>
      <w:pPr>
        <w:ind w:left="332" w:hanging="332"/>
        <w:spacing w:after="0" w:line="248" w:lineRule="auto"/>
        <w:tabs>
          <w:tab w:leader="none" w:pos="332"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term Free Cash Flow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Civeo has included Free Cash Flow as a supplemental disclosure because its management believes that Free Cash Flow provides useful information regarding the cash flow generating ability of its business relative to its capital expenditure and debt service obligations. Civeo uses Free Cash Flow to compare and to understand, manage, make operating decisions and evaluate Civeo's business. It is also used as a benchmark for the award of incentive compensation under its Free Cash Flow plan.</w:t>
      </w:r>
    </w:p>
    <w:p>
      <w:pPr>
        <w:spacing w:after="0" w:line="181" w:lineRule="exact"/>
        <w:rPr>
          <w:rFonts w:ascii="Arial" w:cs="Arial" w:eastAsia="Arial" w:hAnsi="Arial"/>
          <w:sz w:val="16"/>
          <w:szCs w:val="16"/>
          <w:color w:val="auto"/>
        </w:rPr>
      </w:pPr>
    </w:p>
    <w:p>
      <w:pPr>
        <w:ind w:left="332" w:right="40"/>
        <w:spacing w:after="0" w:line="260"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311" w:lineRule="exact"/>
        <w:rPr>
          <w:sz w:val="20"/>
          <w:szCs w:val="20"/>
          <w:color w:val="auto"/>
        </w:rPr>
      </w:pPr>
    </w:p>
    <w:tbl>
      <w:tblPr>
        <w:tblLayout w:type="fixed"/>
        <w:tblInd w:w="1132" w:type="dxa"/>
        <w:tblCellMar>
          <w:top w:w="0" w:type="dxa"/>
          <w:left w:w="0" w:type="dxa"/>
          <w:bottom w:w="0" w:type="dxa"/>
          <w:right w:w="0" w:type="dxa"/>
        </w:tblCellMar>
      </w:tblPr>
      <w:tr>
        <w:trPr>
          <w:trHeight w:val="189"/>
        </w:trPr>
        <w:tc>
          <w:tcPr>
            <w:tcW w:w="4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6"/>
                <w:szCs w:val="16"/>
                <w:color w:val="auto"/>
              </w:rPr>
            </w:pPr>
          </w:p>
        </w:tc>
        <w:tc>
          <w:tcPr>
            <w:tcW w:w="196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96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September 30,</w:t>
            </w:r>
          </w:p>
        </w:tc>
      </w:tr>
      <w:tr>
        <w:trPr>
          <w:trHeight w:val="283"/>
        </w:trPr>
        <w:tc>
          <w:tcPr>
            <w:tcW w:w="4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r>
      <w:tr>
        <w:trPr>
          <w:trHeight w:val="575"/>
        </w:trPr>
        <w:tc>
          <w:tcPr>
            <w:tcW w:w="4740" w:type="dxa"/>
            <w:vAlign w:val="bottom"/>
          </w:tcPr>
          <w:p>
            <w:pPr>
              <w:spacing w:after="0"/>
              <w:rPr>
                <w:sz w:val="20"/>
                <w:szCs w:val="20"/>
                <w:color w:val="auto"/>
              </w:rPr>
            </w:pPr>
            <w:r>
              <w:rPr>
                <w:rFonts w:ascii="Arial" w:cs="Arial" w:eastAsia="Arial" w:hAnsi="Arial"/>
                <w:sz w:val="16"/>
                <w:szCs w:val="16"/>
                <w:color w:val="auto"/>
              </w:rPr>
              <w:t>Net Cash Flows Provided by Operating Activities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23,566</w:t>
            </w: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11,885</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33,526</w:t>
            </w:r>
          </w:p>
        </w:tc>
        <w:tc>
          <w:tcPr>
            <w:tcW w:w="12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25,862</w:t>
            </w:r>
          </w:p>
        </w:tc>
      </w:tr>
      <w:tr>
        <w:trPr>
          <w:trHeight w:val="270"/>
        </w:trPr>
        <w:tc>
          <w:tcPr>
            <w:tcW w:w="4740" w:type="dxa"/>
            <w:vAlign w:val="bottom"/>
          </w:tcPr>
          <w:p>
            <w:pPr>
              <w:ind w:left="140"/>
              <w:spacing w:after="0"/>
              <w:rPr>
                <w:sz w:val="20"/>
                <w:szCs w:val="20"/>
                <w:color w:val="auto"/>
              </w:rPr>
            </w:pPr>
            <w:r>
              <w:rPr>
                <w:rFonts w:ascii="Arial" w:cs="Arial" w:eastAsia="Arial" w:hAnsi="Arial"/>
                <w:sz w:val="16"/>
                <w:szCs w:val="16"/>
                <w:color w:val="auto"/>
              </w:rPr>
              <w:t>Capital expenditures, including capitalized interest</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(4,309)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(2,723)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(25,517)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(8,666)</w:t>
            </w:r>
          </w:p>
        </w:tc>
      </w:tr>
      <w:tr>
        <w:trPr>
          <w:trHeight w:val="283"/>
        </w:trPr>
        <w:tc>
          <w:tcPr>
            <w:tcW w:w="4740" w:type="dxa"/>
            <w:vAlign w:val="bottom"/>
          </w:tcPr>
          <w:p>
            <w:pPr>
              <w:ind w:left="140"/>
              <w:spacing w:after="0"/>
              <w:rPr>
                <w:sz w:val="20"/>
                <w:szCs w:val="20"/>
                <w:color w:val="auto"/>
              </w:rPr>
            </w:pPr>
            <w:r>
              <w:rPr>
                <w:rFonts w:ascii="Arial" w:cs="Arial" w:eastAsia="Arial" w:hAnsi="Arial"/>
                <w:sz w:val="16"/>
                <w:szCs w:val="16"/>
                <w:color w:val="auto"/>
              </w:rPr>
              <w:t>Proceeds from disposition of property, plant and equipment</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1,034</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5,482</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4,038</w:t>
            </w:r>
          </w:p>
        </w:tc>
      </w:tr>
      <w:tr>
        <w:trPr>
          <w:trHeight w:val="240"/>
        </w:trPr>
        <w:tc>
          <w:tcPr>
            <w:tcW w:w="4740" w:type="dxa"/>
            <w:vAlign w:val="bottom"/>
          </w:tcPr>
          <w:p>
            <w:pPr>
              <w:ind w:left="140"/>
              <w:spacing w:after="0"/>
              <w:rPr>
                <w:sz w:val="20"/>
                <w:szCs w:val="20"/>
                <w:color w:val="auto"/>
              </w:rPr>
            </w:pPr>
            <w:r>
              <w:rPr>
                <w:rFonts w:ascii="Arial" w:cs="Arial" w:eastAsia="Arial" w:hAnsi="Arial"/>
                <w:sz w:val="16"/>
                <w:szCs w:val="16"/>
                <w:color w:val="auto"/>
              </w:rPr>
              <w:t>Free Cash Flow</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20,291</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9,762</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13,491</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21,234</w:t>
            </w:r>
          </w:p>
        </w:tc>
      </w:tr>
      <w:tr>
        <w:trPr>
          <w:trHeight w:val="20"/>
        </w:trPr>
        <w:tc>
          <w:tcPr>
            <w:tcW w:w="4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12"/>
          </w:cols>
          <w:pgMar w:left="248" w:top="628" w:right="239" w:bottom="1440" w:gutter="0" w:footer="0" w:header="0"/>
        </w:sectPr>
      </w:pPr>
    </w:p>
    <w:bookmarkStart w:id="14" w:name="page15"/>
    <w:bookmarkEnd w:id="14"/>
    <w:p>
      <w:pPr>
        <w:jc w:val="center"/>
        <w:ind w:right="132"/>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32"/>
        <w:spacing w:after="0"/>
        <w:rPr>
          <w:sz w:val="20"/>
          <w:szCs w:val="20"/>
          <w:color w:val="auto"/>
        </w:rPr>
      </w:pPr>
      <w:r>
        <w:rPr>
          <w:rFonts w:ascii="Arial" w:cs="Arial" w:eastAsia="Arial" w:hAnsi="Arial"/>
          <w:sz w:val="16"/>
          <w:szCs w:val="16"/>
          <w:b w:val="1"/>
          <w:bCs w:val="1"/>
          <w:color w:val="auto"/>
        </w:rPr>
        <w:t>NON-GAAP RECONCILIATIONS - GUIDANCE</w:t>
      </w:r>
    </w:p>
    <w:p>
      <w:pPr>
        <w:spacing w:after="0" w:line="5" w:lineRule="exact"/>
        <w:rPr>
          <w:sz w:val="20"/>
          <w:szCs w:val="20"/>
          <w:color w:val="auto"/>
        </w:rPr>
      </w:pPr>
    </w:p>
    <w:p>
      <w:pPr>
        <w:ind w:left="4928"/>
        <w:spacing w:after="0"/>
        <w:rPr>
          <w:sz w:val="20"/>
          <w:szCs w:val="20"/>
          <w:color w:val="auto"/>
        </w:rPr>
      </w:pPr>
      <w:r>
        <w:rPr>
          <w:rFonts w:ascii="Arial" w:cs="Arial" w:eastAsia="Arial" w:hAnsi="Arial"/>
          <w:sz w:val="16"/>
          <w:szCs w:val="16"/>
          <w:b w:val="1"/>
          <w:bCs w:val="1"/>
          <w:color w:val="auto"/>
        </w:rPr>
        <w:t>(in millions)</w:t>
      </w:r>
    </w:p>
    <w:p>
      <w:pPr>
        <w:spacing w:after="0" w:line="5" w:lineRule="exact"/>
        <w:rPr>
          <w:sz w:val="20"/>
          <w:szCs w:val="20"/>
          <w:color w:val="auto"/>
        </w:rPr>
      </w:pPr>
    </w:p>
    <w:p>
      <w:pPr>
        <w:ind w:left="4948"/>
        <w:spacing w:after="0"/>
        <w:rPr>
          <w:sz w:val="20"/>
          <w:szCs w:val="20"/>
          <w:color w:val="auto"/>
        </w:rPr>
      </w:pPr>
      <w:r>
        <w:rPr>
          <w:rFonts w:ascii="Arial" w:cs="Arial" w:eastAsia="Arial" w:hAnsi="Arial"/>
          <w:sz w:val="16"/>
          <w:szCs w:val="16"/>
          <w:b w:val="1"/>
          <w:bCs w:val="1"/>
          <w:color w:val="auto"/>
        </w:rPr>
        <w:t>(unaudited)</w:t>
      </w:r>
    </w:p>
    <w:p>
      <w:pPr>
        <w:spacing w:after="0" w:line="336" w:lineRule="exact"/>
        <w:rPr>
          <w:sz w:val="20"/>
          <w:szCs w:val="20"/>
          <w:color w:val="auto"/>
        </w:rPr>
      </w:pPr>
    </w:p>
    <w:tbl>
      <w:tblPr>
        <w:tblLayout w:type="fixed"/>
        <w:tblInd w:w="1928" w:type="dxa"/>
        <w:tblCellMar>
          <w:top w:w="0" w:type="dxa"/>
          <w:left w:w="0" w:type="dxa"/>
          <w:bottom w:w="0" w:type="dxa"/>
          <w:right w:w="0" w:type="dxa"/>
        </w:tblCellMar>
      </w:tblPr>
      <w:tr>
        <w:trPr>
          <w:trHeight w:val="189"/>
        </w:trPr>
        <w:tc>
          <w:tcPr>
            <w:tcW w:w="2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auto"/>
              </w:rPr>
              <w:t>Three Months Ending</w:t>
            </w:r>
          </w:p>
        </w:tc>
        <w:tc>
          <w:tcPr>
            <w:tcW w:w="218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Ending December 31,</w:t>
            </w:r>
          </w:p>
        </w:tc>
      </w:tr>
      <w:tr>
        <w:trPr>
          <w:trHeight w:val="215"/>
        </w:trPr>
        <w:tc>
          <w:tcPr>
            <w:tcW w:w="2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auto"/>
              </w:rPr>
              <w:t>December 31, 2019</w:t>
            </w:r>
          </w:p>
        </w:tc>
        <w:tc>
          <w:tcPr>
            <w:tcW w:w="460" w:type="dxa"/>
            <w:vAlign w:val="bottom"/>
          </w:tcPr>
          <w:p>
            <w:pPr>
              <w:spacing w:after="0"/>
              <w:rPr>
                <w:sz w:val="18"/>
                <w:szCs w:val="18"/>
                <w:color w:val="auto"/>
              </w:rPr>
            </w:pPr>
          </w:p>
        </w:tc>
        <w:tc>
          <w:tcPr>
            <w:tcW w:w="110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620" w:type="dxa"/>
            <w:vAlign w:val="bottom"/>
          </w:tcPr>
          <w:p>
            <w:pPr>
              <w:spacing w:after="0"/>
              <w:rPr>
                <w:sz w:val="18"/>
                <w:szCs w:val="18"/>
                <w:color w:val="auto"/>
              </w:rPr>
            </w:pPr>
          </w:p>
        </w:tc>
      </w:tr>
      <w:tr>
        <w:trPr>
          <w:trHeight w:val="270"/>
        </w:trPr>
        <w:tc>
          <w:tcPr>
            <w:tcW w:w="2280" w:type="dxa"/>
            <w:vAlign w:val="bottom"/>
          </w:tcPr>
          <w:p>
            <w:pPr>
              <w:spacing w:after="0"/>
              <w:rPr>
                <w:sz w:val="20"/>
                <w:szCs w:val="20"/>
                <w:color w:val="auto"/>
              </w:rPr>
            </w:pPr>
            <w:r>
              <w:rPr>
                <w:rFonts w:ascii="Arial" w:cs="Arial" w:eastAsia="Arial" w:hAnsi="Arial"/>
                <w:sz w:val="16"/>
                <w:szCs w:val="16"/>
                <w:color w:val="auto"/>
              </w:rPr>
              <w:t>EBITDA Range (1)</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19.5</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23.5</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92.3</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96.3</w:t>
            </w:r>
          </w:p>
        </w:tc>
      </w:tr>
      <w:tr>
        <w:trPr>
          <w:trHeight w:val="270"/>
        </w:trPr>
        <w:tc>
          <w:tcPr>
            <w:tcW w:w="2280" w:type="dxa"/>
            <w:vAlign w:val="bottom"/>
          </w:tcPr>
          <w:p>
            <w:pPr>
              <w:spacing w:after="0"/>
              <w:rPr>
                <w:sz w:val="20"/>
                <w:szCs w:val="20"/>
                <w:color w:val="auto"/>
              </w:rPr>
            </w:pPr>
            <w:r>
              <w:rPr>
                <w:rFonts w:ascii="Arial" w:cs="Arial" w:eastAsia="Arial" w:hAnsi="Arial"/>
                <w:sz w:val="16"/>
                <w:szCs w:val="16"/>
                <w:color w:val="auto"/>
              </w:rPr>
              <w:t>Adjusted EBITDA Range (1)</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19.5</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23.5</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98.0</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102.0</w:t>
            </w:r>
          </w:p>
        </w:tc>
      </w:tr>
    </w:tbl>
    <w:p>
      <w:pPr>
        <w:spacing w:after="0" w:line="210" w:lineRule="exact"/>
        <w:rPr>
          <w:sz w:val="20"/>
          <w:szCs w:val="20"/>
          <w:color w:val="auto"/>
        </w:rPr>
      </w:pPr>
    </w:p>
    <w:p>
      <w:pPr>
        <w:ind w:left="328" w:hanging="328"/>
        <w:spacing w:after="0" w:line="260" w:lineRule="auto"/>
        <w:tabs>
          <w:tab w:leader="none" w:pos="328"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following table sets forth a reconciliation of estimated Adjusted EBITDA to estimated net loss, which is the most directly comparable measure of financial performance calculated under generally accepted accounting principles (in millions) (unaudited):</w:t>
      </w:r>
    </w:p>
    <w:p>
      <w:pPr>
        <w:spacing w:after="0" w:line="311" w:lineRule="exact"/>
        <w:rPr>
          <w:sz w:val="20"/>
          <w:szCs w:val="20"/>
          <w:color w:val="auto"/>
        </w:rPr>
      </w:pPr>
    </w:p>
    <w:tbl>
      <w:tblPr>
        <w:tblLayout w:type="fixed"/>
        <w:tblInd w:w="1888" w:type="dxa"/>
        <w:tblCellMar>
          <w:top w:w="0" w:type="dxa"/>
          <w:left w:w="0" w:type="dxa"/>
          <w:bottom w:w="0" w:type="dxa"/>
          <w:right w:w="0" w:type="dxa"/>
        </w:tblCellMar>
      </w:tblPr>
      <w:tr>
        <w:trPr>
          <w:trHeight w:val="189"/>
        </w:trPr>
        <w:tc>
          <w:tcPr>
            <w:tcW w:w="2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rPr>
              <w:t>Three Months Ending</w:t>
            </w:r>
          </w:p>
        </w:tc>
        <w:tc>
          <w:tcPr>
            <w:tcW w:w="2180" w:type="dxa"/>
            <w:vAlign w:val="bottom"/>
            <w:gridSpan w:val="5"/>
          </w:tcPr>
          <w:p>
            <w:pPr>
              <w:jc w:val="right"/>
              <w:spacing w:after="0"/>
              <w:rPr>
                <w:sz w:val="20"/>
                <w:szCs w:val="20"/>
                <w:color w:val="auto"/>
              </w:rPr>
            </w:pPr>
            <w:r>
              <w:rPr>
                <w:rFonts w:ascii="Arial" w:cs="Arial" w:eastAsia="Arial" w:hAnsi="Arial"/>
                <w:sz w:val="16"/>
                <w:szCs w:val="16"/>
                <w:b w:val="1"/>
                <w:bCs w:val="1"/>
                <w:color w:val="auto"/>
              </w:rPr>
              <w:t>Year Ending December 31,</w:t>
            </w:r>
          </w:p>
        </w:tc>
      </w:tr>
      <w:tr>
        <w:trPr>
          <w:trHeight w:val="215"/>
        </w:trPr>
        <w:tc>
          <w:tcPr>
            <w:tcW w:w="2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rPr>
              <w:t>December 31, 2019</w:t>
            </w:r>
          </w:p>
        </w:tc>
        <w:tc>
          <w:tcPr>
            <w:tcW w:w="320" w:type="dxa"/>
            <w:vAlign w:val="bottom"/>
          </w:tcPr>
          <w:p>
            <w:pPr>
              <w:spacing w:after="0"/>
              <w:rPr>
                <w:sz w:val="18"/>
                <w:szCs w:val="18"/>
                <w:color w:val="auto"/>
              </w:rPr>
            </w:pPr>
          </w:p>
        </w:tc>
        <w:tc>
          <w:tcPr>
            <w:tcW w:w="128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18"/>
                <w:szCs w:val="18"/>
                <w:color w:val="auto"/>
              </w:rPr>
            </w:pPr>
          </w:p>
        </w:tc>
      </w:tr>
      <w:tr>
        <w:trPr>
          <w:trHeight w:val="270"/>
        </w:trPr>
        <w:tc>
          <w:tcPr>
            <w:tcW w:w="2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gridSpan w:val="3"/>
          </w:tcPr>
          <w:p>
            <w:pPr>
              <w:jc w:val="center"/>
              <w:ind w:left="299"/>
              <w:spacing w:after="0"/>
              <w:rPr>
                <w:sz w:val="20"/>
                <w:szCs w:val="20"/>
                <w:color w:val="auto"/>
              </w:rPr>
            </w:pPr>
            <w:r>
              <w:rPr>
                <w:rFonts w:ascii="Arial" w:cs="Arial" w:eastAsia="Arial" w:hAnsi="Arial"/>
                <w:sz w:val="16"/>
                <w:szCs w:val="16"/>
                <w:b w:val="1"/>
                <w:bCs w:val="1"/>
                <w:color w:val="auto"/>
              </w:rPr>
              <w:t>(estimated)</w:t>
            </w: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(estimated)</w:t>
            </w:r>
          </w:p>
        </w:tc>
        <w:tc>
          <w:tcPr>
            <w:tcW w:w="580" w:type="dxa"/>
            <w:vAlign w:val="bottom"/>
          </w:tcPr>
          <w:p>
            <w:pPr>
              <w:spacing w:after="0"/>
              <w:rPr>
                <w:sz w:val="23"/>
                <w:szCs w:val="23"/>
                <w:color w:val="auto"/>
              </w:rPr>
            </w:pPr>
          </w:p>
        </w:tc>
      </w:tr>
      <w:tr>
        <w:trPr>
          <w:trHeight w:val="594"/>
        </w:trPr>
        <w:tc>
          <w:tcPr>
            <w:tcW w:w="2520" w:type="dxa"/>
            <w:vAlign w:val="bottom"/>
          </w:tcPr>
          <w:p>
            <w:pPr>
              <w:spacing w:after="0"/>
              <w:rPr>
                <w:sz w:val="20"/>
                <w:szCs w:val="20"/>
                <w:color w:val="auto"/>
              </w:rPr>
            </w:pPr>
            <w:r>
              <w:rPr>
                <w:rFonts w:ascii="Arial" w:cs="Arial" w:eastAsia="Arial" w:hAnsi="Arial"/>
                <w:sz w:val="16"/>
                <w:szCs w:val="16"/>
                <w:color w:val="auto"/>
              </w:rPr>
              <w:t>Net loss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4"/>
                <w:szCs w:val="24"/>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(10.5)</w:t>
            </w:r>
          </w:p>
        </w:tc>
        <w:tc>
          <w:tcPr>
            <w:tcW w:w="14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(40.4)</w:t>
            </w:r>
          </w:p>
        </w:tc>
        <w:tc>
          <w:tcPr>
            <w:tcW w:w="120" w:type="dxa"/>
            <w:vAlign w:val="bottom"/>
          </w:tcPr>
          <w:p>
            <w:pPr>
              <w:spacing w:after="0"/>
              <w:rPr>
                <w:sz w:val="24"/>
                <w:szCs w:val="24"/>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(37.4)</w:t>
            </w:r>
          </w:p>
        </w:tc>
      </w:tr>
      <w:tr>
        <w:trPr>
          <w:trHeight w:val="270"/>
        </w:trPr>
        <w:tc>
          <w:tcPr>
            <w:tcW w:w="2520" w:type="dxa"/>
            <w:vAlign w:val="bottom"/>
          </w:tcPr>
          <w:p>
            <w:pPr>
              <w:spacing w:after="0"/>
              <w:rPr>
                <w:sz w:val="20"/>
                <w:szCs w:val="20"/>
                <w:color w:val="auto"/>
              </w:rPr>
            </w:pPr>
            <w:r>
              <w:rPr>
                <w:rFonts w:ascii="Arial" w:cs="Arial" w:eastAsia="Arial" w:hAnsi="Arial"/>
                <w:sz w:val="16"/>
                <w:szCs w:val="16"/>
                <w:color w:val="auto"/>
              </w:rPr>
              <w:t>Income tax provision (benefit)</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70"/>
        </w:trPr>
        <w:tc>
          <w:tcPr>
            <w:tcW w:w="252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30.0</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123.0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123.0</w:t>
            </w:r>
          </w:p>
        </w:tc>
      </w:tr>
      <w:tr>
        <w:trPr>
          <w:trHeight w:val="283"/>
        </w:trPr>
        <w:tc>
          <w:tcPr>
            <w:tcW w:w="2520" w:type="dxa"/>
            <w:vAlign w:val="bottom"/>
          </w:tcPr>
          <w:p>
            <w:pPr>
              <w:spacing w:after="0"/>
              <w:rPr>
                <w:sz w:val="20"/>
                <w:szCs w:val="20"/>
                <w:color w:val="auto"/>
              </w:rPr>
            </w:pPr>
            <w:r>
              <w:rPr>
                <w:rFonts w:ascii="Arial" w:cs="Arial" w:eastAsia="Arial" w:hAnsi="Arial"/>
                <w:sz w:val="16"/>
                <w:szCs w:val="16"/>
                <w:color w:val="auto"/>
              </w:rPr>
              <w:t>Interest expense</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r>
      <w:tr>
        <w:trPr>
          <w:trHeight w:val="250"/>
        </w:trPr>
        <w:tc>
          <w:tcPr>
            <w:tcW w:w="2520" w:type="dxa"/>
            <w:vAlign w:val="bottom"/>
          </w:tcPr>
          <w:p>
            <w:pPr>
              <w:ind w:left="220"/>
              <w:spacing w:after="0"/>
              <w:rPr>
                <w:sz w:val="20"/>
                <w:szCs w:val="20"/>
                <w:color w:val="auto"/>
              </w:rPr>
            </w:pPr>
            <w:r>
              <w:rPr>
                <w:rFonts w:ascii="Arial" w:cs="Arial" w:eastAsia="Arial" w:hAnsi="Arial"/>
                <w:sz w:val="16"/>
                <w:szCs w:val="16"/>
                <w:color w:val="auto"/>
              </w:rPr>
              <w:t>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4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w:t>
            </w:r>
          </w:p>
        </w:tc>
      </w:tr>
      <w:tr>
        <w:trPr>
          <w:trHeight w:val="251"/>
        </w:trPr>
        <w:tc>
          <w:tcPr>
            <w:tcW w:w="2520" w:type="dxa"/>
            <w:vAlign w:val="bottom"/>
          </w:tcPr>
          <w:p>
            <w:pPr>
              <w:spacing w:after="0"/>
              <w:rPr>
                <w:sz w:val="20"/>
                <w:szCs w:val="20"/>
                <w:color w:val="auto"/>
              </w:rPr>
            </w:pPr>
            <w:r>
              <w:rPr>
                <w:rFonts w:ascii="Arial" w:cs="Arial" w:eastAsia="Arial" w:hAnsi="Arial"/>
                <w:sz w:val="16"/>
                <w:szCs w:val="16"/>
                <w:color w:val="auto"/>
              </w:rPr>
              <w:t>Adjustments to EBITDA</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70"/>
        </w:trPr>
        <w:tc>
          <w:tcPr>
            <w:tcW w:w="2520" w:type="dxa"/>
            <w:vAlign w:val="bottom"/>
          </w:tcPr>
          <w:p>
            <w:pPr>
              <w:ind w:left="240"/>
              <w:spacing w:after="0"/>
              <w:rPr>
                <w:sz w:val="20"/>
                <w:szCs w:val="20"/>
                <w:color w:val="auto"/>
              </w:rPr>
            </w:pPr>
            <w:r>
              <w:rPr>
                <w:rFonts w:ascii="Arial" w:cs="Arial" w:eastAsia="Arial" w:hAnsi="Arial"/>
                <w:sz w:val="16"/>
                <w:szCs w:val="16"/>
                <w:color w:val="auto"/>
              </w:rPr>
              <w:t>Impairment expense (a)</w:t>
            </w:r>
          </w:p>
        </w:tc>
        <w:tc>
          <w:tcPr>
            <w:tcW w:w="20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83"/>
        </w:trPr>
        <w:tc>
          <w:tcPr>
            <w:tcW w:w="2520" w:type="dxa"/>
            <w:vAlign w:val="bottom"/>
          </w:tcPr>
          <w:p>
            <w:pPr>
              <w:ind w:left="240"/>
              <w:spacing w:after="0"/>
              <w:rPr>
                <w:sz w:val="20"/>
                <w:szCs w:val="20"/>
                <w:color w:val="auto"/>
              </w:rPr>
            </w:pPr>
            <w:r>
              <w:rPr>
                <w:rFonts w:ascii="Arial" w:cs="Arial" w:eastAsia="Arial" w:hAnsi="Arial"/>
                <w:sz w:val="16"/>
                <w:szCs w:val="16"/>
                <w:color w:val="auto"/>
              </w:rPr>
              <w:t>Action transaction costs (b)</w:t>
            </w:r>
          </w:p>
        </w:tc>
        <w:tc>
          <w:tcPr>
            <w:tcW w:w="20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40"/>
        </w:trPr>
        <w:tc>
          <w:tcPr>
            <w:tcW w:w="2520" w:type="dxa"/>
            <w:vAlign w:val="bottom"/>
          </w:tcPr>
          <w:p>
            <w:pPr>
              <w:ind w:left="460"/>
              <w:spacing w:after="0"/>
              <w:rPr>
                <w:sz w:val="20"/>
                <w:szCs w:val="20"/>
                <w:color w:val="auto"/>
              </w:rPr>
            </w:pPr>
            <w:r>
              <w:rPr>
                <w:rFonts w:ascii="Arial" w:cs="Arial" w:eastAsia="Arial" w:hAnsi="Arial"/>
                <w:sz w:val="16"/>
                <w:szCs w:val="16"/>
                <w:color w:val="auto"/>
              </w:rPr>
              <w:t>Adjusted EBITDA</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4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98.0</w:t>
            </w:r>
          </w:p>
        </w:tc>
        <w:tc>
          <w:tcPr>
            <w:tcW w:w="1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102.0</w:t>
            </w:r>
          </w:p>
        </w:tc>
      </w:tr>
      <w:tr>
        <w:trPr>
          <w:trHeight w:val="20"/>
        </w:trPr>
        <w:tc>
          <w:tcPr>
            <w:tcW w:w="2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648" w:hanging="324"/>
        <w:spacing w:after="0"/>
        <w:tabs>
          <w:tab w:leader="none" w:pos="648" w:val="left"/>
        </w:tabs>
        <w:numPr>
          <w:ilvl w:val="0"/>
          <w:numId w:val="9"/>
        </w:numPr>
        <w:rPr>
          <w:rFonts w:ascii="Arial" w:cs="Arial" w:eastAsia="Arial" w:hAnsi="Arial"/>
          <w:sz w:val="16"/>
          <w:szCs w:val="16"/>
          <w:color w:val="auto"/>
        </w:rPr>
      </w:pPr>
      <w:r>
        <w:rPr>
          <w:rFonts w:ascii="Arial" w:cs="Arial" w:eastAsia="Arial" w:hAnsi="Arial"/>
          <w:sz w:val="16"/>
          <w:szCs w:val="16"/>
          <w:color w:val="auto"/>
        </w:rPr>
        <w:t>Relates to asset impairments recorded in the second quarter 2019 in Australia.</w:t>
      </w:r>
    </w:p>
    <w:p>
      <w:pPr>
        <w:spacing w:after="0" w:line="194" w:lineRule="exact"/>
        <w:rPr>
          <w:rFonts w:ascii="Arial" w:cs="Arial" w:eastAsia="Arial" w:hAnsi="Arial"/>
          <w:sz w:val="16"/>
          <w:szCs w:val="16"/>
          <w:color w:val="auto"/>
        </w:rPr>
      </w:pPr>
    </w:p>
    <w:p>
      <w:pPr>
        <w:ind w:left="648" w:hanging="324"/>
        <w:spacing w:after="0"/>
        <w:tabs>
          <w:tab w:leader="none" w:pos="648" w:val="left"/>
        </w:tabs>
        <w:numPr>
          <w:ilvl w:val="0"/>
          <w:numId w:val="9"/>
        </w:numPr>
        <w:rPr>
          <w:rFonts w:ascii="Arial" w:cs="Arial" w:eastAsia="Arial" w:hAnsi="Arial"/>
          <w:sz w:val="16"/>
          <w:szCs w:val="16"/>
          <w:color w:val="auto"/>
        </w:rPr>
      </w:pPr>
      <w:r>
        <w:rPr>
          <w:rFonts w:ascii="Arial" w:cs="Arial" w:eastAsia="Arial" w:hAnsi="Arial"/>
          <w:sz w:val="16"/>
          <w:szCs w:val="16"/>
          <w:color w:val="auto"/>
        </w:rPr>
        <w:t>Relates to costs incurred associated with Civeo's acquisition of Action.</w:t>
      </w:r>
    </w:p>
    <w:p>
      <w:pPr>
        <w:sectPr>
          <w:pgSz w:w="11900" w:h="16838" w:orient="portrait"/>
          <w:cols w:equalWidth="0" w:num="1">
            <w:col w:w="10908"/>
          </w:cols>
          <w:pgMar w:left="572" w:top="581" w:right="419" w:bottom="1440" w:gutter="0" w:footer="0" w:header="0"/>
        </w:sectPr>
      </w:pPr>
    </w:p>
    <w:bookmarkStart w:id="15" w:name="page16"/>
    <w:bookmarkEnd w:id="15"/>
    <w:p>
      <w:pPr>
        <w:jc w:val="center"/>
        <w:ind w:right="-1192"/>
        <w:spacing w:after="0"/>
        <w:rPr>
          <w:sz w:val="20"/>
          <w:szCs w:val="20"/>
          <w:color w:val="auto"/>
        </w:rPr>
      </w:pPr>
      <w:r>
        <w:rPr>
          <w:rFonts w:ascii="Arial" w:cs="Arial" w:eastAsia="Arial" w:hAnsi="Arial"/>
          <w:sz w:val="16"/>
          <w:szCs w:val="16"/>
          <w:b w:val="1"/>
          <w:bCs w:val="1"/>
          <w:color w:val="auto"/>
        </w:rPr>
        <w:t>CIVEO CORPORATION</w:t>
      </w:r>
    </w:p>
    <w:p>
      <w:pPr>
        <w:spacing w:after="0" w:line="25" w:lineRule="exact"/>
        <w:rPr>
          <w:sz w:val="20"/>
          <w:szCs w:val="20"/>
          <w:color w:val="auto"/>
        </w:rPr>
      </w:pPr>
    </w:p>
    <w:p>
      <w:pPr>
        <w:jc w:val="center"/>
        <w:ind w:right="-1192"/>
        <w:spacing w:after="0"/>
        <w:rPr>
          <w:sz w:val="20"/>
          <w:szCs w:val="20"/>
          <w:color w:val="auto"/>
        </w:rPr>
      </w:pPr>
      <w:r>
        <w:rPr>
          <w:rFonts w:ascii="Arial" w:cs="Arial" w:eastAsia="Arial" w:hAnsi="Arial"/>
          <w:sz w:val="16"/>
          <w:szCs w:val="16"/>
          <w:b w:val="1"/>
          <w:bCs w:val="1"/>
          <w:color w:val="auto"/>
        </w:rPr>
        <w:t>SUPPLEMENTAL QUARTERLY SEGMENT AND OPERATING DATA</w:t>
      </w:r>
    </w:p>
    <w:p>
      <w:pPr>
        <w:spacing w:after="0" w:line="5" w:lineRule="exact"/>
        <w:rPr>
          <w:sz w:val="20"/>
          <w:szCs w:val="20"/>
          <w:color w:val="auto"/>
        </w:rPr>
      </w:pPr>
    </w:p>
    <w:p>
      <w:pPr>
        <w:jc w:val="center"/>
        <w:ind w:right="-1192"/>
        <w:spacing w:after="0"/>
        <w:rPr>
          <w:sz w:val="20"/>
          <w:szCs w:val="20"/>
          <w:color w:val="auto"/>
        </w:rPr>
      </w:pPr>
      <w:r>
        <w:rPr>
          <w:rFonts w:ascii="Arial" w:cs="Arial" w:eastAsia="Arial" w:hAnsi="Arial"/>
          <w:sz w:val="16"/>
          <w:szCs w:val="16"/>
          <w:b w:val="1"/>
          <w:bCs w:val="1"/>
          <w:color w:val="auto"/>
        </w:rPr>
        <w:t>(U.S. dollars in thousands, except for room counts and average daily rates)</w:t>
      </w:r>
    </w:p>
    <w:p>
      <w:pPr>
        <w:spacing w:after="0" w:line="5" w:lineRule="exact"/>
        <w:rPr>
          <w:sz w:val="20"/>
          <w:szCs w:val="20"/>
          <w:color w:val="auto"/>
        </w:rPr>
      </w:pPr>
    </w:p>
    <w:p>
      <w:pPr>
        <w:jc w:val="center"/>
        <w:ind w:right="-1192"/>
        <w:spacing w:after="0"/>
        <w:rPr>
          <w:sz w:val="20"/>
          <w:szCs w:val="20"/>
          <w:color w:val="auto"/>
        </w:rPr>
      </w:pPr>
      <w:r>
        <w:rPr>
          <w:rFonts w:ascii="Arial" w:cs="Arial" w:eastAsia="Arial" w:hAnsi="Arial"/>
          <w:sz w:val="16"/>
          <w:szCs w:val="16"/>
          <w:b w:val="1"/>
          <w:bCs w:val="1"/>
          <w:color w:val="auto"/>
        </w:rPr>
        <w:t>(unaudited)</w:t>
      </w:r>
    </w:p>
    <w:p>
      <w:pPr>
        <w:spacing w:after="0" w:line="336" w:lineRule="exact"/>
        <w:rPr>
          <w:sz w:val="20"/>
          <w:szCs w:val="20"/>
          <w:color w:val="auto"/>
        </w:rPr>
      </w:pPr>
    </w:p>
    <w:tbl>
      <w:tblPr>
        <w:tblLayout w:type="fixed"/>
        <w:tblInd w:w="1452" w:type="dxa"/>
        <w:tblCellMar>
          <w:top w:w="0" w:type="dxa"/>
          <w:left w:w="0" w:type="dxa"/>
          <w:bottom w:w="0" w:type="dxa"/>
          <w:right w:w="0" w:type="dxa"/>
        </w:tblCellMar>
      </w:tblPr>
      <w:tr>
        <w:trPr>
          <w:trHeight w:val="189"/>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6"/>
                <w:szCs w:val="16"/>
                <w:color w:val="auto"/>
              </w:rPr>
            </w:pPr>
          </w:p>
        </w:tc>
        <w:tc>
          <w:tcPr>
            <w:tcW w:w="202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202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September 30,</w:t>
            </w:r>
          </w:p>
        </w:tc>
      </w:tr>
      <w:tr>
        <w:trPr>
          <w:trHeight w:val="283"/>
        </w:trPr>
        <w:tc>
          <w:tcPr>
            <w:tcW w:w="4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r>
      <w:tr>
        <w:trPr>
          <w:trHeight w:val="413"/>
        </w:trPr>
        <w:tc>
          <w:tcPr>
            <w:tcW w:w="4000" w:type="dxa"/>
            <w:vAlign w:val="bottom"/>
          </w:tcPr>
          <w:p>
            <w:pPr>
              <w:spacing w:after="0"/>
              <w:rPr>
                <w:sz w:val="20"/>
                <w:szCs w:val="20"/>
                <w:color w:val="auto"/>
              </w:rPr>
            </w:pPr>
            <w:r>
              <w:rPr>
                <w:rFonts w:ascii="Arial" w:cs="Arial" w:eastAsia="Arial" w:hAnsi="Arial"/>
                <w:sz w:val="16"/>
                <w:szCs w:val="16"/>
                <w:b w:val="1"/>
                <w:bCs w:val="1"/>
                <w:color w:val="auto"/>
              </w:rPr>
              <w:t>Supplemental Operating Data - Canadian Segment</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4000" w:type="dxa"/>
            <w:vAlign w:val="bottom"/>
          </w:tcPr>
          <w:p>
            <w:pPr>
              <w:ind w:left="220"/>
              <w:spacing w:after="0"/>
              <w:rPr>
                <w:sz w:val="20"/>
                <w:szCs w:val="20"/>
                <w:color w:val="auto"/>
              </w:rPr>
            </w:pPr>
            <w:r>
              <w:rPr>
                <w:rFonts w:ascii="Arial" w:cs="Arial" w:eastAsia="Arial" w:hAnsi="Arial"/>
                <w:sz w:val="16"/>
                <w:szCs w:val="16"/>
                <w:color w:val="auto"/>
              </w:rPr>
              <w:t>Revenues</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400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79,939</w:t>
            </w:r>
          </w:p>
        </w:tc>
        <w:tc>
          <w:tcPr>
            <w:tcW w:w="12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72,991</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203,774</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204,258</w:t>
            </w:r>
          </w:p>
        </w:tc>
      </w:tr>
      <w:tr>
        <w:trPr>
          <w:trHeight w:val="270"/>
        </w:trPr>
        <w:tc>
          <w:tcPr>
            <w:tcW w:w="4000" w:type="dxa"/>
            <w:vAlign w:val="bottom"/>
          </w:tcPr>
          <w:p>
            <w:pPr>
              <w:ind w:left="460"/>
              <w:spacing w:after="0"/>
              <w:rPr>
                <w:sz w:val="20"/>
                <w:szCs w:val="20"/>
                <w:color w:val="auto"/>
              </w:rPr>
            </w:pPr>
            <w:r>
              <w:rPr>
                <w:rFonts w:ascii="Arial" w:cs="Arial" w:eastAsia="Arial" w:hAnsi="Arial"/>
                <w:sz w:val="16"/>
                <w:szCs w:val="16"/>
                <w:color w:val="auto"/>
              </w:rPr>
              <w:t>Mobile facility rental revenue (2)</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3,048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5,648</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10,036</w:t>
            </w:r>
          </w:p>
        </w:tc>
      </w:tr>
      <w:tr>
        <w:trPr>
          <w:trHeight w:val="270"/>
        </w:trPr>
        <w:tc>
          <w:tcPr>
            <w:tcW w:w="400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8,084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3,627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25,507</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11,082</w:t>
            </w:r>
          </w:p>
        </w:tc>
      </w:tr>
      <w:tr>
        <w:trPr>
          <w:trHeight w:val="283"/>
        </w:trPr>
        <w:tc>
          <w:tcPr>
            <w:tcW w:w="4000" w:type="dxa"/>
            <w:vAlign w:val="bottom"/>
          </w:tcPr>
          <w:p>
            <w:pPr>
              <w:ind w:left="460"/>
              <w:spacing w:after="0"/>
              <w:rPr>
                <w:sz w:val="20"/>
                <w:szCs w:val="20"/>
                <w:color w:val="auto"/>
              </w:rPr>
            </w:pPr>
            <w:r>
              <w:rPr>
                <w:rFonts w:ascii="Arial" w:cs="Arial" w:eastAsia="Arial" w:hAnsi="Arial"/>
                <w:sz w:val="16"/>
                <w:szCs w:val="16"/>
                <w:color w:val="auto"/>
              </w:rPr>
              <w:t>Manufacturing revenue (4)</w:t>
            </w:r>
          </w:p>
        </w:tc>
        <w:tc>
          <w:tcPr>
            <w:tcW w:w="2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1,014</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1,285</w:t>
            </w:r>
          </w:p>
        </w:tc>
      </w:tr>
      <w:tr>
        <w:trPr>
          <w:trHeight w:val="237"/>
        </w:trPr>
        <w:tc>
          <w:tcPr>
            <w:tcW w:w="4000" w:type="dxa"/>
            <w:vAlign w:val="bottom"/>
          </w:tcPr>
          <w:p>
            <w:pPr>
              <w:ind w:left="680"/>
              <w:spacing w:after="0"/>
              <w:rPr>
                <w:sz w:val="20"/>
                <w:szCs w:val="20"/>
                <w:color w:val="auto"/>
              </w:rPr>
            </w:pPr>
            <w:r>
              <w:rPr>
                <w:rFonts w:ascii="Arial" w:cs="Arial" w:eastAsia="Arial" w:hAnsi="Arial"/>
                <w:sz w:val="16"/>
                <w:szCs w:val="16"/>
                <w:color w:val="auto"/>
              </w:rPr>
              <w:t>Total Canadian revenues</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91,071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76,753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235,943</w:t>
            </w:r>
          </w:p>
        </w:tc>
        <w:tc>
          <w:tcPr>
            <w:tcW w:w="1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226,661</w:t>
            </w:r>
          </w:p>
        </w:tc>
      </w:tr>
      <w:tr>
        <w:trPr>
          <w:trHeight w:val="432"/>
        </w:trPr>
        <w:tc>
          <w:tcPr>
            <w:tcW w:w="4000" w:type="dxa"/>
            <w:vAlign w:val="bottom"/>
          </w:tcPr>
          <w:p>
            <w:pPr>
              <w:ind w:left="240"/>
              <w:spacing w:after="0"/>
              <w:rPr>
                <w:sz w:val="20"/>
                <w:szCs w:val="20"/>
                <w:color w:val="auto"/>
              </w:rPr>
            </w:pPr>
            <w:r>
              <w:rPr>
                <w:rFonts w:ascii="Arial" w:cs="Arial" w:eastAsia="Arial" w:hAnsi="Arial"/>
                <w:sz w:val="16"/>
                <w:szCs w:val="16"/>
                <w:color w:val="auto"/>
              </w:rPr>
              <w:t>Costs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4000" w:type="dxa"/>
            <w:vAlign w:val="bottom"/>
          </w:tcPr>
          <w:p>
            <w:pPr>
              <w:ind w:left="460"/>
              <w:spacing w:after="0"/>
              <w:rPr>
                <w:sz w:val="20"/>
                <w:szCs w:val="20"/>
                <w:color w:val="auto"/>
              </w:rPr>
            </w:pPr>
            <w:r>
              <w:rPr>
                <w:rFonts w:ascii="Arial" w:cs="Arial" w:eastAsia="Arial" w:hAnsi="Arial"/>
                <w:sz w:val="16"/>
                <w:szCs w:val="16"/>
                <w:color w:val="auto"/>
              </w:rPr>
              <w:t>Accommodation cost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49,377</w:t>
            </w:r>
          </w:p>
        </w:tc>
        <w:tc>
          <w:tcPr>
            <w:tcW w:w="12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48,394</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137,140</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139,052</w:t>
            </w:r>
          </w:p>
        </w:tc>
      </w:tr>
      <w:tr>
        <w:trPr>
          <w:trHeight w:val="270"/>
        </w:trPr>
        <w:tc>
          <w:tcPr>
            <w:tcW w:w="4000" w:type="dxa"/>
            <w:vAlign w:val="bottom"/>
          </w:tcPr>
          <w:p>
            <w:pPr>
              <w:ind w:left="460"/>
              <w:spacing w:after="0"/>
              <w:rPr>
                <w:sz w:val="20"/>
                <w:szCs w:val="20"/>
                <w:color w:val="auto"/>
              </w:rPr>
            </w:pPr>
            <w:r>
              <w:rPr>
                <w:rFonts w:ascii="Arial" w:cs="Arial" w:eastAsia="Arial" w:hAnsi="Arial"/>
                <w:sz w:val="16"/>
                <w:szCs w:val="16"/>
                <w:color w:val="auto"/>
              </w:rPr>
              <w:t>Mobile facility rental cost</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2,059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834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4,735</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10,438</w:t>
            </w:r>
          </w:p>
        </w:tc>
      </w:tr>
      <w:tr>
        <w:trPr>
          <w:trHeight w:val="270"/>
        </w:trPr>
        <w:tc>
          <w:tcPr>
            <w:tcW w:w="4000" w:type="dxa"/>
            <w:vAlign w:val="bottom"/>
          </w:tcPr>
          <w:p>
            <w:pPr>
              <w:ind w:left="460"/>
              <w:spacing w:after="0"/>
              <w:rPr>
                <w:sz w:val="20"/>
                <w:szCs w:val="20"/>
                <w:color w:val="auto"/>
              </w:rPr>
            </w:pPr>
            <w:r>
              <w:rPr>
                <w:rFonts w:ascii="Arial" w:cs="Arial" w:eastAsia="Arial" w:hAnsi="Arial"/>
                <w:sz w:val="16"/>
                <w:szCs w:val="16"/>
                <w:color w:val="auto"/>
              </w:rPr>
              <w:t>Food and other services cost</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7,319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3,624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23,620</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10,321</w:t>
            </w:r>
          </w:p>
        </w:tc>
      </w:tr>
      <w:tr>
        <w:trPr>
          <w:trHeight w:val="270"/>
        </w:trPr>
        <w:tc>
          <w:tcPr>
            <w:tcW w:w="4000" w:type="dxa"/>
            <w:vAlign w:val="bottom"/>
          </w:tcPr>
          <w:p>
            <w:pPr>
              <w:ind w:left="460"/>
              <w:spacing w:after="0"/>
              <w:rPr>
                <w:sz w:val="20"/>
                <w:szCs w:val="20"/>
                <w:color w:val="auto"/>
              </w:rPr>
            </w:pPr>
            <w:r>
              <w:rPr>
                <w:rFonts w:ascii="Arial" w:cs="Arial" w:eastAsia="Arial" w:hAnsi="Arial"/>
                <w:sz w:val="16"/>
                <w:szCs w:val="16"/>
                <w:color w:val="auto"/>
              </w:rPr>
              <w:t>Manufacturing cost</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1,007</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1,672</w:t>
            </w:r>
          </w:p>
        </w:tc>
      </w:tr>
      <w:tr>
        <w:trPr>
          <w:trHeight w:val="283"/>
        </w:trPr>
        <w:tc>
          <w:tcPr>
            <w:tcW w:w="4000" w:type="dxa"/>
            <w:vAlign w:val="bottom"/>
          </w:tcPr>
          <w:p>
            <w:pPr>
              <w:ind w:left="460"/>
              <w:spacing w:after="0"/>
              <w:rPr>
                <w:sz w:val="20"/>
                <w:szCs w:val="20"/>
                <w:color w:val="auto"/>
              </w:rPr>
            </w:pPr>
            <w:r>
              <w:rPr>
                <w:rFonts w:ascii="Arial" w:cs="Arial" w:eastAsia="Arial" w:hAnsi="Arial"/>
                <w:sz w:val="16"/>
                <w:szCs w:val="16"/>
                <w:color w:val="auto"/>
              </w:rPr>
              <w:t>Indirect other cost</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3,372</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3,738</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9,698</w:t>
            </w: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10,789</w:t>
            </w:r>
          </w:p>
        </w:tc>
      </w:tr>
      <w:tr>
        <w:trPr>
          <w:trHeight w:val="237"/>
        </w:trPr>
        <w:tc>
          <w:tcPr>
            <w:tcW w:w="4000" w:type="dxa"/>
            <w:vAlign w:val="bottom"/>
          </w:tcPr>
          <w:p>
            <w:pPr>
              <w:ind w:left="680"/>
              <w:spacing w:after="0"/>
              <w:rPr>
                <w:sz w:val="20"/>
                <w:szCs w:val="20"/>
                <w:color w:val="auto"/>
              </w:rPr>
            </w:pPr>
            <w:r>
              <w:rPr>
                <w:rFonts w:ascii="Arial" w:cs="Arial" w:eastAsia="Arial" w:hAnsi="Arial"/>
                <w:sz w:val="16"/>
                <w:szCs w:val="16"/>
                <w:color w:val="auto"/>
              </w:rPr>
              <w:t>Total Canadian cost of sales and services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62,277</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56,819</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176,200</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172,272</w:t>
            </w:r>
          </w:p>
        </w:tc>
      </w:tr>
      <w:tr>
        <w:trPr>
          <w:trHeight w:val="432"/>
        </w:trPr>
        <w:tc>
          <w:tcPr>
            <w:tcW w:w="4000" w:type="dxa"/>
            <w:vAlign w:val="bottom"/>
          </w:tcPr>
          <w:p>
            <w:pPr>
              <w:ind w:left="220"/>
              <w:spacing w:after="0"/>
              <w:rPr>
                <w:sz w:val="20"/>
                <w:szCs w:val="20"/>
                <w:color w:val="auto"/>
              </w:rPr>
            </w:pPr>
            <w:r>
              <w:rPr>
                <w:rFonts w:ascii="Arial" w:cs="Arial" w:eastAsia="Arial" w:hAnsi="Arial"/>
                <w:sz w:val="16"/>
                <w:szCs w:val="16"/>
                <w:color w:val="auto"/>
              </w:rPr>
              <w:t>Average daily rates (5)</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91</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432"/>
        </w:trPr>
        <w:tc>
          <w:tcPr>
            <w:tcW w:w="4000" w:type="dxa"/>
            <w:vAlign w:val="bottom"/>
          </w:tcPr>
          <w:p>
            <w:pPr>
              <w:ind w:left="220"/>
              <w:spacing w:after="0"/>
              <w:rPr>
                <w:sz w:val="20"/>
                <w:szCs w:val="20"/>
                <w:color w:val="auto"/>
              </w:rPr>
            </w:pPr>
            <w:r>
              <w:rPr>
                <w:rFonts w:ascii="Arial" w:cs="Arial" w:eastAsia="Arial" w:hAnsi="Arial"/>
                <w:sz w:val="16"/>
                <w:szCs w:val="16"/>
                <w:color w:val="auto"/>
              </w:rPr>
              <w:t>Billed rooms (6)</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875,891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816,295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2,241,510</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2,320,012</w:t>
            </w:r>
          </w:p>
        </w:tc>
      </w:tr>
      <w:tr>
        <w:trPr>
          <w:trHeight w:val="432"/>
        </w:trPr>
        <w:tc>
          <w:tcPr>
            <w:tcW w:w="4000" w:type="dxa"/>
            <w:vAlign w:val="bottom"/>
          </w:tcPr>
          <w:p>
            <w:pPr>
              <w:ind w:left="220"/>
              <w:spacing w:after="0"/>
              <w:rPr>
                <w:sz w:val="20"/>
                <w:szCs w:val="20"/>
                <w:color w:val="auto"/>
              </w:rPr>
            </w:pPr>
            <w:r>
              <w:rPr>
                <w:rFonts w:ascii="Arial" w:cs="Arial" w:eastAsia="Arial" w:hAnsi="Arial"/>
                <w:sz w:val="16"/>
                <w:szCs w:val="16"/>
                <w:color w:val="auto"/>
              </w:rPr>
              <w:t>Canadian dollar to U.S. dollar</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0.757</w:t>
            </w:r>
          </w:p>
        </w:tc>
        <w:tc>
          <w:tcPr>
            <w:tcW w:w="12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0.765</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0.752</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0.777</w:t>
            </w:r>
          </w:p>
        </w:tc>
      </w:tr>
      <w:tr>
        <w:trPr>
          <w:trHeight w:val="594"/>
        </w:trPr>
        <w:tc>
          <w:tcPr>
            <w:tcW w:w="4000" w:type="dxa"/>
            <w:vAlign w:val="bottom"/>
          </w:tcPr>
          <w:p>
            <w:pPr>
              <w:spacing w:after="0"/>
              <w:rPr>
                <w:sz w:val="20"/>
                <w:szCs w:val="20"/>
                <w:color w:val="auto"/>
              </w:rPr>
            </w:pPr>
            <w:r>
              <w:rPr>
                <w:rFonts w:ascii="Arial" w:cs="Arial" w:eastAsia="Arial" w:hAnsi="Arial"/>
                <w:sz w:val="16"/>
                <w:szCs w:val="16"/>
                <w:b w:val="1"/>
                <w:bCs w:val="1"/>
                <w:color w:val="auto"/>
              </w:rPr>
              <w:t>Supplemental Operating Data - Australian Segment</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4000" w:type="dxa"/>
            <w:vAlign w:val="bottom"/>
          </w:tcPr>
          <w:p>
            <w:pPr>
              <w:ind w:left="440"/>
              <w:spacing w:after="0"/>
              <w:rPr>
                <w:sz w:val="20"/>
                <w:szCs w:val="20"/>
                <w:color w:val="auto"/>
              </w:rPr>
            </w:pPr>
            <w:r>
              <w:rPr>
                <w:rFonts w:ascii="Arial" w:cs="Arial" w:eastAsia="Arial" w:hAnsi="Arial"/>
                <w:sz w:val="16"/>
                <w:szCs w:val="16"/>
                <w:color w:val="auto"/>
              </w:rPr>
              <w:t>Accommodation revenue (1)</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33,056</w:t>
            </w:r>
          </w:p>
        </w:tc>
        <w:tc>
          <w:tcPr>
            <w:tcW w:w="12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30,679</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92,473</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88,343</w:t>
            </w:r>
          </w:p>
        </w:tc>
      </w:tr>
      <w:tr>
        <w:trPr>
          <w:trHeight w:val="283"/>
        </w:trPr>
        <w:tc>
          <w:tcPr>
            <w:tcW w:w="4000" w:type="dxa"/>
            <w:vAlign w:val="bottom"/>
          </w:tcPr>
          <w:p>
            <w:pPr>
              <w:ind w:left="460"/>
              <w:spacing w:after="0"/>
              <w:rPr>
                <w:sz w:val="20"/>
                <w:szCs w:val="20"/>
                <w:color w:val="auto"/>
              </w:rPr>
            </w:pPr>
            <w:r>
              <w:rPr>
                <w:rFonts w:ascii="Arial" w:cs="Arial" w:eastAsia="Arial" w:hAnsi="Arial"/>
                <w:sz w:val="16"/>
                <w:szCs w:val="16"/>
                <w:color w:val="auto"/>
              </w:rPr>
              <w:t>Food and other services revenue (3)</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14,687</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14,687</w:t>
            </w: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w:t>
            </w:r>
          </w:p>
        </w:tc>
      </w:tr>
      <w:tr>
        <w:trPr>
          <w:trHeight w:val="237"/>
        </w:trPr>
        <w:tc>
          <w:tcPr>
            <w:tcW w:w="4000" w:type="dxa"/>
            <w:vAlign w:val="bottom"/>
          </w:tcPr>
          <w:p>
            <w:pPr>
              <w:ind w:left="680"/>
              <w:spacing w:after="0"/>
              <w:rPr>
                <w:sz w:val="20"/>
                <w:szCs w:val="20"/>
                <w:color w:val="auto"/>
              </w:rPr>
            </w:pPr>
            <w:r>
              <w:rPr>
                <w:rFonts w:ascii="Arial" w:cs="Arial" w:eastAsia="Arial" w:hAnsi="Arial"/>
                <w:sz w:val="16"/>
                <w:szCs w:val="16"/>
                <w:color w:val="auto"/>
              </w:rPr>
              <w:t>Total Australian revenues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47,743</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31,090</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107,160</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89,542</w:t>
            </w:r>
          </w:p>
        </w:tc>
      </w:tr>
      <w:tr>
        <w:trPr>
          <w:trHeight w:val="432"/>
        </w:trPr>
        <w:tc>
          <w:tcPr>
            <w:tcW w:w="4000" w:type="dxa"/>
            <w:vAlign w:val="bottom"/>
          </w:tcPr>
          <w:p>
            <w:pPr>
              <w:ind w:left="240"/>
              <w:spacing w:after="0"/>
              <w:rPr>
                <w:sz w:val="20"/>
                <w:szCs w:val="20"/>
                <w:color w:val="auto"/>
              </w:rPr>
            </w:pPr>
            <w:r>
              <w:rPr>
                <w:rFonts w:ascii="Arial" w:cs="Arial" w:eastAsia="Arial" w:hAnsi="Arial"/>
                <w:sz w:val="16"/>
                <w:szCs w:val="16"/>
                <w:color w:val="auto"/>
              </w:rPr>
              <w:t>Costs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4000" w:type="dxa"/>
            <w:vAlign w:val="bottom"/>
          </w:tcPr>
          <w:p>
            <w:pPr>
              <w:ind w:left="460"/>
              <w:spacing w:after="0"/>
              <w:rPr>
                <w:sz w:val="20"/>
                <w:szCs w:val="20"/>
                <w:color w:val="auto"/>
              </w:rPr>
            </w:pPr>
            <w:r>
              <w:rPr>
                <w:rFonts w:ascii="Arial" w:cs="Arial" w:eastAsia="Arial" w:hAnsi="Arial"/>
                <w:sz w:val="16"/>
                <w:szCs w:val="16"/>
                <w:color w:val="auto"/>
              </w:rPr>
              <w:t>Accommodation cost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14,954</w:t>
            </w:r>
          </w:p>
        </w:tc>
        <w:tc>
          <w:tcPr>
            <w:tcW w:w="12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14,199</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44,816</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42,942</w:t>
            </w:r>
          </w:p>
        </w:tc>
      </w:tr>
      <w:tr>
        <w:trPr>
          <w:trHeight w:val="270"/>
        </w:trPr>
        <w:tc>
          <w:tcPr>
            <w:tcW w:w="4000" w:type="dxa"/>
            <w:vAlign w:val="bottom"/>
          </w:tcPr>
          <w:p>
            <w:pPr>
              <w:ind w:left="460"/>
              <w:spacing w:after="0"/>
              <w:rPr>
                <w:sz w:val="20"/>
                <w:szCs w:val="20"/>
                <w:color w:val="auto"/>
              </w:rPr>
            </w:pPr>
            <w:r>
              <w:rPr>
                <w:rFonts w:ascii="Arial" w:cs="Arial" w:eastAsia="Arial" w:hAnsi="Arial"/>
                <w:sz w:val="16"/>
                <w:szCs w:val="16"/>
                <w:color w:val="auto"/>
              </w:rPr>
              <w:t>Food and other services cost</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12,807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12,807</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1,025</w:t>
            </w:r>
          </w:p>
        </w:tc>
      </w:tr>
      <w:tr>
        <w:trPr>
          <w:trHeight w:val="283"/>
        </w:trPr>
        <w:tc>
          <w:tcPr>
            <w:tcW w:w="4000" w:type="dxa"/>
            <w:vAlign w:val="bottom"/>
          </w:tcPr>
          <w:p>
            <w:pPr>
              <w:ind w:left="460"/>
              <w:spacing w:after="0"/>
              <w:rPr>
                <w:sz w:val="20"/>
                <w:szCs w:val="20"/>
                <w:color w:val="auto"/>
              </w:rPr>
            </w:pPr>
            <w:r>
              <w:rPr>
                <w:rFonts w:ascii="Arial" w:cs="Arial" w:eastAsia="Arial" w:hAnsi="Arial"/>
                <w:sz w:val="16"/>
                <w:szCs w:val="16"/>
                <w:color w:val="auto"/>
              </w:rPr>
              <w:t>Indirect other cost</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2,095</w:t>
            </w: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1,922</w:t>
            </w:r>
          </w:p>
        </w:tc>
      </w:tr>
      <w:tr>
        <w:trPr>
          <w:trHeight w:val="237"/>
        </w:trPr>
        <w:tc>
          <w:tcPr>
            <w:tcW w:w="4000" w:type="dxa"/>
            <w:vAlign w:val="bottom"/>
          </w:tcPr>
          <w:p>
            <w:pPr>
              <w:ind w:left="680"/>
              <w:spacing w:after="0"/>
              <w:rPr>
                <w:sz w:val="20"/>
                <w:szCs w:val="20"/>
                <w:color w:val="auto"/>
              </w:rPr>
            </w:pPr>
            <w:r>
              <w:rPr>
                <w:rFonts w:ascii="Arial" w:cs="Arial" w:eastAsia="Arial" w:hAnsi="Arial"/>
                <w:sz w:val="16"/>
                <w:szCs w:val="16"/>
                <w:color w:val="auto"/>
              </w:rPr>
              <w:t>Total Australian cost of sales and services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28,664</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15,207</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59,718</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45,889</w:t>
            </w:r>
          </w:p>
        </w:tc>
      </w:tr>
      <w:tr>
        <w:trPr>
          <w:trHeight w:val="432"/>
        </w:trPr>
        <w:tc>
          <w:tcPr>
            <w:tcW w:w="4000" w:type="dxa"/>
            <w:vAlign w:val="bottom"/>
          </w:tcPr>
          <w:p>
            <w:pPr>
              <w:ind w:left="220"/>
              <w:spacing w:after="0"/>
              <w:rPr>
                <w:sz w:val="20"/>
                <w:szCs w:val="20"/>
                <w:color w:val="auto"/>
              </w:rPr>
            </w:pPr>
            <w:r>
              <w:rPr>
                <w:rFonts w:ascii="Arial" w:cs="Arial" w:eastAsia="Arial" w:hAnsi="Arial"/>
                <w:sz w:val="16"/>
                <w:szCs w:val="16"/>
                <w:color w:val="auto"/>
              </w:rPr>
              <w:t>Average daily rates (5)</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74</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432"/>
        </w:trPr>
        <w:tc>
          <w:tcPr>
            <w:tcW w:w="4000" w:type="dxa"/>
            <w:vAlign w:val="bottom"/>
          </w:tcPr>
          <w:p>
            <w:pPr>
              <w:ind w:left="220"/>
              <w:spacing w:after="0"/>
              <w:rPr>
                <w:sz w:val="20"/>
                <w:szCs w:val="20"/>
                <w:color w:val="auto"/>
              </w:rPr>
            </w:pPr>
            <w:r>
              <w:rPr>
                <w:rFonts w:ascii="Arial" w:cs="Arial" w:eastAsia="Arial" w:hAnsi="Arial"/>
                <w:sz w:val="16"/>
                <w:szCs w:val="16"/>
                <w:color w:val="auto"/>
              </w:rPr>
              <w:t>Billed rooms (6)</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454,859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396,747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1,253,856</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1,114,695</w:t>
            </w:r>
          </w:p>
        </w:tc>
      </w:tr>
      <w:tr>
        <w:trPr>
          <w:trHeight w:val="432"/>
        </w:trPr>
        <w:tc>
          <w:tcPr>
            <w:tcW w:w="4000" w:type="dxa"/>
            <w:vAlign w:val="bottom"/>
          </w:tcPr>
          <w:p>
            <w:pPr>
              <w:ind w:left="220"/>
              <w:spacing w:after="0"/>
              <w:rPr>
                <w:sz w:val="20"/>
                <w:szCs w:val="20"/>
                <w:color w:val="auto"/>
              </w:rPr>
            </w:pPr>
            <w:r>
              <w:rPr>
                <w:rFonts w:ascii="Arial" w:cs="Arial" w:eastAsia="Arial" w:hAnsi="Arial"/>
                <w:sz w:val="16"/>
                <w:szCs w:val="16"/>
                <w:color w:val="auto"/>
              </w:rPr>
              <w:t>Australian dollar to U.S. dollar</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0.686</w:t>
            </w:r>
          </w:p>
        </w:tc>
        <w:tc>
          <w:tcPr>
            <w:tcW w:w="12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0.731</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0.699</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0.758</w:t>
            </w:r>
          </w:p>
        </w:tc>
      </w:tr>
    </w:tbl>
    <w:p>
      <w:pPr>
        <w:spacing w:after="0" w:line="210" w:lineRule="exact"/>
        <w:rPr>
          <w:sz w:val="20"/>
          <w:szCs w:val="20"/>
          <w:color w:val="auto"/>
        </w:rPr>
      </w:pPr>
    </w:p>
    <w:p>
      <w:pPr>
        <w:ind w:left="332" w:hanging="332"/>
        <w:spacing w:after="0"/>
        <w:tabs>
          <w:tab w:leader="none" w:pos="332"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revenues related to lodge and village rooms and hospitality services for owned rooms for the periods presented.</w:t>
      </w:r>
    </w:p>
    <w:p>
      <w:pPr>
        <w:spacing w:after="0" w:line="5" w:lineRule="exact"/>
        <w:rPr>
          <w:rFonts w:ascii="Arial" w:cs="Arial" w:eastAsia="Arial" w:hAnsi="Arial"/>
          <w:sz w:val="16"/>
          <w:szCs w:val="16"/>
          <w:color w:val="auto"/>
        </w:rPr>
      </w:pPr>
    </w:p>
    <w:p>
      <w:pPr>
        <w:ind w:left="332" w:hanging="332"/>
        <w:spacing w:after="0"/>
        <w:tabs>
          <w:tab w:leader="none" w:pos="332"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revenues related to mobile camps for the periods presented.</w:t>
      </w:r>
    </w:p>
    <w:p>
      <w:pPr>
        <w:spacing w:after="0" w:line="5" w:lineRule="exact"/>
        <w:rPr>
          <w:rFonts w:ascii="Arial" w:cs="Arial" w:eastAsia="Arial" w:hAnsi="Arial"/>
          <w:sz w:val="16"/>
          <w:szCs w:val="16"/>
          <w:color w:val="auto"/>
        </w:rPr>
      </w:pPr>
    </w:p>
    <w:p>
      <w:pPr>
        <w:ind w:left="332" w:hanging="332"/>
        <w:spacing w:after="0"/>
        <w:tabs>
          <w:tab w:leader="none" w:pos="332"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revenues related to food service, laundry and water and wastewater treatment services for the periods presented.</w:t>
      </w:r>
    </w:p>
    <w:p>
      <w:pPr>
        <w:spacing w:after="0" w:line="5" w:lineRule="exact"/>
        <w:rPr>
          <w:rFonts w:ascii="Arial" w:cs="Arial" w:eastAsia="Arial" w:hAnsi="Arial"/>
          <w:sz w:val="16"/>
          <w:szCs w:val="16"/>
          <w:color w:val="auto"/>
        </w:rPr>
      </w:pPr>
    </w:p>
    <w:p>
      <w:pPr>
        <w:ind w:left="332" w:hanging="332"/>
        <w:spacing w:after="0"/>
        <w:tabs>
          <w:tab w:leader="none" w:pos="332"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revenues related to modular construction and offshore manufacturing services for the periods presented.</w:t>
      </w:r>
    </w:p>
    <w:p>
      <w:pPr>
        <w:spacing w:after="0" w:line="5" w:lineRule="exact"/>
        <w:rPr>
          <w:rFonts w:ascii="Arial" w:cs="Arial" w:eastAsia="Arial" w:hAnsi="Arial"/>
          <w:sz w:val="16"/>
          <w:szCs w:val="16"/>
          <w:color w:val="auto"/>
        </w:rPr>
      </w:pPr>
    </w:p>
    <w:p>
      <w:pPr>
        <w:ind w:left="332" w:hanging="332"/>
        <w:spacing w:after="0"/>
        <w:tabs>
          <w:tab w:leader="none" w:pos="332" w:val="left"/>
        </w:tabs>
        <w:numPr>
          <w:ilvl w:val="0"/>
          <w:numId w:val="10"/>
        </w:numPr>
        <w:rPr>
          <w:rFonts w:ascii="Arial" w:cs="Arial" w:eastAsia="Arial" w:hAnsi="Arial"/>
          <w:sz w:val="16"/>
          <w:szCs w:val="16"/>
          <w:color w:val="auto"/>
        </w:rPr>
      </w:pPr>
      <w:r>
        <w:rPr>
          <w:rFonts w:ascii="Arial" w:cs="Arial" w:eastAsia="Arial" w:hAnsi="Arial"/>
          <w:sz w:val="16"/>
          <w:szCs w:val="16"/>
          <w:color w:val="auto"/>
        </w:rPr>
        <w:t>Average daily rate is based on billed rooms and accommodation revenue.</w:t>
      </w:r>
    </w:p>
    <w:p>
      <w:pPr>
        <w:spacing w:after="0" w:line="5" w:lineRule="exact"/>
        <w:rPr>
          <w:rFonts w:ascii="Arial" w:cs="Arial" w:eastAsia="Arial" w:hAnsi="Arial"/>
          <w:sz w:val="16"/>
          <w:szCs w:val="16"/>
          <w:color w:val="auto"/>
        </w:rPr>
      </w:pPr>
    </w:p>
    <w:p>
      <w:pPr>
        <w:ind w:left="332" w:hanging="332"/>
        <w:spacing w:after="0"/>
        <w:tabs>
          <w:tab w:leader="none" w:pos="332" w:val="left"/>
        </w:tabs>
        <w:numPr>
          <w:ilvl w:val="0"/>
          <w:numId w:val="10"/>
        </w:numPr>
        <w:rPr>
          <w:rFonts w:ascii="Arial" w:cs="Arial" w:eastAsia="Arial" w:hAnsi="Arial"/>
          <w:sz w:val="16"/>
          <w:szCs w:val="16"/>
          <w:color w:val="auto"/>
        </w:rPr>
      </w:pPr>
      <w:r>
        <w:rPr>
          <w:rFonts w:ascii="Arial" w:cs="Arial" w:eastAsia="Arial" w:hAnsi="Arial"/>
          <w:sz w:val="16"/>
          <w:szCs w:val="16"/>
          <w:color w:val="auto"/>
        </w:rPr>
        <w:t>Billed rooms represents total billed days for the periods presented.</w:t>
      </w:r>
    </w:p>
    <w:p>
      <w:pPr>
        <w:sectPr>
          <w:pgSz w:w="11900" w:h="16838" w:orient="portrait"/>
          <w:cols w:equalWidth="0" w:num="1">
            <w:col w:w="10211"/>
          </w:cols>
          <w:pgMar w:left="248" w:top="770" w:right="1440"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CONTACTS: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Frank C. Steininger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 &amp; Chief Financial Officer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713-510-2400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Jeffrey Spittel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FTI Consulting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832-667-5140</w:t>
      </w:r>
    </w:p>
    <w:sectPr>
      <w:pgSz w:w="11900" w:h="16838" w:orient="portrait"/>
      <w:cols w:equalWidth="0" w:num="1">
        <w:col w:w="10219"/>
      </w:cols>
      <w:pgMar w:left="240" w:top="5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Letter"/>
      <w:start w:val="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decimal"/>
      <w:start w:val="1"/>
    </w:lvl>
    <w:lvl w:ilvl="1">
      <w:lvlJc w:val="left"/>
      <w:lvlText w:val="(%2)"/>
      <w:numFmt w:val="lowerLetter"/>
      <w:start w:val="2"/>
    </w:lvl>
  </w:abstractNum>
  <w:abstractNum w:abstractNumId="6">
    <w:nsid w:val="515F007C"/>
    <w:multiLevelType w:val="hybridMultilevel"/>
    <w:lvl w:ilvl="0">
      <w:lvlJc w:val="left"/>
      <w:lvlText w:val="(%1)"/>
      <w:numFmt w:val="decimal"/>
      <w:start w:val="2"/>
    </w:lvl>
    <w:lvl w:ilvl="1">
      <w:lvlJc w:val="left"/>
      <w:lvlText w:val="%2"/>
      <w:numFmt w:val="lowerLetter"/>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2019-12-28T05:14:44Z</dcterms:created>
  <dcterms:modified xsi:type="dcterms:W3CDTF">2019-12-28T05:14:44Z</dcterms:modified>
</cp:coreProperties>
</file>