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3"/>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149860</wp:posOffset>
            </wp:positionV>
            <wp:extent cx="726186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2286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187960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49" w:lineRule="exact"/>
        <w:rPr>
          <w:sz w:val="24"/>
          <w:szCs w:val="24"/>
          <w:color w:val="auto"/>
        </w:rPr>
      </w:pPr>
    </w:p>
    <w:p>
      <w:pPr>
        <w:jc w:val="center"/>
        <w:ind w:right="-1043"/>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38" w:lineRule="exact"/>
        <w:rPr>
          <w:sz w:val="24"/>
          <w:szCs w:val="24"/>
          <w:color w:val="auto"/>
        </w:rPr>
      </w:pPr>
    </w:p>
    <w:p>
      <w:pPr>
        <w:ind w:left="4744"/>
        <w:spacing w:after="0"/>
        <w:rPr>
          <w:sz w:val="20"/>
          <w:szCs w:val="20"/>
          <w:color w:val="auto"/>
        </w:rPr>
      </w:pPr>
      <w:r>
        <w:rPr>
          <w:rFonts w:ascii="Times New Roman" w:cs="Times New Roman" w:eastAsia="Times New Roman" w:hAnsi="Times New Roman"/>
          <w:sz w:val="19"/>
          <w:szCs w:val="19"/>
          <w:b w:val="1"/>
          <w:bCs w:val="1"/>
          <w:color w:val="auto"/>
        </w:rPr>
        <w:t>Washington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rPr>
        <w:t xml:space="preserve">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3264535</wp:posOffset>
            </wp:positionH>
            <wp:positionV relativeFrom="paragraph">
              <wp:posOffset>194310</wp:posOffset>
            </wp:positionV>
            <wp:extent cx="7321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2155" cy="7620"/>
                    </a:xfrm>
                    <a:prstGeom prst="rect">
                      <a:avLst/>
                    </a:prstGeom>
                    <a:noFill/>
                  </pic:spPr>
                </pic:pic>
              </a:graphicData>
            </a:graphic>
          </wp:anchor>
        </w:drawing>
      </w:r>
    </w:p>
    <w:p>
      <w:pPr>
        <w:spacing w:after="0" w:line="376" w:lineRule="exact"/>
        <w:rPr>
          <w:sz w:val="24"/>
          <w:szCs w:val="24"/>
          <w:color w:val="auto"/>
        </w:rPr>
      </w:pPr>
    </w:p>
    <w:p>
      <w:pPr>
        <w:ind w:left="5004"/>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3264535</wp:posOffset>
            </wp:positionH>
            <wp:positionV relativeFrom="paragraph">
              <wp:posOffset>90170</wp:posOffset>
            </wp:positionV>
            <wp:extent cx="7321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155" cy="762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043"/>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14" w:lineRule="exact"/>
        <w:rPr>
          <w:sz w:val="24"/>
          <w:szCs w:val="24"/>
          <w:color w:val="auto"/>
        </w:rPr>
      </w:pPr>
    </w:p>
    <w:p>
      <w:pPr>
        <w:jc w:val="center"/>
        <w:ind w:right="-1043"/>
        <w:spacing w:after="0"/>
        <w:rPr>
          <w:sz w:val="20"/>
          <w:szCs w:val="20"/>
          <w:color w:val="auto"/>
        </w:rPr>
      </w:pPr>
      <w:r>
        <w:rPr>
          <w:rFonts w:ascii="Times New Roman" w:cs="Times New Roman" w:eastAsia="Times New Roman" w:hAnsi="Times New Roman"/>
          <w:sz w:val="19"/>
          <w:szCs w:val="19"/>
          <w:b w:val="1"/>
          <w:bCs w:val="1"/>
          <w:color w:val="auto"/>
        </w:rPr>
        <w:t>PURSUANT TO SECTION 13 OR 15 (d) OF THE</w:t>
      </w:r>
    </w:p>
    <w:p>
      <w:pPr>
        <w:spacing w:after="0" w:line="35" w:lineRule="exact"/>
        <w:rPr>
          <w:sz w:val="24"/>
          <w:szCs w:val="24"/>
          <w:color w:val="auto"/>
        </w:rPr>
      </w:pPr>
    </w:p>
    <w:p>
      <w:pPr>
        <w:jc w:val="center"/>
        <w:ind w:right="-1043"/>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201" w:lineRule="exact"/>
        <w:rPr>
          <w:sz w:val="24"/>
          <w:szCs w:val="24"/>
          <w:color w:val="auto"/>
        </w:rPr>
      </w:pPr>
    </w:p>
    <w:p>
      <w:pPr>
        <w:ind w:left="3204"/>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May 14,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3264535</wp:posOffset>
            </wp:positionH>
            <wp:positionV relativeFrom="paragraph">
              <wp:posOffset>236855</wp:posOffset>
            </wp:positionV>
            <wp:extent cx="7321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155" cy="762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043"/>
        <w:spacing w:after="0"/>
        <w:rPr>
          <w:sz w:val="20"/>
          <w:szCs w:val="20"/>
          <w:color w:val="auto"/>
        </w:rPr>
      </w:pPr>
      <w:r>
        <w:rPr>
          <w:rFonts w:ascii="Times New Roman" w:cs="Times New Roman" w:eastAsia="Times New Roman" w:hAnsi="Times New Roman"/>
          <w:sz w:val="38"/>
          <w:szCs w:val="38"/>
          <w:b w:val="1"/>
          <w:bCs w:val="1"/>
          <w:color w:val="auto"/>
        </w:rPr>
        <w:t>Civeo Corporation</w:t>
      </w:r>
    </w:p>
    <w:p>
      <w:pPr>
        <w:spacing w:after="0" w:line="65" w:lineRule="exact"/>
        <w:rPr>
          <w:sz w:val="24"/>
          <w:szCs w:val="24"/>
          <w:color w:val="auto"/>
        </w:rPr>
      </w:pPr>
    </w:p>
    <w:p>
      <w:pPr>
        <w:ind w:left="3944"/>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3264535</wp:posOffset>
            </wp:positionH>
            <wp:positionV relativeFrom="paragraph">
              <wp:posOffset>217805</wp:posOffset>
            </wp:positionV>
            <wp:extent cx="7321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155" cy="7620"/>
                    </a:xfrm>
                    <a:prstGeom prst="rect">
                      <a:avLst/>
                    </a:prstGeom>
                    <a:noFill/>
                  </pic:spPr>
                </pic:pic>
              </a:graphicData>
            </a:graphic>
          </wp:anchor>
        </w:drawing>
      </w:r>
    </w:p>
    <w:p>
      <w:pPr>
        <w:sectPr>
          <w:pgSz w:w="11900" w:h="16838" w:orient="portrait"/>
          <w:cols w:equalWidth="0" w:num="1">
            <w:col w:w="10404"/>
          </w:cols>
          <w:pgMar w:left="236" w:top="385" w:right="1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7" w:lineRule="exact"/>
        <w:rPr>
          <w:sz w:val="24"/>
          <w:szCs w:val="24"/>
          <w:color w:val="auto"/>
        </w:rPr>
      </w:pPr>
    </w:p>
    <w:p>
      <w:pPr>
        <w:ind w:left="964"/>
        <w:spacing w:after="0"/>
        <w:rPr>
          <w:sz w:val="20"/>
          <w:szCs w:val="20"/>
          <w:color w:val="auto"/>
        </w:rPr>
      </w:pPr>
      <w:r>
        <w:rPr>
          <w:rFonts w:ascii="Times New Roman" w:cs="Times New Roman" w:eastAsia="Times New Roman" w:hAnsi="Times New Roman"/>
          <w:sz w:val="15"/>
          <w:szCs w:val="15"/>
          <w:b w:val="1"/>
          <w:bCs w:val="1"/>
          <w:color w:val="auto"/>
        </w:rPr>
        <w:t>(State or Other Jurisdiction</w:t>
      </w:r>
    </w:p>
    <w:p>
      <w:pPr>
        <w:spacing w:after="0" w:line="20" w:lineRule="exact"/>
        <w:rPr>
          <w:sz w:val="24"/>
          <w:szCs w:val="24"/>
          <w:color w:val="auto"/>
        </w:rPr>
      </w:pPr>
    </w:p>
    <w:p>
      <w:pPr>
        <w:ind w:left="1304"/>
        <w:spacing w:after="0"/>
        <w:rPr>
          <w:sz w:val="20"/>
          <w:szCs w:val="20"/>
          <w:color w:val="auto"/>
        </w:rPr>
      </w:pPr>
      <w:r>
        <w:rPr>
          <w:rFonts w:ascii="Times New Roman" w:cs="Times New Roman" w:eastAsia="Times New Roman" w:hAnsi="Times New Roman"/>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b w:val="1"/>
          <w:bCs w:val="1"/>
          <w:color w:val="auto"/>
        </w:rPr>
        <w:t>1-36246</w:t>
      </w:r>
    </w:p>
    <w:p>
      <w:pPr>
        <w:spacing w:after="0" w:line="27"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b w:val="1"/>
          <w:bCs w:val="1"/>
          <w:color w:val="auto"/>
        </w:rPr>
        <w:t>(Commission</w:t>
      </w:r>
    </w:p>
    <w:p>
      <w:pPr>
        <w:spacing w:after="0" w:line="8"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5"/>
          <w:szCs w:val="15"/>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46-3831207</w:t>
      </w:r>
    </w:p>
    <w:p>
      <w:pPr>
        <w:spacing w:after="0" w:line="2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Identification No.)</w:t>
      </w:r>
    </w:p>
    <w:p>
      <w:pPr>
        <w:spacing w:after="0" w:line="182" w:lineRule="exact"/>
        <w:rPr>
          <w:sz w:val="24"/>
          <w:szCs w:val="24"/>
          <w:color w:val="auto"/>
        </w:rPr>
      </w:pPr>
    </w:p>
    <w:p>
      <w:pPr>
        <w:sectPr>
          <w:pgSz w:w="11900" w:h="16838" w:orient="portrait"/>
          <w:cols w:equalWidth="0" w:num="3">
            <w:col w:w="4524" w:space="720"/>
            <w:col w:w="2860" w:space="720"/>
            <w:col w:w="1580"/>
          </w:cols>
          <w:pgMar w:left="236" w:top="385" w:right="1259" w:bottom="1440" w:gutter="0" w:footer="0" w:header="0"/>
          <w:type w:val="continuous"/>
        </w:sectPr>
      </w:pPr>
    </w:p>
    <w:p>
      <w:pPr>
        <w:jc w:val="center"/>
        <w:ind w:right="1696"/>
        <w:spacing w:after="0"/>
        <w:rPr>
          <w:sz w:val="20"/>
          <w:szCs w:val="20"/>
          <w:color w:val="auto"/>
        </w:rPr>
      </w:pPr>
      <w:r>
        <w:rPr>
          <w:rFonts w:ascii="Times New Roman" w:cs="Times New Roman" w:eastAsia="Times New Roman" w:hAnsi="Times New Roman"/>
          <w:sz w:val="16"/>
          <w:szCs w:val="16"/>
          <w:b w:val="1"/>
          <w:bCs w:val="1"/>
          <w:color w:val="auto"/>
        </w:rPr>
        <w:t>Three Allen Center</w:t>
      </w:r>
    </w:p>
    <w:p>
      <w:pPr>
        <w:spacing w:after="0" w:line="27" w:lineRule="exact"/>
        <w:rPr>
          <w:sz w:val="24"/>
          <w:szCs w:val="24"/>
          <w:color w:val="auto"/>
        </w:rPr>
      </w:pPr>
    </w:p>
    <w:p>
      <w:pPr>
        <w:jc w:val="center"/>
        <w:ind w:right="1696"/>
        <w:spacing w:after="0"/>
        <w:rPr>
          <w:sz w:val="20"/>
          <w:szCs w:val="20"/>
          <w:color w:val="auto"/>
        </w:rPr>
      </w:pPr>
      <w:r>
        <w:rPr>
          <w:rFonts w:ascii="Times New Roman" w:cs="Times New Roman" w:eastAsia="Times New Roman" w:hAnsi="Times New Roman"/>
          <w:sz w:val="15"/>
          <w:szCs w:val="15"/>
          <w:b w:val="1"/>
          <w:bCs w:val="1"/>
          <w:color w:val="auto"/>
        </w:rPr>
        <w:t>333 Clay Street, Suite 4980, Houston, Texas</w:t>
      </w:r>
    </w:p>
    <w:p>
      <w:pPr>
        <w:spacing w:after="0" w:line="20" w:lineRule="exact"/>
        <w:rPr>
          <w:sz w:val="24"/>
          <w:szCs w:val="24"/>
          <w:color w:val="auto"/>
        </w:rPr>
      </w:pPr>
    </w:p>
    <w:p>
      <w:pPr>
        <w:jc w:val="center"/>
        <w:ind w:right="1696"/>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6"/>
          <w:szCs w:val="16"/>
          <w:b w:val="1"/>
          <w:bCs w:val="1"/>
          <w:color w:val="auto"/>
        </w:rPr>
        <w:t>77002</w:t>
      </w:r>
    </w:p>
    <w:p>
      <w:pPr>
        <w:spacing w:after="0" w:line="27"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193" w:lineRule="exact"/>
        <w:rPr>
          <w:sz w:val="24"/>
          <w:szCs w:val="24"/>
          <w:color w:val="auto"/>
        </w:rPr>
      </w:pPr>
    </w:p>
    <w:p>
      <w:pPr>
        <w:sectPr>
          <w:pgSz w:w="11900" w:h="16838" w:orient="portrait"/>
          <w:cols w:equalWidth="0" w:num="2">
            <w:col w:w="7404" w:space="720"/>
            <w:col w:w="2280"/>
          </w:cols>
          <w:pgMar w:left="236" w:top="385" w:right="1259" w:bottom="1440" w:gutter="0" w:footer="0" w:header="0"/>
          <w:type w:val="continuous"/>
        </w:sectPr>
      </w:pPr>
    </w:p>
    <w:p>
      <w:pPr>
        <w:jc w:val="center"/>
        <w:ind w:right="-883"/>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(713) 652-0582</w:t>
      </w:r>
    </w:p>
    <w:p>
      <w:pPr>
        <w:spacing w:after="0" w:line="200" w:lineRule="exact"/>
        <w:rPr>
          <w:sz w:val="24"/>
          <w:szCs w:val="24"/>
          <w:color w:val="auto"/>
        </w:rPr>
      </w:pPr>
    </w:p>
    <w:p>
      <w:pPr>
        <w:jc w:val="center"/>
        <w:ind w:right="-883"/>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7" w:lineRule="exact"/>
        <w:rPr>
          <w:sz w:val="24"/>
          <w:szCs w:val="24"/>
          <w:color w:val="auto"/>
        </w:rPr>
      </w:pPr>
    </w:p>
    <w:p>
      <w:pPr>
        <w:jc w:val="center"/>
        <w:ind w:right="-883"/>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8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5"/>
          <w:szCs w:val="15"/>
          <w:color w:val="auto"/>
        </w:rPr>
        <w:t>Check the appropriate box below if the Form 8-K is intended to simultaneously satisfy the filing obligation of the registrant under any of the following provisions:</w:t>
      </w:r>
    </w:p>
    <w:p>
      <w:pPr>
        <w:spacing w:after="0" w:line="212" w:lineRule="exact"/>
        <w:rPr>
          <w:sz w:val="24"/>
          <w:szCs w:val="24"/>
          <w:color w:val="auto"/>
        </w:rPr>
      </w:pPr>
    </w:p>
    <w:p>
      <w:pPr>
        <w:ind w:left="344" w:hanging="344"/>
        <w:spacing w:after="0"/>
        <w:tabs>
          <w:tab w:leader="none" w:pos="34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00" w:lineRule="exact"/>
        <w:rPr>
          <w:rFonts w:ascii="MS PGothic" w:cs="MS PGothic" w:eastAsia="MS PGothic" w:hAnsi="MS PGothic"/>
          <w:sz w:val="16"/>
          <w:szCs w:val="16"/>
          <w:color w:val="auto"/>
        </w:rPr>
      </w:pPr>
    </w:p>
    <w:p>
      <w:pPr>
        <w:ind w:left="344" w:hanging="344"/>
        <w:spacing w:after="0"/>
        <w:tabs>
          <w:tab w:leader="none" w:pos="34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00" w:lineRule="exact"/>
        <w:rPr>
          <w:rFonts w:ascii="MS PGothic" w:cs="MS PGothic" w:eastAsia="MS PGothic" w:hAnsi="MS PGothic"/>
          <w:sz w:val="16"/>
          <w:szCs w:val="16"/>
          <w:color w:val="auto"/>
        </w:rPr>
      </w:pPr>
    </w:p>
    <w:p>
      <w:pPr>
        <w:ind w:left="344" w:hanging="344"/>
        <w:spacing w:after="0"/>
        <w:tabs>
          <w:tab w:leader="none" w:pos="34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6"/>
          <w:szCs w:val="16"/>
          <w:color w:val="auto"/>
        </w:rPr>
      </w:pPr>
    </w:p>
    <w:p>
      <w:pPr>
        <w:ind w:left="344" w:hanging="344"/>
        <w:spacing w:after="0"/>
        <w:tabs>
          <w:tab w:leader="none" w:pos="34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320675</wp:posOffset>
            </wp:positionV>
            <wp:extent cx="72618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806450</wp:posOffset>
            </wp:positionV>
            <wp:extent cx="7282180" cy="35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2180" cy="355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343535</wp:posOffset>
            </wp:positionV>
            <wp:extent cx="726186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ectPr>
          <w:pgSz w:w="11900" w:h="16838" w:orient="portrait"/>
          <w:cols w:equalWidth="0" w:num="1">
            <w:col w:w="10404"/>
          </w:cols>
          <w:pgMar w:left="236" w:top="385" w:right="125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6"/>
          <w:szCs w:val="16"/>
          <w:b w:val="1"/>
          <w:bCs w:val="1"/>
          <w:u w:val="single" w:color="auto"/>
          <w:color w:val="auto"/>
        </w:rPr>
        <w:t>Regulation FD Disclosure</w:t>
      </w:r>
      <w:r>
        <w:rPr>
          <w:rFonts w:ascii="Times New Roman" w:cs="Times New Roman" w:eastAsia="Times New Roman" w:hAnsi="Times New Roman"/>
          <w:sz w:val="16"/>
          <w:szCs w:val="16"/>
          <w:b w:val="1"/>
          <w:bCs w:val="1"/>
          <w:color w:val="auto"/>
        </w:rPr>
        <w:t>.</w:t>
      </w:r>
    </w:p>
    <w:p>
      <w:pPr>
        <w:spacing w:after="0" w:line="202" w:lineRule="exact"/>
        <w:rPr>
          <w:sz w:val="20"/>
          <w:szCs w:val="20"/>
          <w:color w:val="auto"/>
        </w:rPr>
      </w:pPr>
    </w:p>
    <w:p>
      <w:pPr>
        <w:ind w:right="200" w:firstLine="288"/>
        <w:spacing w:after="0" w:line="282" w:lineRule="auto"/>
        <w:rPr>
          <w:sz w:val="20"/>
          <w:szCs w:val="20"/>
          <w:color w:val="auto"/>
        </w:rPr>
      </w:pPr>
      <w:r>
        <w:rPr>
          <w:rFonts w:ascii="Times New Roman" w:cs="Times New Roman" w:eastAsia="Times New Roman" w:hAnsi="Times New Roman"/>
          <w:sz w:val="16"/>
          <w:szCs w:val="16"/>
          <w:color w:val="auto"/>
        </w:rPr>
        <w:t>Furnished herewith as Exhibit 99.1 are the slides for the current investor presentation by management of Civeo Corporation, a Delaware corporation (the “Company”). The slides are available on the Company’s website at www.civeo.com.</w:t>
      </w:r>
    </w:p>
    <w:p>
      <w:pPr>
        <w:spacing w:after="0" w:line="144" w:lineRule="exact"/>
        <w:rPr>
          <w:sz w:val="20"/>
          <w:szCs w:val="20"/>
          <w:color w:val="auto"/>
        </w:rPr>
      </w:pPr>
    </w:p>
    <w:p>
      <w:pPr>
        <w:ind w:right="120" w:firstLine="288"/>
        <w:spacing w:after="0" w:line="282" w:lineRule="auto"/>
        <w:rPr>
          <w:sz w:val="20"/>
          <w:szCs w:val="20"/>
          <w:color w:val="auto"/>
        </w:rPr>
      </w:pPr>
      <w:r>
        <w:rPr>
          <w:rFonts w:ascii="Times New Roman" w:cs="Times New Roman" w:eastAsia="Times New Roman" w:hAnsi="Times New Roman"/>
          <w:sz w:val="16"/>
          <w:szCs w:val="16"/>
          <w:color w:val="auto"/>
        </w:rPr>
        <w:t>The information contained in this report is being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44" w:lineRule="exact"/>
        <w:rPr>
          <w:sz w:val="20"/>
          <w:szCs w:val="20"/>
          <w:color w:val="auto"/>
        </w:rPr>
      </w:pPr>
    </w:p>
    <w:p>
      <w:pPr>
        <w:ind w:right="120" w:firstLine="288"/>
        <w:spacing w:after="0" w:line="261" w:lineRule="auto"/>
        <w:rPr>
          <w:sz w:val="20"/>
          <w:szCs w:val="20"/>
          <w:color w:val="auto"/>
        </w:rPr>
      </w:pPr>
      <w:r>
        <w:rPr>
          <w:rFonts w:ascii="Times New Roman" w:cs="Times New Roman" w:eastAsia="Times New Roman" w:hAnsi="Times New Roman"/>
          <w:sz w:val="16"/>
          <w:szCs w:val="16"/>
          <w:color w:val="auto"/>
        </w:rPr>
        <w:t>Statements contained in the exhibit to this report that state the Company’s or its management’s expectations or predictions of the future are forward-looking statements intended to be covered by the safe harbor provisions of the Securities Act of 1933, as amended, and the Securities Exchange Act of 1934, as amended. It is important to note that the Company’s actual results could differ materially from those projected in such forward-looking statements. Factors that could affect those results include those mentioned in the documents that the Company has filed with the Securities and Exchange Commission.</w:t>
      </w:r>
    </w:p>
    <w:p>
      <w:pPr>
        <w:spacing w:after="0" w:line="161" w:lineRule="exact"/>
        <w:rPr>
          <w:sz w:val="20"/>
          <w:szCs w:val="20"/>
          <w:color w:val="auto"/>
        </w:rPr>
      </w:pPr>
    </w:p>
    <w:p>
      <w:pPr>
        <w:ind w:right="140" w:firstLine="288"/>
        <w:spacing w:after="0" w:line="266" w:lineRule="auto"/>
        <w:rPr>
          <w:sz w:val="20"/>
          <w:szCs w:val="20"/>
          <w:color w:val="auto"/>
        </w:rPr>
      </w:pPr>
      <w:r>
        <w:rPr>
          <w:rFonts w:ascii="Times New Roman" w:cs="Times New Roman" w:eastAsia="Times New Roman" w:hAnsi="Times New Roman"/>
          <w:sz w:val="16"/>
          <w:szCs w:val="16"/>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through its website at www.civeo.com or through other public disclosure.</w:t>
      </w:r>
    </w:p>
    <w:p>
      <w:pPr>
        <w:spacing w:after="0" w:line="34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u w:val="single" w:color="auto"/>
          <w:color w:val="auto"/>
        </w:rPr>
        <w:t>Financial Statements and Exhibits</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ind w:left="680" w:hanging="396"/>
        <w:spacing w:after="0"/>
        <w:tabs>
          <w:tab w:leader="none" w:pos="6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Pr>
          <w:p>
            <w:pPr>
              <w:spacing w:after="0"/>
              <w:rPr>
                <w:sz w:val="18"/>
                <w:szCs w:val="18"/>
                <w:color w:val="auto"/>
              </w:rPr>
            </w:pPr>
          </w:p>
        </w:tc>
        <w:tc>
          <w:tcPr>
            <w:tcW w:w="9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8"/>
                <w:szCs w:val="18"/>
                <w:color w:val="auto"/>
              </w:rPr>
            </w:pPr>
          </w:p>
        </w:tc>
      </w:tr>
      <w:tr>
        <w:trPr>
          <w:trHeight w:val="201"/>
        </w:trPr>
        <w:tc>
          <w:tcPr>
            <w:tcW w:w="148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7"/>
                <w:szCs w:val="17"/>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16"/>
                <w:szCs w:val="16"/>
                <w:color w:val="auto"/>
              </w:rPr>
              <w:t>Civeo Corporation Investor Presentation</w:t>
            </w:r>
          </w:p>
        </w:tc>
        <w:tc>
          <w:tcPr>
            <w:tcW w:w="20" w:type="dxa"/>
            <w:vAlign w:val="bottom"/>
          </w:tcPr>
          <w:p>
            <w:pPr>
              <w:spacing w:after="0"/>
              <w:rPr>
                <w:sz w:val="17"/>
                <w:szCs w:val="17"/>
                <w:color w:val="auto"/>
              </w:rPr>
            </w:pPr>
          </w:p>
        </w:tc>
      </w:tr>
      <w:tr>
        <w:trPr>
          <w:trHeight w:val="712"/>
        </w:trPr>
        <w:tc>
          <w:tcPr>
            <w:tcW w:w="14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-34925</wp:posOffset>
            </wp:positionV>
            <wp:extent cx="127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12700"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1460"/>
          </w:cols>
          <w:pgMar w:left="240" w:top="529" w:right="19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2" w:lineRule="exact"/>
        <w:rPr>
          <w:sz w:val="20"/>
          <w:szCs w:val="20"/>
          <w:color w:val="auto"/>
        </w:rPr>
      </w:pPr>
    </w:p>
    <w:p>
      <w:pPr>
        <w:ind w:firstLine="288"/>
        <w:spacing w:after="0" w:line="282"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b w:val="1"/>
          <w:bCs w:val="1"/>
          <w:color w:val="auto"/>
        </w:rPr>
        <w:t>Civeo Corporation</w:t>
      </w:r>
    </w:p>
    <w:p>
      <w:pPr>
        <w:spacing w:after="0" w:line="39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/s/ Robert L. Norris</w:t>
      </w:r>
    </w:p>
    <w:p>
      <w:pPr>
        <w:spacing w:after="0" w:line="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Name: Robert L.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-116205</wp:posOffset>
            </wp:positionV>
            <wp:extent cx="363093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30930" cy="7620"/>
                    </a:xfrm>
                    <a:prstGeom prst="rect">
                      <a:avLst/>
                    </a:prstGeom>
                    <a:noFill/>
                  </pic:spPr>
                </pic:pic>
              </a:graphicData>
            </a:graphic>
          </wp:anchor>
        </w:drawing>
      </w:r>
    </w:p>
    <w:p>
      <w:pPr>
        <w:ind w:left="5720"/>
        <w:spacing w:after="0"/>
        <w:tabs>
          <w:tab w:leader="none" w:pos="616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5"/>
          <w:szCs w:val="15"/>
          <w:color w:val="auto"/>
        </w:rPr>
        <w:t>Vice President, Corporate Development and Secretary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May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445135</wp:posOffset>
            </wp:positionV>
            <wp:extent cx="7282180"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2180" cy="35560"/>
                    </a:xfrm>
                    <a:prstGeom prst="rect">
                      <a:avLst/>
                    </a:prstGeom>
                    <a:noFill/>
                  </pic:spPr>
                </pic:pic>
              </a:graphicData>
            </a:graphic>
          </wp:anchor>
        </w:drawing>
      </w:r>
    </w:p>
    <w:p>
      <w:pPr>
        <w:sectPr>
          <w:pgSz w:w="11900" w:h="16838" w:orient="portrait"/>
          <w:cols w:equalWidth="0" w:num="1">
            <w:col w:w="11180"/>
          </w:cols>
          <w:pgMar w:left="240" w:top="529" w:right="47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1"/>
        </w:trPr>
        <w:tc>
          <w:tcPr>
            <w:tcW w:w="1600" w:type="dxa"/>
            <w:vAlign w:val="bottom"/>
            <w:tcBorders>
              <w:top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7"/>
                <w:szCs w:val="17"/>
                <w:color w:val="auto"/>
              </w:rPr>
            </w:pPr>
          </w:p>
        </w:tc>
        <w:tc>
          <w:tcPr>
            <w:tcW w:w="9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Civeo Corporation Investor Presentation</w:t>
            </w:r>
          </w:p>
        </w:tc>
      </w:tr>
    </w:tbl>
    <w:p>
      <w:pPr>
        <w:sectPr>
          <w:pgSz w:w="11900" w:h="16838" w:orient="portrait"/>
          <w:cols w:equalWidth="0" w:num="1">
            <w:col w:w="11440"/>
          </w:cols>
          <w:pgMar w:left="240" w:top="529" w:right="219" w:bottom="1440" w:gutter="0" w:footer="0" w:header="0"/>
        </w:sectPr>
      </w:pPr>
    </w:p>
    <w:bookmarkStart w:id="4" w:name="page5"/>
    <w:bookmarkEnd w:id="4"/>
    <w:p>
      <w:pPr>
        <w:ind w:left="940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291465</wp:posOffset>
            </wp:positionV>
            <wp:extent cx="7320280" cy="5982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0" w:num="1">
            <w:col w:w="10240"/>
          </w:cols>
          <w:pgMar w:left="1440" w:top="121" w:right="2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6463030</wp:posOffset>
            </wp:positionV>
            <wp:extent cx="7282180" cy="35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218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6463030</wp:posOffset>
            </wp:positionV>
            <wp:extent cx="7282180"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218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516255</wp:posOffset>
            </wp:positionV>
            <wp:extent cx="7320280" cy="5982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0280" cy="598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6600825</wp:posOffset>
            </wp:positionV>
            <wp:extent cx="7282180"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2180" cy="3556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516255</wp:posOffset>
            </wp:positionV>
            <wp:extent cx="7317740" cy="54921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347980</wp:posOffset>
            </wp:positionV>
            <wp:extent cx="7320280" cy="59677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0280" cy="596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226060</wp:posOffset>
            </wp:positionV>
            <wp:extent cx="7320280" cy="5967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0280" cy="596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347980</wp:posOffset>
            </wp:positionV>
            <wp:extent cx="7320280" cy="59677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0280" cy="596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347980</wp:posOffset>
            </wp:positionV>
            <wp:extent cx="7320280" cy="59677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0280" cy="596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347980</wp:posOffset>
            </wp:positionV>
            <wp:extent cx="7320280" cy="59677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0280" cy="596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348615</wp:posOffset>
            </wp:positionV>
            <wp:extent cx="7317740" cy="54921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2019-12-08T09:00:57Z</dcterms:created>
  <dcterms:modified xsi:type="dcterms:W3CDTF">2019-12-08T09:00:57Z</dcterms:modified>
</cp:coreProperties>
</file>