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Washington, D.C. 20549</w:t>
      </w:r>
    </w:p>
    <w:p>
      <w:pPr>
        <w:spacing w:after="0" w:line="215"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8-K</w:t>
      </w:r>
    </w:p>
    <w:p>
      <w:pPr>
        <w:spacing w:after="0" w:line="24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26, 2015</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CIVEO CORPORATION</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93"/>
              </w:rPr>
              <w:t>British Columbia, Canada</w:t>
            </w:r>
          </w:p>
        </w:tc>
        <w:tc>
          <w:tcPr>
            <w:tcW w:w="286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90"/>
              </w:rPr>
              <w:t>1-36246</w:t>
            </w:r>
          </w:p>
        </w:tc>
        <w:tc>
          <w:tcPr>
            <w:tcW w:w="3940" w:type="dxa"/>
            <w:vAlign w:val="bottom"/>
            <w:gridSpan w:val="2"/>
          </w:tcPr>
          <w:p>
            <w:pPr>
              <w:jc w:val="right"/>
              <w:ind w:right="1270"/>
              <w:spacing w:after="0"/>
              <w:rPr>
                <w:sz w:val="20"/>
                <w:szCs w:val="20"/>
                <w:color w:val="auto"/>
              </w:rPr>
            </w:pPr>
            <w:r>
              <w:rPr>
                <w:rFonts w:ascii="Arial" w:cs="Arial" w:eastAsia="Arial" w:hAnsi="Arial"/>
                <w:sz w:val="18"/>
                <w:szCs w:val="18"/>
                <w:b w:val="1"/>
                <w:bCs w:val="1"/>
                <w:color w:val="auto"/>
              </w:rPr>
              <w:t>98-1253716</w:t>
            </w:r>
          </w:p>
        </w:tc>
      </w:tr>
      <w:tr>
        <w:trPr>
          <w:trHeight w:val="195"/>
        </w:trPr>
        <w:tc>
          <w:tcPr>
            <w:tcW w:w="3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34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860" w:type="dxa"/>
            <w:vAlign w:val="bottom"/>
            <w:tcBorders>
              <w:top w:val="single" w:sz="8" w:color="auto"/>
            </w:tcBorders>
            <w:gridSpan w:val="3"/>
          </w:tcPr>
          <w:p>
            <w:pPr>
              <w:jc w:val="center"/>
              <w:ind w:right="700"/>
              <w:spacing w:after="0" w:line="195" w:lineRule="exact"/>
              <w:rPr>
                <w:sz w:val="20"/>
                <w:szCs w:val="20"/>
                <w:color w:val="auto"/>
              </w:rPr>
            </w:pPr>
            <w:r>
              <w:rPr>
                <w:rFonts w:ascii="Arial" w:cs="Arial" w:eastAsia="Arial" w:hAnsi="Arial"/>
                <w:sz w:val="18"/>
                <w:szCs w:val="18"/>
                <w:color w:val="auto"/>
                <w:w w:val="92"/>
              </w:rPr>
              <w:t>(Commission File</w:t>
            </w:r>
          </w:p>
        </w:tc>
        <w:tc>
          <w:tcPr>
            <w:tcW w:w="340" w:type="dxa"/>
            <w:vAlign w:val="bottom"/>
          </w:tcPr>
          <w:p>
            <w:pPr>
              <w:spacing w:after="0"/>
              <w:rPr>
                <w:sz w:val="16"/>
                <w:szCs w:val="16"/>
                <w:color w:val="auto"/>
              </w:rPr>
            </w:pPr>
          </w:p>
        </w:tc>
        <w:tc>
          <w:tcPr>
            <w:tcW w:w="3600" w:type="dxa"/>
            <w:vAlign w:val="bottom"/>
            <w:tcBorders>
              <w:top w:val="single" w:sz="8" w:color="auto"/>
            </w:tcBorders>
          </w:tcPr>
          <w:p>
            <w:pPr>
              <w:ind w:left="480"/>
              <w:spacing w:after="0" w:line="195" w:lineRule="exact"/>
              <w:rPr>
                <w:sz w:val="20"/>
                <w:szCs w:val="20"/>
                <w:color w:val="auto"/>
              </w:rPr>
            </w:pPr>
            <w:r>
              <w:rPr>
                <w:rFonts w:ascii="Arial" w:cs="Arial" w:eastAsia="Arial" w:hAnsi="Arial"/>
                <w:sz w:val="18"/>
                <w:szCs w:val="18"/>
                <w:color w:val="auto"/>
              </w:rPr>
              <w:t>(I.R.S. Employer Identification No.)</w:t>
            </w:r>
          </w:p>
        </w:tc>
      </w:tr>
      <w:tr>
        <w:trPr>
          <w:trHeight w:val="230"/>
        </w:trPr>
        <w:tc>
          <w:tcPr>
            <w:tcW w:w="4620" w:type="dxa"/>
            <w:vAlign w:val="bottom"/>
            <w:gridSpan w:val="3"/>
          </w:tcPr>
          <w:p>
            <w:pPr>
              <w:jc w:val="center"/>
              <w:ind w:right="1040"/>
              <w:spacing w:after="0"/>
              <w:rPr>
                <w:sz w:val="20"/>
                <w:szCs w:val="20"/>
                <w:color w:val="auto"/>
              </w:rPr>
            </w:pPr>
            <w:r>
              <w:rPr>
                <w:rFonts w:ascii="Arial" w:cs="Arial" w:eastAsia="Arial" w:hAnsi="Arial"/>
                <w:sz w:val="18"/>
                <w:szCs w:val="18"/>
                <w:color w:val="auto"/>
                <w:w w:val="92"/>
              </w:rPr>
              <w:t>Incorporation or Organization)</w:t>
            </w:r>
          </w:p>
        </w:tc>
        <w:tc>
          <w:tcPr>
            <w:tcW w:w="2860" w:type="dxa"/>
            <w:vAlign w:val="bottom"/>
            <w:gridSpan w:val="3"/>
          </w:tcPr>
          <w:p>
            <w:pPr>
              <w:jc w:val="center"/>
              <w:ind w:right="700"/>
              <w:spacing w:after="0"/>
              <w:rPr>
                <w:sz w:val="20"/>
                <w:szCs w:val="20"/>
                <w:color w:val="auto"/>
              </w:rPr>
            </w:pPr>
            <w:r>
              <w:rPr>
                <w:rFonts w:ascii="Arial" w:cs="Arial" w:eastAsia="Arial" w:hAnsi="Arial"/>
                <w:sz w:val="18"/>
                <w:szCs w:val="18"/>
                <w:color w:val="auto"/>
                <w:w w:val="91"/>
              </w:rPr>
              <w:t>Number)</w:t>
            </w:r>
          </w:p>
        </w:tc>
        <w:tc>
          <w:tcPr>
            <w:tcW w:w="34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4"/>
        </w:trPr>
        <w:tc>
          <w:tcPr>
            <w:tcW w:w="462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93"/>
              </w:rPr>
              <w:t>Three Allen Center</w:t>
            </w: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62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90"/>
              </w:rPr>
              <w:t>333 Clay Street, Suite 4980</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462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b w:val="1"/>
                <w:bCs w:val="1"/>
                <w:color w:val="auto"/>
                <w:w w:val="88"/>
              </w:rPr>
              <w:t>Houston, Texas</w:t>
            </w:r>
          </w:p>
        </w:tc>
        <w:tc>
          <w:tcPr>
            <w:tcW w:w="80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2"/>
          </w:tcPr>
          <w:p>
            <w:pPr>
              <w:jc w:val="right"/>
              <w:ind w:right="2410"/>
              <w:spacing w:after="0"/>
              <w:rPr>
                <w:sz w:val="20"/>
                <w:szCs w:val="20"/>
                <w:color w:val="auto"/>
              </w:rPr>
            </w:pPr>
            <w:r>
              <w:rPr>
                <w:rFonts w:ascii="Arial" w:cs="Arial" w:eastAsia="Arial" w:hAnsi="Arial"/>
                <w:sz w:val="18"/>
                <w:szCs w:val="18"/>
                <w:b w:val="1"/>
                <w:bCs w:val="1"/>
                <w:color w:val="auto"/>
              </w:rPr>
              <w:t>77002</w:t>
            </w:r>
          </w:p>
        </w:tc>
      </w:tr>
      <w:tr>
        <w:trPr>
          <w:trHeight w:val="224"/>
        </w:trPr>
        <w:tc>
          <w:tcPr>
            <w:tcW w:w="4620" w:type="dxa"/>
            <w:vAlign w:val="bottom"/>
            <w:gridSpan w:val="3"/>
          </w:tcPr>
          <w:p>
            <w:pPr>
              <w:jc w:val="center"/>
              <w:ind w:left="710"/>
              <w:spacing w:after="0"/>
              <w:rPr>
                <w:sz w:val="20"/>
                <w:szCs w:val="20"/>
                <w:color w:val="auto"/>
              </w:rPr>
            </w:pPr>
            <w:r>
              <w:rPr>
                <w:rFonts w:ascii="Arial" w:cs="Arial" w:eastAsia="Arial" w:hAnsi="Arial"/>
                <w:sz w:val="18"/>
                <w:szCs w:val="18"/>
                <w:color w:val="auto"/>
                <w:w w:val="92"/>
              </w:rPr>
              <w:t>(Address of Principal Executive Offices)</w:t>
            </w: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0" w:type="dxa"/>
            <w:vAlign w:val="bottom"/>
          </w:tcPr>
          <w:p>
            <w:pPr>
              <w:ind w:left="480"/>
              <w:spacing w:after="0"/>
              <w:rPr>
                <w:sz w:val="20"/>
                <w:szCs w:val="20"/>
                <w:color w:val="auto"/>
              </w:rPr>
            </w:pPr>
            <w:r>
              <w:rPr>
                <w:rFonts w:ascii="Arial" w:cs="Arial" w:eastAsia="Arial" w:hAnsi="Arial"/>
                <w:sz w:val="18"/>
                <w:szCs w:val="18"/>
                <w:color w:val="auto"/>
              </w:rPr>
              <w:t>(Zip Code)</w:t>
            </w:r>
          </w:p>
        </w:tc>
      </w:tr>
    </w:tbl>
    <w:p>
      <w:pPr>
        <w:spacing w:after="0" w:line="183" w:lineRule="exact"/>
        <w:rPr>
          <w:sz w:val="24"/>
          <w:szCs w:val="24"/>
          <w:color w:val="auto"/>
        </w:rPr>
      </w:pPr>
    </w:p>
    <w:p>
      <w:pPr>
        <w:ind w:right="3240" w:firstLine="3245"/>
        <w:spacing w:after="0" w:line="282" w:lineRule="auto"/>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510-2400</w:t>
      </w:r>
      <w:r>
        <w:rPr>
          <w:rFonts w:ascii="Arial" w:cs="Arial" w:eastAsia="Arial" w:hAnsi="Arial"/>
          <w:sz w:val="18"/>
          <w:szCs w:val="18"/>
          <w:color w:val="auto"/>
        </w:rPr>
        <w:t xml:space="preserve"> (Former name or former address, if changed since last report)</w:t>
      </w:r>
    </w:p>
    <w:p>
      <w:pPr>
        <w:spacing w:after="0" w:line="166"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716280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1" w:name="page2"/>
    <w:bookmarkEnd w:id="1"/>
    <w:p>
      <w:pPr>
        <w:ind w:left="1120" w:right="160" w:hanging="1120"/>
        <w:spacing w:after="0" w:line="282" w:lineRule="auto"/>
        <w:tabs>
          <w:tab w:leader="none" w:pos="110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On August 26, 2015, Civeo Corporation (the “Company”) entered into an Executive Agreement (the “Executive Agreement”), effective as of August 17, 2015, with Peter McCann, the Company’s Senior Vice President, Australia. Although Mr. McCann is employed “at will” by the Company, the Executive Agreement provides him severance benefits upon his termination of employment in the circumstances described below. The Executive Agreement has a term of three years and is extended each day until the Company gives notice of its intent to cease further extensions, at which time the Executive Agreement will have a term of three years from the delivery of such notice. Upon a Change of Control, as defined in the Executive Agreement, the term is extended for a minimum of 24 months following the Change of Control.</w:t>
      </w:r>
    </w:p>
    <w:p>
      <w:pPr>
        <w:spacing w:after="0" w:line="193"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Pursuant to the Executive Agreement, if Mr. McCann is terminated by the Company other than for Cause, as defined in the Executive Agreement, or if he voluntarily terminates his employment for “Good Reason,” as defined in the Executive Agreement, in either case, during the 18-month period following a corporate Change of Control, then he is entitled to receive a lump sum severance payment of two times the sum of his annual base salary and the target annual bonus that may be earned by him pursuant to the Civeo Annual Incentive Compensation Plan (“Civeo AICP”) for the year of termination or the fiscal year immediately preceding the Change of Control, whichever is greater. In addition, the Executive Agreement provides that (i) all restricted stock and other equity based awards vest and that all restrictions on such awards will lapse as of the expiration of the Release Period (as defined in the Executive Agreement) and (ii) that all options become exercisable as of the expiration of the Release Period and will expire, if not exercised, after 90 days following the expiration of the Release Period. Mr. McCann will also be entitled to outplacement services equal to a maximum of 15% of Mr. McCann’s annual base salary at the time of termination until the earlier to occur of (i) December 31 of the second calendar year following the year of termination or (ii) the date Mr. McCann accepts subsequent employment.</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If Mr. McCann is terminated by the Company other than for Cause at any time other than during the 18-month period following a Change of Control, the Executive Agreement provides (i) that Mr. McCann is entitled to receive a lump sum severance payment of one times the sum of his annual base salary and the target annual bonus that may be earned by him pursuant to the Civeo AICP for the year of termination or the fiscal year immediately preceding the Change of Control, whichever is greater, and (ii) that all restrictions on restricted stock and other equity based awards lapse as of the expiration of the Release Period, to the extent such awards would have vested in accordance with their terms had Mr. McCann remained employed for the subsequent 12-month period following termination.</w:t>
      </w:r>
    </w:p>
    <w:p>
      <w:pPr>
        <w:spacing w:after="0" w:line="193"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To receive benefits under the Executive Agreement, Mr. McCann is required to execute a release of all claims against the Company. Under the Executive Agreement, Mr. McCann has also agreed not to compete with the Company for a period of 12 months following any termination of employment.</w:t>
      </w:r>
    </w:p>
    <w:p>
      <w:pPr>
        <w:spacing w:after="0" w:line="12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 copy of the Executive Agreement is attached hereto as Exhibit 10.1. The description of the Executive Agreement contained in this Current Report on Form 8-K is qualified in its entirety by reference to such document.</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connection with entering into the Executive Agreement, Mr. McCann entered into a variation agreement with respect to his existing executive services agreement with the Company’s subsidiary doing business in Australia to clarify the interaction under Australian law of the Executive Agreement with Mr. McCann’s existing executive services agreement, the terms of which are described in the Company’s Current Report on Form 8-K12B, filed on July 17, 2015.</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 copy of the variation agreement is attached hereto as Exhibit 10.2. The description of the variation agreement contained in this Current Report on Form 8-K is qualified in its entirety by reference to such document.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360" w:type="dxa"/>
            <w:vAlign w:val="bottom"/>
            <w:gridSpan w:val="2"/>
          </w:tcPr>
          <w:p>
            <w:pPr>
              <w:ind w:left="140"/>
              <w:spacing w:after="0"/>
              <w:rPr>
                <w:sz w:val="20"/>
                <w:szCs w:val="20"/>
                <w:color w:val="auto"/>
              </w:rPr>
            </w:pPr>
            <w:r>
              <w:rPr>
                <w:rFonts w:ascii="Arial" w:cs="Arial" w:eastAsia="Arial" w:hAnsi="Arial"/>
                <w:sz w:val="18"/>
                <w:szCs w:val="18"/>
                <w:b w:val="1"/>
                <w:bCs w:val="1"/>
                <w:color w:val="auto"/>
              </w:rPr>
              <w:t>Financial Statements and Exhibits.</w:t>
            </w:r>
          </w:p>
        </w:tc>
        <w:tc>
          <w:tcPr>
            <w:tcW w:w="40" w:type="dxa"/>
            <w:vAlign w:val="bottom"/>
          </w:tcPr>
          <w:p>
            <w:pPr>
              <w:spacing w:after="0"/>
              <w:rPr>
                <w:sz w:val="20"/>
                <w:szCs w:val="20"/>
                <w:color w:val="auto"/>
              </w:rPr>
            </w:pPr>
          </w:p>
        </w:tc>
      </w:tr>
      <w:tr>
        <w:trPr>
          <w:trHeight w:val="432"/>
        </w:trPr>
        <w:tc>
          <w:tcPr>
            <w:tcW w:w="1060" w:type="dxa"/>
            <w:vAlign w:val="bottom"/>
            <w:gridSpan w:val="2"/>
          </w:tcPr>
          <w:p>
            <w:pPr>
              <w:spacing w:after="0"/>
              <w:rPr>
                <w:sz w:val="20"/>
                <w:szCs w:val="20"/>
                <w:color w:val="auto"/>
              </w:rPr>
            </w:pPr>
            <w:r>
              <w:rPr>
                <w:rFonts w:ascii="Arial" w:cs="Arial" w:eastAsia="Arial" w:hAnsi="Arial"/>
                <w:sz w:val="18"/>
                <w:szCs w:val="18"/>
                <w:color w:val="auto"/>
              </w:rPr>
              <w:t>(d) Exhibits</w:t>
            </w:r>
            <w:r>
              <w:rPr>
                <w:rFonts w:ascii="Arial" w:cs="Arial" w:eastAsia="Arial" w:hAnsi="Arial"/>
                <w:sz w:val="18"/>
                <w:szCs w:val="18"/>
                <w:i w:val="1"/>
                <w:iCs w:val="1"/>
                <w:color w:val="auto"/>
              </w:rPr>
              <w:t>.</w:t>
            </w:r>
          </w:p>
        </w:tc>
        <w:tc>
          <w:tcPr>
            <w:tcW w:w="540" w:type="dxa"/>
            <w:vAlign w:val="bottom"/>
          </w:tcPr>
          <w:p>
            <w:pPr>
              <w:spacing w:after="0"/>
              <w:rPr>
                <w:sz w:val="24"/>
                <w:szCs w:val="24"/>
                <w:color w:val="auto"/>
              </w:rPr>
            </w:pPr>
          </w:p>
        </w:tc>
        <w:tc>
          <w:tcPr>
            <w:tcW w:w="9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106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540" w:type="dxa"/>
            <w:vAlign w:val="bottom"/>
          </w:tcPr>
          <w:p>
            <w:pPr>
              <w:spacing w:after="0"/>
              <w:rPr>
                <w:sz w:val="24"/>
                <w:szCs w:val="24"/>
                <w:color w:val="auto"/>
              </w:rPr>
            </w:pPr>
          </w:p>
        </w:tc>
        <w:tc>
          <w:tcPr>
            <w:tcW w:w="9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060" w:type="dxa"/>
            <w:vAlign w:val="bottom"/>
            <w:gridSpan w:val="2"/>
          </w:tcPr>
          <w:p>
            <w:pPr>
              <w:spacing w:after="0"/>
              <w:rPr>
                <w:sz w:val="20"/>
                <w:szCs w:val="20"/>
                <w:color w:val="auto"/>
              </w:rPr>
            </w:pPr>
            <w:r>
              <w:rPr>
                <w:rFonts w:ascii="Arial" w:cs="Arial" w:eastAsia="Arial" w:hAnsi="Arial"/>
                <w:sz w:val="18"/>
                <w:szCs w:val="18"/>
                <w:color w:val="auto"/>
              </w:rPr>
              <w:t>NUMBER</w:t>
            </w:r>
          </w:p>
        </w:tc>
        <w:tc>
          <w:tcPr>
            <w:tcW w:w="10360" w:type="dxa"/>
            <w:vAlign w:val="bottom"/>
            <w:gridSpan w:val="2"/>
          </w:tcPr>
          <w:p>
            <w:pPr>
              <w:ind w:left="540"/>
              <w:spacing w:after="0"/>
              <w:rPr>
                <w:sz w:val="20"/>
                <w:szCs w:val="20"/>
                <w:color w:val="auto"/>
              </w:rPr>
            </w:pPr>
            <w:r>
              <w:rPr>
                <w:rFonts w:ascii="Arial" w:cs="Arial" w:eastAsia="Arial" w:hAnsi="Arial"/>
                <w:sz w:val="18"/>
                <w:szCs w:val="18"/>
                <w:color w:val="auto"/>
              </w:rPr>
              <w:t>DESCRIPTION</w:t>
            </w:r>
          </w:p>
        </w:tc>
        <w:tc>
          <w:tcPr>
            <w:tcW w:w="40" w:type="dxa"/>
            <w:vAlign w:val="bottom"/>
          </w:tcPr>
          <w:p>
            <w:pPr>
              <w:spacing w:after="0"/>
              <w:rPr>
                <w:sz w:val="20"/>
                <w:szCs w:val="20"/>
                <w:color w:val="auto"/>
              </w:rPr>
            </w:pPr>
          </w:p>
        </w:tc>
      </w:tr>
      <w:tr>
        <w:trPr>
          <w:trHeight w:val="195"/>
        </w:trPr>
        <w:tc>
          <w:tcPr>
            <w:tcW w:w="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10.1</w:t>
            </w: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Executive Agreement between Civeo Corporation and Peter McCann, dated August 17, 2015.</w:t>
            </w:r>
          </w:p>
        </w:tc>
        <w:tc>
          <w:tcPr>
            <w:tcW w:w="40" w:type="dxa"/>
            <w:vAlign w:val="bottom"/>
          </w:tcPr>
          <w:p>
            <w:pPr>
              <w:spacing w:after="0"/>
              <w:rPr>
                <w:sz w:val="16"/>
                <w:szCs w:val="16"/>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0"/>
                <w:szCs w:val="20"/>
                <w:color w:val="auto"/>
              </w:rPr>
            </w:pPr>
          </w:p>
        </w:tc>
        <w:tc>
          <w:tcPr>
            <w:tcW w:w="10360" w:type="dxa"/>
            <w:vAlign w:val="bottom"/>
            <w:gridSpan w:val="2"/>
          </w:tcPr>
          <w:p>
            <w:pPr>
              <w:ind w:left="540"/>
              <w:spacing w:after="0"/>
              <w:rPr>
                <w:sz w:val="20"/>
                <w:szCs w:val="20"/>
                <w:color w:val="auto"/>
              </w:rPr>
            </w:pPr>
            <w:r>
              <w:rPr>
                <w:rFonts w:ascii="Arial" w:cs="Arial" w:eastAsia="Arial" w:hAnsi="Arial"/>
                <w:sz w:val="18"/>
                <w:szCs w:val="18"/>
                <w:color w:val="auto"/>
              </w:rPr>
              <w:t>Variation to Executive Services Agreement between Civeo Pty Ltd and Peter McCann, dated August 17, 2015.</w:t>
            </w:r>
          </w:p>
        </w:tc>
        <w:tc>
          <w:tcPr>
            <w:tcW w:w="40" w:type="dxa"/>
            <w:vAlign w:val="bottom"/>
          </w:tcPr>
          <w:p>
            <w:pPr>
              <w:spacing w:after="0"/>
              <w:rPr>
                <w:sz w:val="20"/>
                <w:szCs w:val="20"/>
                <w:color w:val="auto"/>
              </w:rPr>
            </w:pPr>
          </w:p>
        </w:tc>
      </w:tr>
      <w:tr>
        <w:trPr>
          <w:trHeight w:val="780"/>
        </w:trPr>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8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98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796" w:right="199" w:bottom="1440" w:gutter="0" w:footer="0" w:header="0"/>
        </w:sectPr>
      </w:pPr>
    </w:p>
    <w:bookmarkStart w:id="2" w:name="page3"/>
    <w:bookmarkEnd w:id="2"/>
    <w:p>
      <w:pPr>
        <w:jc w:val="center"/>
        <w:ind w:right="8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6260" w:type="dxa"/>
            <w:vAlign w:val="bottom"/>
            <w:gridSpan w:val="2"/>
          </w:tcPr>
          <w:p>
            <w:pPr>
              <w:ind w:left="1980"/>
              <w:spacing w:after="0"/>
              <w:rPr>
                <w:sz w:val="20"/>
                <w:szCs w:val="20"/>
                <w:color w:val="auto"/>
              </w:rPr>
            </w:pPr>
            <w:r>
              <w:rPr>
                <w:rFonts w:ascii="Arial" w:cs="Arial" w:eastAsia="Arial" w:hAnsi="Arial"/>
                <w:sz w:val="18"/>
                <w:szCs w:val="18"/>
                <w:color w:val="auto"/>
              </w:rPr>
              <w:t>CIVEO CORPORATION</w:t>
            </w:r>
          </w:p>
        </w:tc>
        <w:tc>
          <w:tcPr>
            <w:tcW w:w="1600" w:type="dxa"/>
            <w:vAlign w:val="bottom"/>
          </w:tcPr>
          <w:p>
            <w:pPr>
              <w:spacing w:after="0"/>
              <w:rPr>
                <w:sz w:val="20"/>
                <w:szCs w:val="20"/>
                <w:color w:val="auto"/>
              </w:rPr>
            </w:pPr>
          </w:p>
        </w:tc>
      </w:tr>
      <w:tr>
        <w:trPr>
          <w:trHeight w:val="648"/>
        </w:trPr>
        <w:tc>
          <w:tcPr>
            <w:tcW w:w="3600" w:type="dxa"/>
            <w:vAlign w:val="bottom"/>
          </w:tcPr>
          <w:p>
            <w:pPr>
              <w:spacing w:after="0"/>
              <w:rPr>
                <w:sz w:val="20"/>
                <w:szCs w:val="20"/>
                <w:color w:val="auto"/>
              </w:rPr>
            </w:pPr>
            <w:r>
              <w:rPr>
                <w:rFonts w:ascii="Arial" w:cs="Arial" w:eastAsia="Arial" w:hAnsi="Arial"/>
                <w:sz w:val="18"/>
                <w:szCs w:val="18"/>
                <w:color w:val="auto"/>
              </w:rPr>
              <w:t>Date: August 27, 2015</w:t>
            </w:r>
          </w:p>
        </w:tc>
        <w:tc>
          <w:tcPr>
            <w:tcW w:w="6260" w:type="dxa"/>
            <w:vAlign w:val="bottom"/>
            <w:gridSpan w:val="2"/>
          </w:tcPr>
          <w:p>
            <w:pPr>
              <w:ind w:left="1980"/>
              <w:spacing w:after="0"/>
              <w:rPr>
                <w:sz w:val="20"/>
                <w:szCs w:val="20"/>
                <w:color w:val="auto"/>
              </w:rPr>
            </w:pPr>
            <w:r>
              <w:rPr>
                <w:rFonts w:ascii="Arial" w:cs="Arial" w:eastAsia="Arial" w:hAnsi="Arial"/>
                <w:sz w:val="18"/>
                <w:szCs w:val="18"/>
                <w:color w:val="auto"/>
              </w:rPr>
              <w:t>By: /s/ Frank C. Steininger</w:t>
            </w:r>
          </w:p>
        </w:tc>
        <w:tc>
          <w:tcPr>
            <w:tcW w:w="1600" w:type="dxa"/>
            <w:vAlign w:val="bottom"/>
          </w:tcPr>
          <w:p>
            <w:pPr>
              <w:spacing w:after="0"/>
              <w:rPr>
                <w:sz w:val="24"/>
                <w:szCs w:val="24"/>
                <w:color w:val="auto"/>
              </w:rPr>
            </w:pPr>
          </w:p>
        </w:tc>
      </w:tr>
      <w:tr>
        <w:trPr>
          <w:trHeight w:val="195"/>
        </w:trPr>
        <w:tc>
          <w:tcPr>
            <w:tcW w:w="36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Frank C. Steininger</w:t>
            </w:r>
          </w:p>
        </w:tc>
        <w:tc>
          <w:tcPr>
            <w:tcW w:w="1600" w:type="dxa"/>
            <w:vAlign w:val="bottom"/>
          </w:tcPr>
          <w:p>
            <w:pPr>
              <w:spacing w:after="0"/>
              <w:rPr>
                <w:sz w:val="16"/>
                <w:szCs w:val="16"/>
                <w:color w:val="auto"/>
              </w:rPr>
            </w:pPr>
          </w:p>
        </w:tc>
      </w:tr>
      <w:tr>
        <w:trPr>
          <w:trHeight w:val="216"/>
        </w:trPr>
        <w:tc>
          <w:tcPr>
            <w:tcW w:w="36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Senior Vice President, Chief Financial Officer and</w:t>
            </w:r>
          </w:p>
        </w:tc>
        <w:tc>
          <w:tcPr>
            <w:tcW w:w="1600" w:type="dxa"/>
            <w:vAlign w:val="bottom"/>
          </w:tcPr>
          <w:p>
            <w:pPr>
              <w:spacing w:after="0"/>
              <w:rPr>
                <w:sz w:val="18"/>
                <w:szCs w:val="18"/>
                <w:color w:val="auto"/>
              </w:rPr>
            </w:pPr>
          </w:p>
        </w:tc>
      </w:tr>
      <w:tr>
        <w:trPr>
          <w:trHeight w:val="230"/>
        </w:trPr>
        <w:tc>
          <w:tcPr>
            <w:tcW w:w="36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Treasurer</w:t>
            </w:r>
          </w:p>
        </w:tc>
        <w:tc>
          <w:tcPr>
            <w:tcW w:w="1600" w:type="dxa"/>
            <w:vAlign w:val="bottom"/>
          </w:tcPr>
          <w:p>
            <w:pPr>
              <w:spacing w:after="0"/>
              <w:rPr>
                <w:sz w:val="20"/>
                <w:szCs w:val="20"/>
                <w:color w:val="auto"/>
              </w:rPr>
            </w:pPr>
          </w:p>
        </w:tc>
      </w:tr>
      <w:tr>
        <w:trPr>
          <w:trHeight w:val="996"/>
        </w:trPr>
        <w:tc>
          <w:tcPr>
            <w:tcW w:w="3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61"/>
        </w:trPr>
        <w:tc>
          <w:tcPr>
            <w:tcW w:w="3600" w:type="dxa"/>
            <w:vAlign w:val="bottom"/>
            <w:shd w:val="clear" w:color="auto" w:fill="808080"/>
          </w:tcPr>
          <w:p>
            <w:pPr>
              <w:spacing w:after="0"/>
              <w:rPr>
                <w:sz w:val="5"/>
                <w:szCs w:val="5"/>
                <w:color w:val="auto"/>
              </w:rPr>
            </w:pPr>
          </w:p>
        </w:tc>
        <w:tc>
          <w:tcPr>
            <w:tcW w:w="2280" w:type="dxa"/>
            <w:vAlign w:val="bottom"/>
            <w:shd w:val="clear" w:color="auto" w:fill="808080"/>
          </w:tcPr>
          <w:p>
            <w:pPr>
              <w:spacing w:after="0"/>
              <w:rPr>
                <w:sz w:val="5"/>
                <w:szCs w:val="5"/>
                <w:color w:val="auto"/>
              </w:rPr>
            </w:pPr>
          </w:p>
        </w:tc>
        <w:tc>
          <w:tcPr>
            <w:tcW w:w="398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20" w:type="dxa"/>
            <w:vAlign w:val="bottom"/>
          </w:tcPr>
          <w:p>
            <w:pPr>
              <w:ind w:left="3200"/>
              <w:spacing w:after="0"/>
              <w:rPr>
                <w:sz w:val="20"/>
                <w:szCs w:val="20"/>
                <w:color w:val="auto"/>
              </w:rPr>
            </w:pPr>
            <w:r>
              <w:rPr>
                <w:rFonts w:ascii="Arial" w:cs="Arial" w:eastAsia="Arial" w:hAnsi="Arial"/>
                <w:sz w:val="18"/>
                <w:szCs w:val="18"/>
                <w:b w:val="1"/>
                <w:bCs w:val="1"/>
                <w:color w:val="auto"/>
              </w:rPr>
              <w:t>INDEX TO EXHIBITS</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EXHIBIT</w:t>
            </w:r>
          </w:p>
        </w:tc>
        <w:tc>
          <w:tcPr>
            <w:tcW w:w="720" w:type="dxa"/>
            <w:vAlign w:val="bottom"/>
          </w:tcPr>
          <w:p>
            <w:pPr>
              <w:spacing w:after="0"/>
              <w:rPr>
                <w:sz w:val="24"/>
                <w:szCs w:val="24"/>
                <w:color w:val="auto"/>
              </w:rPr>
            </w:pPr>
          </w:p>
        </w:tc>
        <w:tc>
          <w:tcPr>
            <w:tcW w:w="9820" w:type="dxa"/>
            <w:vAlign w:val="bottom"/>
          </w:tcPr>
          <w:p>
            <w:pPr>
              <w:spacing w:after="0"/>
              <w:rPr>
                <w:sz w:val="24"/>
                <w:szCs w:val="24"/>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NUMBER</w:t>
            </w:r>
          </w:p>
        </w:tc>
        <w:tc>
          <w:tcPr>
            <w:tcW w:w="10540" w:type="dxa"/>
            <w:vAlign w:val="bottom"/>
            <w:gridSpan w:val="2"/>
          </w:tcPr>
          <w:p>
            <w:pPr>
              <w:ind w:left="720"/>
              <w:spacing w:after="0"/>
              <w:rPr>
                <w:sz w:val="20"/>
                <w:szCs w:val="20"/>
                <w:color w:val="auto"/>
              </w:rPr>
            </w:pPr>
            <w:r>
              <w:rPr>
                <w:rFonts w:ascii="Arial" w:cs="Arial" w:eastAsia="Arial" w:hAnsi="Arial"/>
                <w:sz w:val="18"/>
                <w:szCs w:val="18"/>
                <w:color w:val="auto"/>
              </w:rPr>
              <w:t>DESCRIPTION</w:t>
            </w:r>
          </w:p>
        </w:tc>
      </w:tr>
      <w:tr>
        <w:trPr>
          <w:trHeight w:val="195"/>
        </w:trPr>
        <w:tc>
          <w:tcPr>
            <w:tcW w:w="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10.1</w:t>
            </w:r>
          </w:p>
        </w:tc>
        <w:tc>
          <w:tcPr>
            <w:tcW w:w="720" w:type="dxa"/>
            <w:vAlign w:val="bottom"/>
          </w:tcPr>
          <w:p>
            <w:pPr>
              <w:spacing w:after="0"/>
              <w:rPr>
                <w:sz w:val="16"/>
                <w:szCs w:val="16"/>
                <w:color w:val="auto"/>
              </w:rPr>
            </w:pPr>
          </w:p>
        </w:tc>
        <w:tc>
          <w:tcPr>
            <w:tcW w:w="9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Executive Agreement between Civeo Corporation and Peter McCann, dated August 17, 2015.</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10.2</w:t>
            </w:r>
          </w:p>
        </w:tc>
        <w:tc>
          <w:tcPr>
            <w:tcW w:w="10540" w:type="dxa"/>
            <w:vAlign w:val="bottom"/>
            <w:gridSpan w:val="2"/>
          </w:tcPr>
          <w:p>
            <w:pPr>
              <w:ind w:left="720"/>
              <w:spacing w:after="0"/>
              <w:rPr>
                <w:sz w:val="20"/>
                <w:szCs w:val="20"/>
                <w:color w:val="auto"/>
              </w:rPr>
            </w:pPr>
            <w:r>
              <w:rPr>
                <w:rFonts w:ascii="Arial" w:cs="Arial" w:eastAsia="Arial" w:hAnsi="Arial"/>
                <w:sz w:val="18"/>
                <w:szCs w:val="18"/>
                <w:color w:val="auto"/>
              </w:rPr>
              <w:t>Variation to Executive Services Agreement between Civeo Pty Ltd and Peter McCann, dated August 17, 2015.</w:t>
            </w:r>
          </w:p>
        </w:tc>
      </w:tr>
    </w:tbl>
    <w:p>
      <w:pPr>
        <w:sectPr>
          <w:pgSz w:w="11900" w:h="16838" w:orient="portrait"/>
          <w:cols w:equalWidth="0" w:num="1">
            <w:col w:w="11420"/>
          </w:cols>
          <w:pgMar w:left="240" w:top="580"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6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r>
      <w:tr>
        <w:trPr>
          <w:trHeight w:val="432"/>
        </w:trPr>
        <w:tc>
          <w:tcPr>
            <w:tcW w:w="11420" w:type="dxa"/>
            <w:vAlign w:val="bottom"/>
            <w:gridSpan w:val="4"/>
          </w:tcPr>
          <w:p>
            <w:pPr>
              <w:jc w:val="right"/>
              <w:ind w:right="4470"/>
              <w:spacing w:after="0"/>
              <w:rPr>
                <w:sz w:val="20"/>
                <w:szCs w:val="20"/>
                <w:color w:val="auto"/>
              </w:rPr>
            </w:pPr>
            <w:r>
              <w:rPr>
                <w:rFonts w:ascii="Arial" w:cs="Arial" w:eastAsia="Arial" w:hAnsi="Arial"/>
                <w:sz w:val="18"/>
                <w:szCs w:val="18"/>
                <w:b w:val="1"/>
                <w:bCs w:val="1"/>
                <w:color w:val="auto"/>
              </w:rPr>
              <w:t>EXECUTIVE AGREEMENT</w:t>
            </w:r>
          </w:p>
        </w:tc>
      </w:tr>
      <w:tr>
        <w:trPr>
          <w:trHeight w:val="418"/>
        </w:trPr>
        <w:tc>
          <w:tcPr>
            <w:tcW w:w="4680" w:type="dxa"/>
            <w:vAlign w:val="bottom"/>
          </w:tcPr>
          <w:p>
            <w:pPr>
              <w:ind w:left="660"/>
              <w:spacing w:after="0"/>
              <w:rPr>
                <w:sz w:val="20"/>
                <w:szCs w:val="20"/>
                <w:color w:val="auto"/>
              </w:rPr>
            </w:pPr>
            <w:r>
              <w:rPr>
                <w:rFonts w:ascii="Arial" w:cs="Arial" w:eastAsia="Arial" w:hAnsi="Arial"/>
                <w:sz w:val="18"/>
                <w:szCs w:val="18"/>
                <w:color w:val="auto"/>
                <w:w w:val="98"/>
              </w:rPr>
              <w:t>This Executive Agreement (“</w:t>
            </w:r>
            <w:r>
              <w:rPr>
                <w:rFonts w:ascii="Arial" w:cs="Arial" w:eastAsia="Arial" w:hAnsi="Arial"/>
                <w:sz w:val="18"/>
                <w:szCs w:val="18"/>
                <w:b w:val="1"/>
                <w:bCs w:val="1"/>
                <w:i w:val="1"/>
                <w:iCs w:val="1"/>
                <w:color w:val="auto"/>
                <w:w w:val="98"/>
              </w:rPr>
              <w:t>Agreement</w:t>
            </w:r>
            <w:r>
              <w:rPr>
                <w:rFonts w:ascii="Arial" w:cs="Arial" w:eastAsia="Arial" w:hAnsi="Arial"/>
                <w:sz w:val="18"/>
                <w:szCs w:val="18"/>
                <w:color w:val="auto"/>
                <w:w w:val="98"/>
              </w:rPr>
              <w:t>”) between</w:t>
            </w:r>
          </w:p>
        </w:tc>
        <w:tc>
          <w:tcPr>
            <w:tcW w:w="1500" w:type="dxa"/>
            <w:vAlign w:val="bottom"/>
          </w:tcPr>
          <w:p>
            <w:pPr>
              <w:spacing w:after="0"/>
              <w:rPr>
                <w:sz w:val="20"/>
                <w:szCs w:val="20"/>
                <w:color w:val="auto"/>
              </w:rPr>
            </w:pPr>
            <w:r>
              <w:rPr>
                <w:rFonts w:ascii="Arial" w:cs="Arial" w:eastAsia="Arial" w:hAnsi="Arial"/>
                <w:sz w:val="18"/>
                <w:szCs w:val="18"/>
                <w:color w:val="auto"/>
                <w:w w:val="98"/>
              </w:rPr>
              <w:t>Civeo Corporation,</w:t>
            </w: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w w:val="99"/>
              </w:rPr>
              <w:t>a Canadian corporation (the “</w:t>
            </w:r>
            <w:r>
              <w:rPr>
                <w:rFonts w:ascii="Arial" w:cs="Arial" w:eastAsia="Arial" w:hAnsi="Arial"/>
                <w:sz w:val="18"/>
                <w:szCs w:val="18"/>
                <w:b w:val="1"/>
                <w:bCs w:val="1"/>
                <w:i w:val="1"/>
                <w:iCs w:val="1"/>
                <w:color w:val="auto"/>
                <w:w w:val="99"/>
              </w:rPr>
              <w:t>Company</w:t>
            </w:r>
            <w:r>
              <w:rPr>
                <w:rFonts w:ascii="Arial" w:cs="Arial" w:eastAsia="Arial" w:hAnsi="Arial"/>
                <w:sz w:val="18"/>
                <w:szCs w:val="18"/>
                <w:color w:val="auto"/>
                <w:w w:val="99"/>
              </w:rPr>
              <w:t>”), and Peter McCann (the</w:t>
            </w:r>
          </w:p>
        </w:tc>
      </w:tr>
      <w:tr>
        <w:trPr>
          <w:trHeight w:val="190"/>
        </w:trPr>
        <w:tc>
          <w:tcPr>
            <w:tcW w:w="4680" w:type="dxa"/>
            <w:vAlign w:val="bottom"/>
          </w:tcPr>
          <w:p>
            <w:pPr>
              <w:spacing w:after="0" w:line="190" w:lineRule="exact"/>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i w:val="1"/>
                <w:iCs w:val="1"/>
                <w:color w:val="auto"/>
                <w:w w:val="91"/>
              </w:rPr>
              <w:t>Executive</w:t>
            </w:r>
            <w:r>
              <w:rPr>
                <w:rFonts w:ascii="Arial" w:cs="Arial" w:eastAsia="Arial" w:hAnsi="Arial"/>
                <w:sz w:val="18"/>
                <w:szCs w:val="18"/>
                <w:color w:val="auto"/>
                <w:w w:val="91"/>
              </w:rPr>
              <w:t>”) is made and entered into effective as of the date of</w:t>
            </w:r>
          </w:p>
        </w:tc>
        <w:tc>
          <w:tcPr>
            <w:tcW w:w="1500" w:type="dxa"/>
            <w:vAlign w:val="bottom"/>
            <w:tcBorders>
              <w:bottom w:val="single" w:sz="8" w:color="auto"/>
            </w:tcBorders>
          </w:tcPr>
          <w:p>
            <w:pPr>
              <w:ind w:left="200"/>
              <w:spacing w:after="0" w:line="190" w:lineRule="exact"/>
              <w:rPr>
                <w:sz w:val="20"/>
                <w:szCs w:val="20"/>
                <w:color w:val="auto"/>
              </w:rPr>
            </w:pPr>
            <w:r>
              <w:rPr>
                <w:rFonts w:ascii="Arial" w:cs="Arial" w:eastAsia="Arial" w:hAnsi="Arial"/>
                <w:sz w:val="18"/>
                <w:szCs w:val="18"/>
                <w:color w:val="auto"/>
                <w:w w:val="97"/>
              </w:rPr>
              <w:t>August 17, 2015</w:t>
            </w:r>
          </w:p>
        </w:tc>
        <w:tc>
          <w:tcPr>
            <w:tcW w:w="580" w:type="dxa"/>
            <w:vAlign w:val="bottom"/>
            <w:tcBorders>
              <w:bottom w:val="single" w:sz="8" w:color="auto"/>
            </w:tcBorders>
          </w:tcPr>
          <w:p>
            <w:pPr>
              <w:spacing w:after="0"/>
              <w:rPr>
                <w:sz w:val="16"/>
                <w:szCs w:val="16"/>
                <w:color w:val="auto"/>
              </w:rPr>
            </w:pPr>
          </w:p>
        </w:tc>
        <w:tc>
          <w:tcPr>
            <w:tcW w:w="4660" w:type="dxa"/>
            <w:vAlign w:val="bottom"/>
          </w:tcPr>
          <w:p>
            <w:pPr>
              <w:jc w:val="right"/>
              <w:ind w:right="2890"/>
              <w:spacing w:after="0" w:line="190" w:lineRule="exact"/>
              <w:rPr>
                <w:sz w:val="20"/>
                <w:szCs w:val="20"/>
                <w:color w:val="auto"/>
              </w:rPr>
            </w:pPr>
            <w:r>
              <w:rPr>
                <w:rFonts w:ascii="Arial" w:cs="Arial" w:eastAsia="Arial" w:hAnsi="Arial"/>
                <w:sz w:val="18"/>
                <w:szCs w:val="18"/>
                <w:color w:val="auto"/>
                <w:w w:val="93"/>
              </w:rPr>
              <w:t>(the “</w:t>
            </w:r>
            <w:r>
              <w:rPr>
                <w:rFonts w:ascii="Arial" w:cs="Arial" w:eastAsia="Arial" w:hAnsi="Arial"/>
                <w:sz w:val="18"/>
                <w:szCs w:val="18"/>
                <w:b w:val="1"/>
                <w:bCs w:val="1"/>
                <w:i w:val="1"/>
                <w:iCs w:val="1"/>
                <w:color w:val="auto"/>
                <w:w w:val="93"/>
              </w:rPr>
              <w:t>Effective Date</w:t>
            </w:r>
            <w:r>
              <w:rPr>
                <w:rFonts w:ascii="Arial" w:cs="Arial" w:eastAsia="Arial" w:hAnsi="Arial"/>
                <w:sz w:val="18"/>
                <w:szCs w:val="18"/>
                <w:color w:val="auto"/>
                <w:w w:val="93"/>
              </w:rPr>
              <w:t>”).</w:t>
            </w:r>
          </w:p>
        </w:tc>
      </w:tr>
    </w:tbl>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is a key executive of the Company or a subsidiary; and</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believes it to be in the best interests of its stockholders to attract, retain and motivate key executives and ensure</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continuity of management; and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in the best interest of the Company and its stockholders if the key executives can approach material business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decisions objectively and without concern for their personal situation; and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recognizes that the possibility of a Change of Control (as defined below) of the Company may result in the departure of</w:t>
      </w:r>
      <w:r>
        <w:rPr>
          <w:rFonts w:ascii="Arial" w:cs="Arial" w:eastAsia="Arial" w:hAnsi="Arial"/>
          <w:sz w:val="18"/>
          <w:szCs w:val="18"/>
          <w:b w:val="1"/>
          <w:bCs w:val="1"/>
          <w:color w:val="auto"/>
        </w:rPr>
        <w:t xml:space="preserve"> </w:t>
      </w:r>
      <w:r>
        <w:rPr>
          <w:rFonts w:ascii="Arial" w:cs="Arial" w:eastAsia="Arial" w:hAnsi="Arial"/>
          <w:sz w:val="18"/>
          <w:szCs w:val="18"/>
          <w:color w:val="auto"/>
        </w:rPr>
        <w:t>key executives to the detriment of the Company and its stockholders; and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the Company (the “Board”) has authorized this Agreement and certain similar agreements in order to retain</w:t>
      </w:r>
      <w:r>
        <w:rPr>
          <w:rFonts w:ascii="Arial" w:cs="Arial" w:eastAsia="Arial" w:hAnsi="Arial"/>
          <w:sz w:val="18"/>
          <w:szCs w:val="18"/>
          <w:b w:val="1"/>
          <w:bCs w:val="1"/>
          <w:color w:val="auto"/>
        </w:rPr>
        <w:t xml:space="preserve"> </w:t>
      </w:r>
      <w:r>
        <w:rPr>
          <w:rFonts w:ascii="Arial" w:cs="Arial" w:eastAsia="Arial" w:hAnsi="Arial"/>
          <w:sz w:val="18"/>
          <w:szCs w:val="18"/>
          <w:color w:val="auto"/>
        </w:rPr>
        <w:t>and motivate key management and to ensure continuity of key management;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THEREFORE</w:t>
      </w:r>
      <w:r>
        <w:rPr>
          <w:rFonts w:ascii="Arial" w:cs="Arial" w:eastAsia="Arial" w:hAnsi="Arial"/>
          <w:sz w:val="18"/>
          <w:szCs w:val="18"/>
          <w:color w:val="auto"/>
        </w:rPr>
        <w:t>, for good and valuable consideration, the receipt and sufficiency of which are hereby acknowledged, the Company and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162"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Term of Agreement</w:t>
      </w:r>
    </w:p>
    <w:p>
      <w:pPr>
        <w:spacing w:after="0" w:line="229" w:lineRule="exact"/>
        <w:rPr>
          <w:rFonts w:ascii="Arial" w:cs="Arial" w:eastAsia="Arial" w:hAnsi="Arial"/>
          <w:sz w:val="18"/>
          <w:szCs w:val="18"/>
          <w:b w:val="1"/>
          <w:bCs w:val="1"/>
          <w:color w:val="auto"/>
        </w:rPr>
      </w:pPr>
    </w:p>
    <w:p>
      <w:pPr>
        <w:jc w:val="both"/>
        <w:ind w:left="1300" w:hanging="725"/>
        <w:spacing w:after="0" w:line="257"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This Agreement shall commence on the Effective Date and, subject to the provisions for earlier termination in this Agreement, shall continue in effect through the third anniversary of the Effective Date; provided, however, commencing on the Effective Date and on each day thereafter, the term of this Agreement shall automatically be extended for one additional day unless the Board shall give written notice to Executive that the term shall cease to be so extended in which event the Agreement shall terminate on the third anniversary of the date such notice is given.</w:t>
      </w:r>
    </w:p>
    <w:p>
      <w:pPr>
        <w:spacing w:after="0" w:line="188" w:lineRule="exact"/>
        <w:rPr>
          <w:rFonts w:ascii="Arial" w:cs="Arial" w:eastAsia="Arial" w:hAnsi="Arial"/>
          <w:sz w:val="18"/>
          <w:szCs w:val="18"/>
          <w:color w:val="auto"/>
        </w:rPr>
      </w:pPr>
    </w:p>
    <w:p>
      <w:pPr>
        <w:ind w:left="1300" w:right="20" w:hanging="725"/>
        <w:spacing w:after="0" w:line="277"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this Agreement, if in effect on the date of a Change of Control, shall automatically be extended for the 24-month period following the Change of Control.</w:t>
      </w:r>
    </w:p>
    <w:p>
      <w:pPr>
        <w:spacing w:after="0" w:line="170" w:lineRule="exact"/>
        <w:rPr>
          <w:rFonts w:ascii="Arial" w:cs="Arial" w:eastAsia="Arial" w:hAnsi="Arial"/>
          <w:sz w:val="18"/>
          <w:szCs w:val="18"/>
          <w:color w:val="auto"/>
        </w:rPr>
      </w:pPr>
    </w:p>
    <w:p>
      <w:pPr>
        <w:ind w:left="1300" w:hanging="725"/>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Termination of this Agreement shall not alter or impair any rights of Executive arising hereunder on or before such termination.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Certain Definitions</w:t>
      </w:r>
    </w:p>
    <w:p>
      <w:pPr>
        <w:spacing w:after="0" w:line="229" w:lineRule="exact"/>
        <w:rPr>
          <w:rFonts w:ascii="Arial" w:cs="Arial" w:eastAsia="Arial" w:hAnsi="Arial"/>
          <w:sz w:val="18"/>
          <w:szCs w:val="18"/>
          <w:b w:val="1"/>
          <w:bCs w:val="1"/>
          <w:color w:val="auto"/>
        </w:rPr>
      </w:pPr>
    </w:p>
    <w:p>
      <w:pPr>
        <w:ind w:left="1300" w:hanging="725"/>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shall mean:</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2"/>
          <w:numId w:val="3"/>
        </w:numPr>
        <w:rPr>
          <w:rFonts w:ascii="Arial" w:cs="Arial" w:eastAsia="Arial" w:hAnsi="Arial"/>
          <w:sz w:val="18"/>
          <w:szCs w:val="18"/>
          <w:color w:val="auto"/>
        </w:rPr>
      </w:pPr>
      <w:r>
        <w:rPr>
          <w:rFonts w:ascii="Arial" w:cs="Arial" w:eastAsia="Arial" w:hAnsi="Arial"/>
          <w:sz w:val="18"/>
          <w:szCs w:val="18"/>
          <w:color w:val="auto"/>
        </w:rPr>
        <w:t>Executive’s conviction of (or plea of nolo contendere to) a felony, dishonesty or a breach of trust;</w:t>
      </w:r>
    </w:p>
    <w:p>
      <w:pPr>
        <w:spacing w:after="0" w:line="225" w:lineRule="exact"/>
        <w:rPr>
          <w:rFonts w:ascii="Arial" w:cs="Arial" w:eastAsia="Arial" w:hAnsi="Arial"/>
          <w:sz w:val="18"/>
          <w:szCs w:val="18"/>
          <w:color w:val="auto"/>
        </w:rPr>
      </w:pPr>
    </w:p>
    <w:p>
      <w:pPr>
        <w:ind w:left="1780" w:hanging="475"/>
        <w:spacing w:after="0"/>
        <w:tabs>
          <w:tab w:leader="none" w:pos="1780" w:val="left"/>
        </w:tabs>
        <w:numPr>
          <w:ilvl w:val="2"/>
          <w:numId w:val="3"/>
        </w:numPr>
        <w:rPr>
          <w:rFonts w:ascii="Arial" w:cs="Arial" w:eastAsia="Arial" w:hAnsi="Arial"/>
          <w:sz w:val="16"/>
          <w:szCs w:val="16"/>
          <w:color w:val="auto"/>
        </w:rPr>
      </w:pPr>
      <w:r>
        <w:rPr>
          <w:rFonts w:ascii="Arial" w:cs="Arial" w:eastAsia="Arial" w:hAnsi="Arial"/>
          <w:sz w:val="16"/>
          <w:szCs w:val="16"/>
          <w:color w:val="auto"/>
        </w:rPr>
        <w:t>Executive’s commission of any act of theft, fraud, embezzlement or misappropriation regardless of whether a criminal conviction is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obtained;</w:t>
      </w:r>
    </w:p>
    <w:p>
      <w:pPr>
        <w:spacing w:after="0" w:line="210" w:lineRule="exact"/>
        <w:rPr>
          <w:rFonts w:ascii="Arial" w:cs="Arial" w:eastAsia="Arial" w:hAnsi="Arial"/>
          <w:sz w:val="16"/>
          <w:szCs w:val="16"/>
          <w:color w:val="auto"/>
        </w:rPr>
      </w:pPr>
    </w:p>
    <w:p>
      <w:pPr>
        <w:jc w:val="both"/>
        <w:ind w:left="660" w:firstLine="645"/>
        <w:spacing w:after="0" w:line="259" w:lineRule="auto"/>
        <w:tabs>
          <w:tab w:leader="none" w:pos="1857" w:val="left"/>
        </w:tabs>
        <w:numPr>
          <w:ilvl w:val="2"/>
          <w:numId w:val="3"/>
        </w:numPr>
        <w:rPr>
          <w:rFonts w:ascii="Arial" w:cs="Arial" w:eastAsia="Arial" w:hAnsi="Arial"/>
          <w:sz w:val="18"/>
          <w:szCs w:val="18"/>
          <w:color w:val="auto"/>
        </w:rPr>
      </w:pPr>
      <w:r>
        <w:rPr>
          <w:rFonts w:ascii="Arial" w:cs="Arial" w:eastAsia="Arial" w:hAnsi="Arial"/>
          <w:sz w:val="18"/>
          <w:szCs w:val="18"/>
          <w:color w:val="auto"/>
        </w:rPr>
        <w:t>Executive’s continued failure to devote substantially all of his business time to the Company’s business affairs (excluding failures due to illness, incapacity, vacations, incidental civic activities and incidental personal time) which failure is not remedied within a reasonable time after written demand is delivered by the Company, which demand identifies the manner in which the Company believes that Executive has failed to devote substantially all of his business time to the Company’s business affairs; or</w:t>
      </w:r>
    </w:p>
    <w:p>
      <w:pPr>
        <w:spacing w:after="0" w:line="186" w:lineRule="exact"/>
        <w:rPr>
          <w:rFonts w:ascii="Arial" w:cs="Arial" w:eastAsia="Arial" w:hAnsi="Arial"/>
          <w:sz w:val="18"/>
          <w:szCs w:val="18"/>
          <w:color w:val="auto"/>
        </w:rPr>
      </w:pPr>
    </w:p>
    <w:p>
      <w:pPr>
        <w:ind w:left="1780" w:hanging="475"/>
        <w:spacing w:after="0"/>
        <w:tabs>
          <w:tab w:leader="none" w:pos="1780" w:val="left"/>
        </w:tabs>
        <w:numPr>
          <w:ilvl w:val="2"/>
          <w:numId w:val="3"/>
        </w:numPr>
        <w:rPr>
          <w:rFonts w:ascii="Arial" w:cs="Arial" w:eastAsia="Arial" w:hAnsi="Arial"/>
          <w:sz w:val="18"/>
          <w:szCs w:val="18"/>
          <w:color w:val="auto"/>
        </w:rPr>
      </w:pPr>
      <w:r>
        <w:rPr>
          <w:rFonts w:ascii="Arial" w:cs="Arial" w:eastAsia="Arial" w:hAnsi="Arial"/>
          <w:sz w:val="18"/>
          <w:szCs w:val="18"/>
          <w:color w:val="auto"/>
        </w:rPr>
        <w:t>Executive’s unauthorized disclosure of confidential information of the Company.</w:t>
      </w:r>
    </w:p>
    <w:p>
      <w:pPr>
        <w:spacing w:after="0" w:line="225" w:lineRule="exact"/>
        <w:rPr>
          <w:rFonts w:ascii="Arial" w:cs="Arial" w:eastAsia="Arial" w:hAnsi="Arial"/>
          <w:sz w:val="18"/>
          <w:szCs w:val="18"/>
          <w:color w:val="auto"/>
        </w:rPr>
      </w:pPr>
    </w:p>
    <w:p>
      <w:pPr>
        <w:ind w:left="1300" w:hanging="725"/>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shall mean any of the following:</w:t>
      </w:r>
    </w:p>
    <w:p>
      <w:pPr>
        <w:spacing w:after="0" w:line="225" w:lineRule="exact"/>
        <w:rPr>
          <w:rFonts w:ascii="Arial" w:cs="Arial" w:eastAsia="Arial" w:hAnsi="Arial"/>
          <w:sz w:val="18"/>
          <w:szCs w:val="18"/>
          <w:color w:val="auto"/>
        </w:rPr>
      </w:pPr>
    </w:p>
    <w:p>
      <w:pPr>
        <w:jc w:val="both"/>
        <w:ind w:left="660" w:firstLine="645"/>
        <w:spacing w:after="0" w:line="291" w:lineRule="auto"/>
        <w:tabs>
          <w:tab w:leader="none" w:pos="1744" w:val="left"/>
        </w:tabs>
        <w:numPr>
          <w:ilvl w:val="2"/>
          <w:numId w:val="3"/>
        </w:numPr>
        <w:rPr>
          <w:rFonts w:ascii="Arial" w:cs="Arial" w:eastAsia="Arial" w:hAnsi="Arial"/>
          <w:sz w:val="16"/>
          <w:szCs w:val="16"/>
          <w:color w:val="auto"/>
        </w:rPr>
      </w:pPr>
      <w:r>
        <w:rPr>
          <w:rFonts w:ascii="Arial" w:cs="Arial" w:eastAsia="Arial" w:hAnsi="Arial"/>
          <w:sz w:val="16"/>
          <w:szCs w:val="16"/>
          <w:color w:val="auto"/>
        </w:rPr>
        <w:t>any “person” (as such term is used in Section 13(d) and 14(d) of the Securities Exchange Act of 1934, as amended (the “</w:t>
      </w:r>
      <w:r>
        <w:rPr>
          <w:rFonts w:ascii="Arial" w:cs="Arial" w:eastAsia="Arial" w:hAnsi="Arial"/>
          <w:sz w:val="16"/>
          <w:szCs w:val="16"/>
          <w:b w:val="1"/>
          <w:bCs w:val="1"/>
          <w:i w:val="1"/>
          <w:iCs w:val="1"/>
          <w:color w:val="auto"/>
        </w:rPr>
        <w:t>Exchange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(other than a trustee or other fiduciary holding securities under an employee benefit plan of the Company or any affiliate, or any corporation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owned, directly or indirectly, by the stockholders of the Company in substantially the same proportions as their ownership of stock of the Company), acquires “beneficial ownership” (within the meaning of Rule 13d-3 under the Exchange Act) of securities of the Company representing 35% or more of the combined voting power of the Company’s then outstanding securities; provided, however, that if the Company engages in a merger or consolidation in which the Company or surviving entity in such merger or consolidation becomes a subsidiary of another entity, then references to the Company’s then outstanding securities shall be deemed to refer to the outstanding securities of such parent entity;</w:t>
      </w:r>
    </w:p>
    <w:p>
      <w:pPr>
        <w:spacing w:after="0" w:line="167" w:lineRule="exact"/>
        <w:rPr>
          <w:rFonts w:ascii="Arial" w:cs="Arial" w:eastAsia="Arial" w:hAnsi="Arial"/>
          <w:sz w:val="16"/>
          <w:szCs w:val="16"/>
          <w:color w:val="auto"/>
        </w:rPr>
      </w:pPr>
    </w:p>
    <w:p>
      <w:pPr>
        <w:jc w:val="both"/>
        <w:ind w:left="660" w:firstLine="645"/>
        <w:spacing w:after="0" w:line="255" w:lineRule="auto"/>
        <w:tabs>
          <w:tab w:leader="none" w:pos="1861" w:val="left"/>
        </w:tabs>
        <w:numPr>
          <w:ilvl w:val="2"/>
          <w:numId w:val="3"/>
        </w:numPr>
        <w:rPr>
          <w:rFonts w:ascii="Arial" w:cs="Arial" w:eastAsia="Arial" w:hAnsi="Arial"/>
          <w:sz w:val="18"/>
          <w:szCs w:val="18"/>
          <w:color w:val="auto"/>
        </w:rPr>
      </w:pPr>
      <w:r>
        <w:rPr>
          <w:rFonts w:ascii="Arial" w:cs="Arial" w:eastAsia="Arial" w:hAnsi="Arial"/>
          <w:sz w:val="18"/>
          <w:szCs w:val="18"/>
          <w:color w:val="auto"/>
        </w:rPr>
        <w:t>a change in the composition of the Board, as a result of which fewer than a majority of the directors are Incumbent Directors. “</w:t>
      </w:r>
      <w:r>
        <w:rPr>
          <w:rFonts w:ascii="Arial" w:cs="Arial" w:eastAsia="Arial" w:hAnsi="Arial"/>
          <w:sz w:val="18"/>
          <w:szCs w:val="18"/>
          <w:b w:val="1"/>
          <w:bCs w:val="1"/>
          <w:i w:val="1"/>
          <w:iCs w:val="1"/>
          <w:color w:val="auto"/>
        </w:rPr>
        <w:t>Incumbent Directors</w:t>
      </w:r>
      <w:r>
        <w:rPr>
          <w:rFonts w:ascii="Arial" w:cs="Arial" w:eastAsia="Arial" w:hAnsi="Arial"/>
          <w:sz w:val="18"/>
          <w:szCs w:val="18"/>
          <w:color w:val="auto"/>
        </w:rPr>
        <w:t>” shall mean directors who either (i) are directors of the Company as of the Effective Date, or (ii) are elected, or nominated for election, to the Board with the affirmative votes of at least two-thirds of the Incumbent Directors at the time of such election or nomination, but Incumbent Director shall not include an individual whose election or nomination occurs as a result of either (1) an actual or threatened election contest (as such terms are used in Rule 14a-11 of Regulation 14A promulgated under the Exchange Act) or (2) an actual or threatened solicitation of proxies or consents by or on behalf of a person other than the Board;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jc w:val="both"/>
        <w:ind w:left="660" w:firstLine="645"/>
        <w:spacing w:after="0" w:line="276" w:lineRule="auto"/>
        <w:tabs>
          <w:tab w:leader="none" w:pos="1871"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if the surviving entity is or shall become a subsidiary of another entity, then such parent entity)) more than 50% of the combined voting power of the voting securities of the Company (or such surviving entity or parent entity, as the case may be) outstanding immediately after such merger or consolidation;</w:t>
      </w:r>
    </w:p>
    <w:p>
      <w:pPr>
        <w:spacing w:after="0" w:line="172" w:lineRule="exact"/>
        <w:rPr>
          <w:rFonts w:ascii="Arial" w:cs="Arial" w:eastAsia="Arial" w:hAnsi="Arial"/>
          <w:sz w:val="17"/>
          <w:szCs w:val="17"/>
          <w:color w:val="auto"/>
        </w:rPr>
      </w:pPr>
    </w:p>
    <w:p>
      <w:pPr>
        <w:ind w:left="1780" w:hanging="475"/>
        <w:spacing w:after="0"/>
        <w:tabs>
          <w:tab w:leader="none" w:pos="17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complete liquidation of the Company; or</w:t>
      </w:r>
    </w:p>
    <w:p>
      <w:pPr>
        <w:spacing w:after="0" w:line="225" w:lineRule="exact"/>
        <w:rPr>
          <w:rFonts w:ascii="Arial" w:cs="Arial" w:eastAsia="Arial" w:hAnsi="Arial"/>
          <w:sz w:val="18"/>
          <w:szCs w:val="18"/>
          <w:color w:val="auto"/>
        </w:rPr>
      </w:pPr>
    </w:p>
    <w:p>
      <w:pPr>
        <w:ind w:left="660" w:firstLine="645"/>
        <w:spacing w:after="0" w:line="277" w:lineRule="auto"/>
        <w:tabs>
          <w:tab w:leader="none" w:pos="1811"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sale or disposition (other than a pledge or similar encumbrance) by the Company of all or substantially all of the assets of the Company other than to a subsidiary or subsidiaries of the Company.</w:t>
      </w:r>
    </w:p>
    <w:p>
      <w:pPr>
        <w:spacing w:after="0" w:line="170" w:lineRule="exact"/>
        <w:rPr>
          <w:rFonts w:ascii="Arial" w:cs="Arial" w:eastAsia="Arial" w:hAnsi="Arial"/>
          <w:sz w:val="18"/>
          <w:szCs w:val="18"/>
          <w:color w:val="auto"/>
        </w:rPr>
      </w:pPr>
    </w:p>
    <w:p>
      <w:pPr>
        <w:jc w:val="both"/>
        <w:ind w:left="1300" w:hanging="725"/>
        <w:spacing w:after="0" w:line="312"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Date of Termination</w:t>
      </w:r>
      <w:r>
        <w:rPr>
          <w:rFonts w:ascii="Arial" w:cs="Arial" w:eastAsia="Arial" w:hAnsi="Arial"/>
          <w:sz w:val="16"/>
          <w:szCs w:val="16"/>
          <w:color w:val="auto"/>
        </w:rPr>
        <w:t>” shall mean the date the Notice of Termination is given unless such Notice of Termination is by Executive in which event the Date of Termination shall not be less than 30 days following the date the Notice of Termination is given. Further, a Notice of Termination given by Executive due to a Good Reason event that is corrected by the Company before the Date of Termination shall be void.</w:t>
      </w:r>
    </w:p>
    <w:p>
      <w:pPr>
        <w:spacing w:after="0" w:line="146" w:lineRule="exact"/>
        <w:rPr>
          <w:rFonts w:ascii="Arial" w:cs="Arial" w:eastAsia="Arial" w:hAnsi="Arial"/>
          <w:sz w:val="16"/>
          <w:szCs w:val="16"/>
          <w:color w:val="auto"/>
        </w:rPr>
      </w:pPr>
    </w:p>
    <w:p>
      <w:pPr>
        <w:ind w:left="1300" w:hanging="725"/>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shall mean:</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1703" w:val="left"/>
        </w:tabs>
        <w:numPr>
          <w:ilvl w:val="1"/>
          <w:numId w:val="5"/>
        </w:numPr>
        <w:rPr>
          <w:rFonts w:ascii="Arial" w:cs="Arial" w:eastAsia="Arial" w:hAnsi="Arial"/>
          <w:sz w:val="18"/>
          <w:szCs w:val="18"/>
          <w:color w:val="auto"/>
        </w:rPr>
      </w:pPr>
      <w:r>
        <w:rPr>
          <w:rFonts w:ascii="Arial" w:cs="Arial" w:eastAsia="Arial" w:hAnsi="Arial"/>
          <w:sz w:val="18"/>
          <w:szCs w:val="18"/>
          <w:color w:val="auto"/>
        </w:rPr>
        <w:t>a material reduction in Executive’s authority, duties or responsibilities from those in effect immediately prior to the Change of Control or the assignment to Executive duties or responsibilities materially inconsistent with those of Executive in effect immediately prior to the Change of Control;</w:t>
      </w:r>
    </w:p>
    <w:p>
      <w:pPr>
        <w:spacing w:after="0" w:line="181" w:lineRule="exact"/>
        <w:rPr>
          <w:rFonts w:ascii="Arial" w:cs="Arial" w:eastAsia="Arial" w:hAnsi="Arial"/>
          <w:sz w:val="18"/>
          <w:szCs w:val="18"/>
          <w:color w:val="auto"/>
        </w:rPr>
      </w:pPr>
    </w:p>
    <w:p>
      <w:pPr>
        <w:ind w:left="660" w:right="20" w:firstLine="645"/>
        <w:spacing w:after="0" w:line="277" w:lineRule="auto"/>
        <w:tabs>
          <w:tab w:leader="none" w:pos="1807" w:val="left"/>
        </w:tabs>
        <w:numPr>
          <w:ilvl w:val="1"/>
          <w:numId w:val="5"/>
        </w:numPr>
        <w:rPr>
          <w:rFonts w:ascii="Arial" w:cs="Arial" w:eastAsia="Arial" w:hAnsi="Arial"/>
          <w:sz w:val="18"/>
          <w:szCs w:val="18"/>
          <w:color w:val="auto"/>
        </w:rPr>
      </w:pPr>
      <w:r>
        <w:rPr>
          <w:rFonts w:ascii="Arial" w:cs="Arial" w:eastAsia="Arial" w:hAnsi="Arial"/>
          <w:sz w:val="18"/>
          <w:szCs w:val="18"/>
          <w:color w:val="auto"/>
        </w:rPr>
        <w:t>a material reduction of Executive’s compensation and benefits, including, without limitation, annual base salary, annual bonus, and equity incentive opportunities from those in effect immediately prior to the Change of Control;</w:t>
      </w:r>
    </w:p>
    <w:p>
      <w:pPr>
        <w:spacing w:after="0" w:line="170" w:lineRule="exact"/>
        <w:rPr>
          <w:rFonts w:ascii="Arial" w:cs="Arial" w:eastAsia="Arial" w:hAnsi="Arial"/>
          <w:sz w:val="18"/>
          <w:szCs w:val="18"/>
          <w:color w:val="auto"/>
        </w:rPr>
      </w:pPr>
    </w:p>
    <w:p>
      <w:pPr>
        <w:ind w:left="660" w:firstLine="645"/>
        <w:spacing w:after="0" w:line="277" w:lineRule="auto"/>
        <w:tabs>
          <w:tab w:leader="none" w:pos="1952"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 fails to obtain a written agreement from any successor or assigns of the Company to assume and perform this Agreement as provided in Section 8 hereof; or</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928"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 requires Executive, without Executive’s consent, to be based at any office located more than 50 miles from the Company’s offices to which Executive was based immediately prior to the Change of Control, except for travel reasonably required in the performance of Executive’s duties.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the above however, Good Reason shall not exist with respect to a matter unless all of the following conditions are satisfied: (i) the condition giving rise to Executive’s termination of employment must have arisen without Executive’s consent; and (ii) (1) Executive must provide written notice to the Company of such condition in accordance with Section 11 within 30 days of the initial existence of the condition, (2) the condition specified in such notice must remain uncorrected for 30 days after receipt of such notice by the Company and (3) the date of Executive’s termination of employment must occur within 30 days after the expiration of the cure period set forth in (2) above.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 w:name="page8"/>
    <w:bookmarkEnd w:id="7"/>
    <w:p>
      <w:pPr>
        <w:jc w:val="both"/>
        <w:ind w:firstLine="648"/>
        <w:spacing w:after="0" w:line="264" w:lineRule="auto"/>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shall be construed to refer to Executive’s positions, duties, and responsibilities in the position or positions in which Executive serves immediately before the Change of Control, but shall not include titles or positions with subsidiaries and affiliates of the Company that are held primarily for administrative convenience.</w:t>
      </w:r>
    </w:p>
    <w:p>
      <w:pPr>
        <w:spacing w:after="0" w:line="181" w:lineRule="exact"/>
        <w:rPr>
          <w:sz w:val="20"/>
          <w:szCs w:val="20"/>
          <w:color w:val="auto"/>
        </w:rPr>
      </w:pPr>
    </w:p>
    <w:p>
      <w:pPr>
        <w:jc w:val="both"/>
        <w:ind w:left="1300" w:hanging="725"/>
        <w:spacing w:after="0" w:line="286"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Notice of Termination</w:t>
      </w:r>
      <w:r>
        <w:rPr>
          <w:rFonts w:ascii="Arial" w:cs="Arial" w:eastAsia="Arial" w:hAnsi="Arial"/>
          <w:sz w:val="16"/>
          <w:szCs w:val="16"/>
          <w:color w:val="auto"/>
        </w:rPr>
        <w:t>” shall mean a written notice delivered to the other party indicating the specific termination provision in this Agreement relied upon for termination of Executive’s employment and shall set forth in reasonable detail the facts and circumstances claimed to provide a basis for termination of Executive’s employment under the provision so indicated. For this purpose, termination of Executive’s employment shall be interpreted consistent with the meaning of the term “</w:t>
      </w:r>
      <w:r>
        <w:rPr>
          <w:rFonts w:ascii="Arial" w:cs="Arial" w:eastAsia="Arial" w:hAnsi="Arial"/>
          <w:sz w:val="16"/>
          <w:szCs w:val="16"/>
          <w:b w:val="1"/>
          <w:bCs w:val="1"/>
          <w:i w:val="1"/>
          <w:iCs w:val="1"/>
          <w:color w:val="auto"/>
        </w:rPr>
        <w:t>Separation from Service</w:t>
      </w:r>
      <w:r>
        <w:rPr>
          <w:rFonts w:ascii="Arial" w:cs="Arial" w:eastAsia="Arial" w:hAnsi="Arial"/>
          <w:sz w:val="16"/>
          <w:szCs w:val="16"/>
          <w:color w:val="auto"/>
        </w:rPr>
        <w:t>” in Section 409A(a)(2)(A)</w:t>
      </w:r>
    </w:p>
    <w:p>
      <w:pPr>
        <w:spacing w:after="0" w:line="1"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(i)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and applicable regulation authority.</w:t>
      </w:r>
    </w:p>
    <w:p>
      <w:pPr>
        <w:spacing w:after="0" w:line="210" w:lineRule="exact"/>
        <w:rPr>
          <w:rFonts w:ascii="Arial" w:cs="Arial" w:eastAsia="Arial" w:hAnsi="Arial"/>
          <w:sz w:val="16"/>
          <w:szCs w:val="16"/>
          <w:color w:val="auto"/>
        </w:rPr>
      </w:pPr>
    </w:p>
    <w:p>
      <w:pPr>
        <w:ind w:left="1300" w:hanging="725"/>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Protected Period</w:t>
      </w:r>
      <w:r>
        <w:rPr>
          <w:rFonts w:ascii="Arial" w:cs="Arial" w:eastAsia="Arial" w:hAnsi="Arial"/>
          <w:sz w:val="18"/>
          <w:szCs w:val="18"/>
          <w:color w:val="auto"/>
        </w:rPr>
        <w:t>” shall mean the 18-month period beginning on the effective date of a Change of Control.</w:t>
      </w:r>
    </w:p>
    <w:p>
      <w:pPr>
        <w:spacing w:after="0" w:line="225" w:lineRule="exact"/>
        <w:rPr>
          <w:rFonts w:ascii="Arial" w:cs="Arial" w:eastAsia="Arial" w:hAnsi="Arial"/>
          <w:sz w:val="18"/>
          <w:szCs w:val="18"/>
          <w:color w:val="auto"/>
        </w:rPr>
      </w:pPr>
    </w:p>
    <w:p>
      <w:pPr>
        <w:ind w:left="1300" w:hanging="725"/>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Target AICP</w:t>
      </w:r>
      <w:r>
        <w:rPr>
          <w:rFonts w:ascii="Arial" w:cs="Arial" w:eastAsia="Arial" w:hAnsi="Arial"/>
          <w:sz w:val="18"/>
          <w:szCs w:val="18"/>
          <w:color w:val="auto"/>
        </w:rPr>
        <w:t>” shall mean the targeted value of Executive’s annual incentive compensation plan bonus for the year in which the Date of Termination occurs or the fiscal year immediately preceding the Change of Control, whichever is a greater amount.</w:t>
      </w:r>
    </w:p>
    <w:p>
      <w:pPr>
        <w:spacing w:after="0" w:line="170" w:lineRule="exact"/>
        <w:rPr>
          <w:rFonts w:ascii="Arial" w:cs="Arial" w:eastAsia="Arial" w:hAnsi="Arial"/>
          <w:sz w:val="18"/>
          <w:szCs w:val="18"/>
          <w:color w:val="auto"/>
        </w:rPr>
      </w:pPr>
    </w:p>
    <w:p>
      <w:pPr>
        <w:ind w:left="1300" w:hanging="725"/>
        <w:spacing w:after="0" w:line="308" w:lineRule="auto"/>
        <w:tabs>
          <w:tab w:leader="none" w:pos="1300" w:val="left"/>
        </w:tabs>
        <w:numPr>
          <w:ilvl w:val="1"/>
          <w:numId w:val="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Termination Base Salary</w:t>
      </w:r>
      <w:r>
        <w:rPr>
          <w:rFonts w:ascii="Arial" w:cs="Arial" w:eastAsia="Arial" w:hAnsi="Arial"/>
          <w:sz w:val="17"/>
          <w:szCs w:val="17"/>
          <w:color w:val="auto"/>
        </w:rPr>
        <w:t>” shall mean Executive’s annual base salary at the rate in effect at the time the Notice of Termination is given or, if a greater amount, Executive’s annual base salary at the rate in effect immediately prior to the Change of Control.</w:t>
      </w:r>
    </w:p>
    <w:p>
      <w:pPr>
        <w:spacing w:after="0" w:line="142" w:lineRule="exact"/>
        <w:rPr>
          <w:rFonts w:ascii="Arial" w:cs="Arial" w:eastAsia="Arial" w:hAnsi="Arial"/>
          <w:sz w:val="17"/>
          <w:szCs w:val="17"/>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No Employment Agreement.</w:t>
      </w:r>
    </w:p>
    <w:p>
      <w:pPr>
        <w:spacing w:after="0" w:line="229" w:lineRule="exact"/>
        <w:rPr>
          <w:rFonts w:ascii="Arial" w:cs="Arial" w:eastAsia="Arial" w:hAnsi="Arial"/>
          <w:sz w:val="18"/>
          <w:szCs w:val="18"/>
          <w:b w:val="1"/>
          <w:bCs w:val="1"/>
          <w:color w:val="auto"/>
        </w:rPr>
      </w:pPr>
    </w:p>
    <w:p>
      <w:pPr>
        <w:jc w:val="both"/>
        <w:ind w:left="1300" w:hanging="725"/>
        <w:spacing w:after="0" w:line="259"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This Agreement shall be considered solely as a “severance agreement” obligating the Company to pay Executive certain amounts of compensation and to provide certain benefits in the event and only in the event of Executive’s termination of employment for the specified reasons and at the times specified herein. The parties agree that this Agreement shall not be considered an employment agreement and that Executive is an “at will” employee of the Company.</w:t>
      </w:r>
    </w:p>
    <w:p>
      <w:pPr>
        <w:spacing w:after="0" w:line="186" w:lineRule="exact"/>
        <w:rPr>
          <w:rFonts w:ascii="Arial" w:cs="Arial" w:eastAsia="Arial" w:hAnsi="Arial"/>
          <w:sz w:val="18"/>
          <w:szCs w:val="18"/>
          <w:color w:val="auto"/>
        </w:rPr>
      </w:pPr>
    </w:p>
    <w:p>
      <w:pPr>
        <w:jc w:val="both"/>
        <w:ind w:left="1300" w:hanging="725"/>
        <w:spacing w:after="0" w:line="293"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Unless otherwise agreed to in writing by the Company and Executive prior to the termination of Executive’s employment, any termination of Executive’s employment shall constitute an automatic resignation of Executive as an officer of the Company and each affiliate of the Company, and an automatic resignation of Executive from the Board and the board of directors of the Company (if applicable) and from the board of directors or similar governing body of any affiliate of the Company and from the board of directors or similar governing body of any corporation, limited liability entity or other entity in which the Company or any affiliate holds an equity interest and with respect to which board or similar governing body Executive serves as the Company’s or such affiliate’s designee or other representative.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 w:name="page9"/>
    <w:bookmarkEnd w:id="8"/>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Regular Severance Benefits.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Subject to Section 13, if the Company terminates Executive’s employment other than for Cause and not during the Protected Period, Executive shall receive the following compensation and benefits from the Company:</w:t>
      </w:r>
    </w:p>
    <w:p>
      <w:pPr>
        <w:spacing w:after="0" w:line="170" w:lineRule="exact"/>
        <w:rPr>
          <w:sz w:val="20"/>
          <w:szCs w:val="20"/>
          <w:color w:val="auto"/>
        </w:rPr>
      </w:pPr>
    </w:p>
    <w:p>
      <w:pPr>
        <w:ind w:left="1300" w:hanging="725"/>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Within 15 days of the expiration of the Release Period (as defined in Section 13), the Company shall pay to Executive in a lump sum, in cash, an amount equal to one times the sum of Executive’s (i) Termination Base Salary and (ii) Target AICP.</w:t>
      </w:r>
    </w:p>
    <w:p>
      <w:pPr>
        <w:spacing w:after="0" w:line="170" w:lineRule="exact"/>
        <w:rPr>
          <w:rFonts w:ascii="Arial" w:cs="Arial" w:eastAsia="Arial" w:hAnsi="Arial"/>
          <w:sz w:val="18"/>
          <w:szCs w:val="18"/>
          <w:color w:val="auto"/>
        </w:rPr>
      </w:pPr>
    </w:p>
    <w:p>
      <w:pPr>
        <w:jc w:val="both"/>
        <w:ind w:left="1300" w:hanging="725"/>
        <w:spacing w:after="0" w:line="30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Notwithstanding anything in any Company stock plan or grant agreement to the contrary, all restricted shares, restricted stock units, phantom stock units or any other equity based award of Executive shall, to the extent such awards would have vested in accordance with their terms had Executive remained employed for the 12-month period following the Date of Termination, become vested and restrictions thereon shall lapse as of the expiration of the Release Period, and the Company shall promptly deliver such shares to Executive.</w:t>
      </w:r>
    </w:p>
    <w:p>
      <w:pPr>
        <w:spacing w:after="0" w:line="150" w:lineRule="exact"/>
        <w:rPr>
          <w:rFonts w:ascii="Arial" w:cs="Arial" w:eastAsia="Arial" w:hAnsi="Arial"/>
          <w:sz w:val="16"/>
          <w:szCs w:val="16"/>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Change of Control Severance Benefits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Subject to Section 13, if either (a) Executive terminates his employment during the Protected Period for a Good Reason event or (b) the Company</w:t>
      </w:r>
    </w:p>
    <w:p>
      <w:pPr>
        <w:spacing w:after="0" w:line="4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terminates Executive’s employment during the Protected Period other than for Cause, Executive shall receive, the following compensation and benefits from the Company:</w:t>
      </w:r>
    </w:p>
    <w:p>
      <w:pPr>
        <w:spacing w:after="0" w:line="184" w:lineRule="exact"/>
        <w:rPr>
          <w:sz w:val="20"/>
          <w:szCs w:val="20"/>
          <w:color w:val="auto"/>
        </w:rPr>
      </w:pPr>
    </w:p>
    <w:p>
      <w:pPr>
        <w:ind w:left="1300" w:hanging="725"/>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Within 15 days of the expiration of the Release Period, the Company shall pay to Executive in a lump sum, in cash, an amount equal to two times the sum of Executive’s (i) Termination Base Salary and (ii) Target AICP.</w:t>
      </w:r>
    </w:p>
    <w:p>
      <w:pPr>
        <w:spacing w:after="0" w:line="170" w:lineRule="exact"/>
        <w:rPr>
          <w:rFonts w:ascii="Arial" w:cs="Arial" w:eastAsia="Arial" w:hAnsi="Arial"/>
          <w:sz w:val="18"/>
          <w:szCs w:val="18"/>
          <w:color w:val="auto"/>
        </w:rPr>
      </w:pPr>
    </w:p>
    <w:p>
      <w:pPr>
        <w:jc w:val="both"/>
        <w:ind w:left="1300" w:hanging="725"/>
        <w:spacing w:after="0" w:line="276"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Notwithstanding anything in any Company stock plan or grant agreement to the contrary, (i) all restricted shares, restricted stock units, phantom stock units and any other equity based award of Executive shall become 100% vested and all restrictions thereon shall lapse as of the expiration of the Release Period, and the Company shall promptly deliver such shares (or cash in lieu of shares in the case of phantom stock unit awards) to Executive and (ii) each then outstanding stock option of Executive shall become 100% exercisable as of the expiration of the Release Period and shall remain exercisable for 90 days following the lapse of the Release Period.</w:t>
      </w:r>
    </w:p>
    <w:p>
      <w:pPr>
        <w:spacing w:after="0" w:line="172" w:lineRule="exact"/>
        <w:rPr>
          <w:rFonts w:ascii="Arial" w:cs="Arial" w:eastAsia="Arial" w:hAnsi="Arial"/>
          <w:sz w:val="17"/>
          <w:szCs w:val="17"/>
          <w:color w:val="auto"/>
        </w:rPr>
      </w:pPr>
    </w:p>
    <w:p>
      <w:pPr>
        <w:jc w:val="both"/>
        <w:ind w:left="1300" w:hanging="725"/>
        <w:spacing w:after="0" w:line="25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the period beginning on the date of termination of Executive’s employment with the Company and ending on December 31 of the second calendar year following the calendar year which includes the date of termination, or until Executive accepts other employment, including as an independent contractor, with a new employer, Executive shall be entitled to receive outplacement services, payable by the Company, with an aggregate cost not to exceed 15% of Executive’s Termination Base Salary, with an executive outplacement service firm reasonably acceptable to the Company and Executive.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Mitigation.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Executive shall not be required to mitigate the amount of any payment provided for in this Agreement by seeking other employment or otherwise nor, except as provided in Section 4C and Section 5D shall the amount of any payment or benefit provided for in this Agreement be reduced by any compensation earned or benefit received by Executive as the result of employment by another employer or self-employment, by retirement benefits, by offset against any amount claimed to be owed by Executive to the Company or otherwise. Executive shall not be entitled to receive any severance payments or benefits pursuant to any Company severance plan or program for employees in general.</w:t>
      </w:r>
    </w:p>
    <w:p>
      <w:pPr>
        <w:spacing w:after="0" w:line="184"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Successor Agreement.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if no succession had taken place. Failure of the successor to so assume shall constitute a breach of this Agreement and entitle Executive to the benefits hereunder as if triggered by a termination by the Company other than for Cause.</w:t>
      </w:r>
    </w:p>
    <w:p>
      <w:pPr>
        <w:spacing w:after="0" w:line="167"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any situation where under applicable law the Company has the power to indemnify, advance expenses to and defend Executive in respect of any judgments, fines, settlements, loss, cost or expense (including attorneys fees) of any nature related to or arising out of Executive’s activities as an agent, employee, officer or director of the Company or in any other capacity on behalf of or at the request of the Company, then the Company shall promptly on written request, indemnify Executive, advance expenses (including attorney’s fees) to Executive and defend Executive to the fullest extent permitted by applicable law, including but not limited to making such findings and determinations and taking any and all such actions as the Company may, under applicable law, be permitted to have the discretion to take so as to effectuate such indemnification, advancement or defense. Such agreement by the Company shall not be deemed to impair any other obligation of the Company respecting Executive’s indemnification or defense otherwise arising out of this or any other agreement or promise of the Company under any statute.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 w:name="page11"/>
    <w:bookmarkEnd w:id="10"/>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Notice.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purpose of this Agreement, notices and all other communications provided for in this Agreement shall be in writing and delivered by United States certified or registered mail (return receipt requested, postage prepaid) or by courier guaranteeing overnight delivery or by hand delivery (with signed receipt required), addressed to the respective addresses set forth below, and such notice or communication shall be deemed to have been duly given two days after deposit in the mail, one day after deposit with such overnight carrier or upon delivery with hand delivery. The addresses set forth below may be changed by a writing in accordance herewith.</w:t>
      </w:r>
    </w:p>
    <w:p>
      <w:pPr>
        <w:sectPr>
          <w:pgSz w:w="11900" w:h="16838" w:orient="portrait"/>
          <w:cols w:equalWidth="0" w:num="1">
            <w:col w:w="11420"/>
          </w:cols>
          <w:pgMar w:left="240" w:top="580" w:right="239" w:bottom="1440" w:gutter="0" w:footer="0" w:header="0"/>
        </w:sectPr>
      </w:pPr>
    </w:p>
    <w:p>
      <w:pPr>
        <w:spacing w:after="0" w:line="18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Company:</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333 Clay Street, Suite 4980</w:t>
      </w:r>
    </w:p>
    <w:p>
      <w:pPr>
        <w:spacing w:after="0" w:line="3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Attn: Chairman of the Board</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Executive: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Peter McCann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36B Burns Road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Wahroonga, NSW 2076</w:t>
      </w:r>
    </w:p>
    <w:p>
      <w:pPr>
        <w:spacing w:after="0" w:line="416" w:lineRule="exact"/>
        <w:rPr>
          <w:sz w:val="20"/>
          <w:szCs w:val="20"/>
          <w:color w:val="auto"/>
        </w:rPr>
      </w:pPr>
    </w:p>
    <w:p>
      <w:pPr>
        <w:sectPr>
          <w:pgSz w:w="11900" w:h="16838" w:orient="portrait"/>
          <w:cols w:equalWidth="0" w:num="2">
            <w:col w:w="5000" w:space="720"/>
            <w:col w:w="5700"/>
          </w:cols>
          <w:pgMar w:left="240" w:top="580" w:right="239" w:bottom="1440" w:gutter="0" w:footer="0" w:header="0"/>
          <w:type w:val="continuous"/>
        </w:sectPr>
      </w:pPr>
    </w:p>
    <w:p>
      <w:pPr>
        <w:spacing w:after="0" w:line="200" w:lineRule="exact"/>
        <w:rPr>
          <w:sz w:val="20"/>
          <w:szCs w:val="20"/>
          <w:color w:val="auto"/>
        </w:rPr>
      </w:pPr>
    </w:p>
    <w:p>
      <w:pPr>
        <w:spacing w:after="0" w:line="262"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Subject to the Company’s right to seek equitable or injunctive relief pursuant to Section 14, the parties agree to resolve any claim or controversy arising out of or relating to this Agreement, including but not limited to the consequences of any termination of employment of Executive, by binding arbitration under the Federal Arbitration Act before one arbitrator in Houston, Texas, administered by the American Arbitration Association under its Commercial Arbitration Rules, and judgment on the award rendered by the arbitrator may be entered in any court having jurisdiction thereof. The fees and expenses of the arbitrator shall be borne solely by the non-prevailing party or, in the event there is no clear prevailing party, as the arbitrator deems appropriate. Except as provided above, each party shall pay its own costs and expenses (including, without limitation, attorneys’ fees) relating to any mediation/arbitration proceeding conducted under this Section 12.</w:t>
      </w:r>
    </w:p>
    <w:p>
      <w:pPr>
        <w:spacing w:after="0" w:line="185"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Waiver and Release.</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a condition to the receipt of any payment or benefit as a severance payment under Section 4 or 5 of this Agreement, Executive must first execute and deliver to the Company a binding general release, as prepared by the Company in substantially the form attached hereto as Exhibit A, that releases the Company, its officers, directors, employees, agents, subsidiaries and affiliates from any and all claims and from any and all causes of action of any kind or character that Executive may have arising out of Executive’s employment with the Company or the termination of such employment, but excluding (i) any claims and causes of action that Executive may have arising under or based upon this Agreement, and (ii) any vested rights Executive may have under any employee benefit plan or deferred compensation plan or program of the Company. The general release described above must be effective and irrevocable within 55 days after the date of Executive’s termination of employment with the Company (the “</w:t>
      </w:r>
      <w:r>
        <w:rPr>
          <w:rFonts w:ascii="Arial" w:cs="Arial" w:eastAsia="Arial" w:hAnsi="Arial"/>
          <w:sz w:val="16"/>
          <w:szCs w:val="16"/>
          <w:b w:val="1"/>
          <w:bCs w:val="1"/>
          <w:i w:val="1"/>
          <w:iCs w:val="1"/>
          <w:color w:val="auto"/>
        </w:rPr>
        <w:t>Release Period</w:t>
      </w:r>
      <w:r>
        <w:rPr>
          <w:rFonts w:ascii="Arial" w:cs="Arial" w:eastAsia="Arial" w:hAnsi="Arial"/>
          <w:sz w:val="16"/>
          <w:szCs w:val="16"/>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11" w:name="page12"/>
    <w:bookmarkEnd w:id="11"/>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Restrictive Covenants.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Executive’s employment with the Company, the Company shall give Executive access to some or all of its Confidential Information, as defined below, that Executive has not had access to or knowledge of before the execution of this Agreement.</w:t>
      </w:r>
    </w:p>
    <w:p>
      <w:pPr>
        <w:spacing w:after="0" w:line="166" w:lineRule="exact"/>
        <w:rPr>
          <w:sz w:val="20"/>
          <w:szCs w:val="20"/>
          <w:color w:val="auto"/>
        </w:rPr>
      </w:pPr>
    </w:p>
    <w:p>
      <w:pPr>
        <w:jc w:val="both"/>
        <w:ind w:left="1300" w:hanging="725"/>
        <w:spacing w:after="0" w:line="288"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Non-Competition</w:t>
      </w:r>
      <w:r>
        <w:rPr>
          <w:rFonts w:ascii="Arial" w:cs="Arial" w:eastAsia="Arial" w:hAnsi="Arial"/>
          <w:sz w:val="16"/>
          <w:szCs w:val="16"/>
          <w:color w:val="auto"/>
        </w:rPr>
        <w:t>. Executive agrees that, in consideration for the Company’s promise to provide Executive with Confidential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Term and for a period of twelve (12) months following any termination of employment (the “</w:t>
      </w:r>
      <w:r>
        <w:rPr>
          <w:rFonts w:ascii="Arial" w:cs="Arial" w:eastAsia="Arial" w:hAnsi="Arial"/>
          <w:sz w:val="16"/>
          <w:szCs w:val="16"/>
          <w:b w:val="1"/>
          <w:bCs w:val="1"/>
          <w:i w:val="1"/>
          <w:iCs w:val="1"/>
          <w:color w:val="auto"/>
        </w:rPr>
        <w:t>Restricted Period</w:t>
      </w:r>
      <w:r>
        <w:rPr>
          <w:rFonts w:ascii="Arial" w:cs="Arial" w:eastAsia="Arial" w:hAnsi="Arial"/>
          <w:sz w:val="16"/>
          <w:szCs w:val="16"/>
          <w:color w:val="auto"/>
        </w:rPr>
        <w:t>”), he will not either directly or indirectly, own, manage, operate, control, invest in, hold shares or any other equity interest in, lend to, serve as a consultant to, be employed by, participate in, be a director, officer, trustee or be connected, in any manner, with the ownership, management, operation or control of any business that directly or indirectly in whole or in part engages in the business of (i) the design, manufacture, sale and/or lease of mobile or modular buildings, or (ii) providing remote site, workforce accommodations or associated facility management services, catering, water and wastewater treatment, commercial laundry or personnel logistics in New South Wales, Queensland or Western Australia; provided, however, Executive shall not be prevented from owning no more than 2% of any company whose stock is publicly traded or in any company where such ownership is expressly disclosed to the Company by Executive prior to execution of this Agreement. Executive agrees that, in order to protect the Company’s Confidential Information, it is necessary to enter into this restrictive covenant, which is ancillary to the enforceable promises between the Company and Executive otherwise contained in this Agreement.</w:t>
      </w:r>
    </w:p>
    <w:p>
      <w:pPr>
        <w:spacing w:after="0" w:line="164" w:lineRule="exact"/>
        <w:rPr>
          <w:rFonts w:ascii="Arial" w:cs="Arial" w:eastAsia="Arial" w:hAnsi="Arial"/>
          <w:sz w:val="16"/>
          <w:szCs w:val="16"/>
          <w:color w:val="auto"/>
        </w:rPr>
      </w:pPr>
    </w:p>
    <w:p>
      <w:pPr>
        <w:jc w:val="both"/>
        <w:ind w:left="1300" w:hanging="725"/>
        <w:spacing w:after="0" w:line="268"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Confidential Information</w:t>
      </w:r>
      <w:r>
        <w:rPr>
          <w:rFonts w:ascii="Arial" w:cs="Arial" w:eastAsia="Arial" w:hAnsi="Arial"/>
          <w:sz w:val="17"/>
          <w:szCs w:val="17"/>
          <w:color w:val="auto"/>
        </w:rPr>
        <w:t>. Executive agrees that he will not, except as the Company may otherwise consent or direct in writing, reveal or</w:t>
      </w:r>
      <w:r>
        <w:rPr>
          <w:rFonts w:ascii="Arial" w:cs="Arial" w:eastAsia="Arial" w:hAnsi="Arial"/>
          <w:sz w:val="17"/>
          <w:szCs w:val="17"/>
          <w:b w:val="1"/>
          <w:bCs w:val="1"/>
          <w:color w:val="auto"/>
        </w:rPr>
        <w:t xml:space="preserve"> </w:t>
      </w:r>
      <w:r>
        <w:rPr>
          <w:rFonts w:ascii="Arial" w:cs="Arial" w:eastAsia="Arial" w:hAnsi="Arial"/>
          <w:sz w:val="17"/>
          <w:szCs w:val="17"/>
          <w:color w:val="auto"/>
        </w:rPr>
        <w:t>disclose, sell, use, lecture upon, publish or otherwise disclose to any third party any Confidential Information or proprietary information of the Company, or authorize anyone else to do these things at any time either during or subsequent to his employment with the Company. This subsection shall continue in full force and effect after termination of Executive’s employment and after the termination of this Agreement. Executive’s obligations under this subsection with respect to any specific Confidential Information and proprietary information shall cease when that specific portion of the Confidential Information and proprietary information becomes publicly known, in its entirety and without combining portions of such information obtained separately. It is understood that such Confidential Information and proprietary information of the Company include matters that Executive conceives or develops, as well as matters Executive learns from other employees of the Company. “Confidential Information” is defined to include information: (1) disclosed to or known by Executive as a consequence of or through his employment with the Company; (2) not generally known outside the Company; and (3) that relates to any aspect of the Company or its business, finances, operation plans, budgets, research, or strategic development. “Confidential Information” includes, but is not limited to, the Company’s trade secrets, proprietary information, financial documents, long range plans, customer or supplier lists, employer compensation, marketing strategy, data bases, costing data, computer software developed by the Company, investments made by the Company, and any information provided to the Company by a third party under restrictions against disclosure or use by the Company or others.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 w:name="page13"/>
    <w:bookmarkEnd w:id="12"/>
    <w:p>
      <w:pPr>
        <w:jc w:val="both"/>
        <w:ind w:left="725" w:hanging="725"/>
        <w:spacing w:after="0" w:line="270" w:lineRule="auto"/>
        <w:tabs>
          <w:tab w:leader="none" w:pos="725"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Non-Solicitation</w:t>
      </w:r>
      <w:r>
        <w:rPr>
          <w:rFonts w:ascii="Arial" w:cs="Arial" w:eastAsia="Arial" w:hAnsi="Arial"/>
          <w:sz w:val="17"/>
          <w:szCs w:val="17"/>
          <w:color w:val="auto"/>
        </w:rPr>
        <w:t>. To protect the Company’s Confidential Information, and in the event of Executive’s termination of employment for any</w:t>
      </w:r>
      <w:r>
        <w:rPr>
          <w:rFonts w:ascii="Arial" w:cs="Arial" w:eastAsia="Arial" w:hAnsi="Arial"/>
          <w:sz w:val="17"/>
          <w:szCs w:val="17"/>
          <w:b w:val="1"/>
          <w:bCs w:val="1"/>
          <w:color w:val="auto"/>
        </w:rPr>
        <w:t xml:space="preserve"> </w:t>
      </w:r>
      <w:r>
        <w:rPr>
          <w:rFonts w:ascii="Arial" w:cs="Arial" w:eastAsia="Arial" w:hAnsi="Arial"/>
          <w:sz w:val="17"/>
          <w:szCs w:val="17"/>
          <w:color w:val="auto"/>
        </w:rPr>
        <w:t>reason whatsoever, whether by Executive or the Company, it is necessary to enter into the following restrictive covenant, which is ancillary to the enforceable promises between the Company and Executive otherwise contained in this Agreement. Executive covenants and agrees that during Restrictive Period, Executive will not, directly or indirectly, either individually or as a principal, partner, agent, consultant, contractor, employee or as a director or officer of any corporation or association, or in any other manner or capacity whatsoever, except on behalf of the Company, solicit business, or attempt to solicit business, and products or services competitive with products or services sold by the Company, from the Company’s clients, suppliers or customers, or those individuals or entities with whom the Company did business during Executive’s employment. Executive further agrees that during Executive’s employment and for the Non-Solicitation Period, Executive will not, except on behalf of the Company, either directly or indirectly, or by acting in concert with others, solicit or influence any Company employee to leave the Company’s employment.</w:t>
      </w:r>
    </w:p>
    <w:p>
      <w:pPr>
        <w:spacing w:after="0" w:line="177" w:lineRule="exact"/>
        <w:rPr>
          <w:rFonts w:ascii="Arial" w:cs="Arial" w:eastAsia="Arial" w:hAnsi="Arial"/>
          <w:sz w:val="17"/>
          <w:szCs w:val="17"/>
          <w:color w:val="auto"/>
        </w:rPr>
      </w:pPr>
    </w:p>
    <w:p>
      <w:pPr>
        <w:jc w:val="both"/>
        <w:ind w:left="725" w:hanging="725"/>
        <w:spacing w:after="0" w:line="291" w:lineRule="auto"/>
        <w:tabs>
          <w:tab w:leader="none" w:pos="725"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 xml:space="preserve">Return of Documents, Equipment, Etc. </w:t>
      </w:r>
      <w:r>
        <w:rPr>
          <w:rFonts w:ascii="Arial" w:cs="Arial" w:eastAsia="Arial" w:hAnsi="Arial"/>
          <w:sz w:val="16"/>
          <w:szCs w:val="16"/>
          <w:color w:val="auto"/>
        </w:rPr>
        <w:t>All writings, records, and other documents and things comprising, containing, describing,</w:t>
      </w:r>
      <w:r>
        <w:rPr>
          <w:rFonts w:ascii="Arial" w:cs="Arial" w:eastAsia="Arial" w:hAnsi="Arial"/>
          <w:sz w:val="16"/>
          <w:szCs w:val="16"/>
          <w:b w:val="1"/>
          <w:bCs w:val="1"/>
          <w:color w:val="auto"/>
        </w:rPr>
        <w:t xml:space="preserve"> </w:t>
      </w:r>
      <w:r>
        <w:rPr>
          <w:rFonts w:ascii="Arial" w:cs="Arial" w:eastAsia="Arial" w:hAnsi="Arial"/>
          <w:sz w:val="16"/>
          <w:szCs w:val="16"/>
          <w:color w:val="auto"/>
        </w:rPr>
        <w:t>discussing, explaining, or evidencing any Confidential Information, and all equipment, components, parts, tools, and the like in Executive’s custody or possession that have been obtained or prepared in the course of Executive’s employment with the Company shall be the exclusive property of the Company, shall not be copied and/or removed from the premises of the Company, except in pursuit of the business of the Company, and shall be delivered to the Company, without Executive retaining any copies, upon notification of the termination of Executive’s employment or at any other time requested by the Company. The Company shall have the right to retain, access, and inspect all property of Executive of any kind in the office, work area, and on the premises of the Company upon termination of Executive’s employment and at any time during employment by the Company to ensure compliance with the terms of this Agreement.</w:t>
      </w:r>
    </w:p>
    <w:p>
      <w:pPr>
        <w:spacing w:after="0" w:line="160" w:lineRule="exact"/>
        <w:rPr>
          <w:rFonts w:ascii="Arial" w:cs="Arial" w:eastAsia="Arial" w:hAnsi="Arial"/>
          <w:sz w:val="16"/>
          <w:szCs w:val="16"/>
          <w:color w:val="auto"/>
        </w:rPr>
      </w:pPr>
    </w:p>
    <w:p>
      <w:pPr>
        <w:jc w:val="both"/>
        <w:ind w:left="725" w:hanging="725"/>
        <w:spacing w:after="0" w:line="272" w:lineRule="auto"/>
        <w:tabs>
          <w:tab w:leader="none" w:pos="725"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No Previous Restrictive Agreements</w:t>
      </w:r>
      <w:r>
        <w:rPr>
          <w:rFonts w:ascii="Arial" w:cs="Arial" w:eastAsia="Arial" w:hAnsi="Arial"/>
          <w:sz w:val="17"/>
          <w:szCs w:val="17"/>
          <w:color w:val="auto"/>
        </w:rPr>
        <w:t>. Executive represents that, except as disclosed in writing to the Company, Executive is not bound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terms of any agreement with any previous employer or other party to refrain from using or disclosing any trade secret or confidential or proprietary information in the course of Executive’s employment by the Company or to refrain from competing, directly or indirectly, with the business of such previous employer or any other party. Executive further represents that Executive’s performance of all the terms of this Agreement and Executive’s work duties for the Company does not and will not breach any agreement to keep in confidence proprietary information, knowledge or data acquired by Executive in confidence or in trust prior to Executive’s employment with the Company, and Executive will not disclose to the Company or induce the Company to use any confidential or proprietary information or material belonging to any previous employer or other party.</w:t>
      </w:r>
    </w:p>
    <w:p>
      <w:pPr>
        <w:spacing w:after="0" w:line="200" w:lineRule="exact"/>
        <w:rPr>
          <w:sz w:val="20"/>
          <w:szCs w:val="20"/>
          <w:color w:val="auto"/>
        </w:rPr>
      </w:pPr>
    </w:p>
    <w:p>
      <w:pPr>
        <w:spacing w:after="0" w:line="220" w:lineRule="exact"/>
        <w:rPr>
          <w:sz w:val="20"/>
          <w:szCs w:val="20"/>
          <w:color w:val="auto"/>
        </w:rPr>
      </w:pPr>
    </w:p>
    <w:p>
      <w:pPr>
        <w:ind w:left="5085"/>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45"/>
          </w:cols>
          <w:pgMar w:left="815" w:top="580" w:right="239" w:bottom="1440" w:gutter="0" w:footer="0" w:header="0"/>
        </w:sectPr>
      </w:pPr>
    </w:p>
    <w:bookmarkStart w:id="13" w:name="page14"/>
    <w:bookmarkEnd w:id="13"/>
    <w:p>
      <w:pPr>
        <w:jc w:val="both"/>
        <w:ind w:left="725" w:hanging="725"/>
        <w:spacing w:after="0" w:line="272" w:lineRule="auto"/>
        <w:tabs>
          <w:tab w:leader="none" w:pos="725"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Breach</w:t>
      </w:r>
      <w:r>
        <w:rPr>
          <w:rFonts w:ascii="Arial" w:cs="Arial" w:eastAsia="Arial" w:hAnsi="Arial"/>
          <w:sz w:val="17"/>
          <w:szCs w:val="17"/>
          <w:color w:val="auto"/>
        </w:rPr>
        <w:t>. Executive and the Company agree and acknowledge that the limitations as to time, geographical area and scope of activity to be</w:t>
      </w:r>
      <w:r>
        <w:rPr>
          <w:rFonts w:ascii="Arial" w:cs="Arial" w:eastAsia="Arial" w:hAnsi="Arial"/>
          <w:sz w:val="17"/>
          <w:szCs w:val="17"/>
          <w:b w:val="1"/>
          <w:bCs w:val="1"/>
          <w:color w:val="auto"/>
        </w:rPr>
        <w:t xml:space="preserve"> </w:t>
      </w:r>
      <w:r>
        <w:rPr>
          <w:rFonts w:ascii="Arial" w:cs="Arial" w:eastAsia="Arial" w:hAnsi="Arial"/>
          <w:sz w:val="17"/>
          <w:szCs w:val="17"/>
          <w:color w:val="auto"/>
        </w:rPr>
        <w:t>restrained as set forth in Section 14 hereof are reasonable and do not impose any greater restraint than is necessary to protect the legitimate business interests of the Company. Executive and the Company also acknowledge that money damages would not be sufficient remedy for any breach of this Section 14 by Executive, and the Company or its direct or indirect subsidiaries shall be entitled to enforce the provisions of this Section 14 by specific performance and injunctive relief as remedies for such breach or any threatened breach. Such remedies shall not be deemed the exclusive remedies for a breach of this Section 14 but shall be in addition to all remedies available at law or in equity, including the recovery of damages from Executive and Executive’s agents and/or any termination or offset against any payments that may be due pursuant to this Agreement.</w:t>
      </w:r>
    </w:p>
    <w:p>
      <w:pPr>
        <w:spacing w:after="0" w:line="172" w:lineRule="exact"/>
        <w:rPr>
          <w:rFonts w:ascii="Arial" w:cs="Arial" w:eastAsia="Arial" w:hAnsi="Arial"/>
          <w:sz w:val="17"/>
          <w:szCs w:val="17"/>
          <w:color w:val="auto"/>
        </w:rPr>
      </w:pPr>
    </w:p>
    <w:p>
      <w:pPr>
        <w:jc w:val="both"/>
        <w:ind w:left="725" w:hanging="725"/>
        <w:spacing w:after="0" w:line="266" w:lineRule="auto"/>
        <w:tabs>
          <w:tab w:leader="none" w:pos="725"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Enforceability</w:t>
      </w:r>
      <w:r>
        <w:rPr>
          <w:rFonts w:ascii="Arial" w:cs="Arial" w:eastAsia="Arial" w:hAnsi="Arial"/>
          <w:sz w:val="18"/>
          <w:szCs w:val="18"/>
          <w:color w:val="auto"/>
        </w:rPr>
        <w:t>. The agreements contained in this Section 14 are independent of the other agreements contained herein. Accordingly, failure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to comply with any of its obligations outside of this Section does not excuse Executive from complying with the agreements contained herein.</w:t>
      </w:r>
    </w:p>
    <w:p>
      <w:pPr>
        <w:spacing w:after="0" w:line="176" w:lineRule="exact"/>
        <w:rPr>
          <w:rFonts w:ascii="Arial" w:cs="Arial" w:eastAsia="Arial" w:hAnsi="Arial"/>
          <w:sz w:val="18"/>
          <w:szCs w:val="18"/>
          <w:color w:val="auto"/>
        </w:rPr>
      </w:pPr>
    </w:p>
    <w:p>
      <w:pPr>
        <w:ind w:left="725" w:hanging="725"/>
        <w:spacing w:after="0"/>
        <w:tabs>
          <w:tab w:leader="none" w:pos="725"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Survivability</w:t>
      </w:r>
      <w:r>
        <w:rPr>
          <w:rFonts w:ascii="Arial" w:cs="Arial" w:eastAsia="Arial" w:hAnsi="Arial"/>
          <w:sz w:val="18"/>
          <w:szCs w:val="18"/>
          <w:color w:val="auto"/>
        </w:rPr>
        <w:t>. The agreements contained in this Section 14 shall survive the termination of this Agreement for any reason.</w:t>
      </w:r>
    </w:p>
    <w:p>
      <w:pPr>
        <w:spacing w:after="0" w:line="225" w:lineRule="exact"/>
        <w:rPr>
          <w:rFonts w:ascii="Arial" w:cs="Arial" w:eastAsia="Arial" w:hAnsi="Arial"/>
          <w:sz w:val="18"/>
          <w:szCs w:val="18"/>
          <w:color w:val="auto"/>
        </w:rPr>
      </w:pPr>
    </w:p>
    <w:p>
      <w:pPr>
        <w:jc w:val="both"/>
        <w:ind w:left="725" w:hanging="725"/>
        <w:spacing w:after="0" w:line="269" w:lineRule="auto"/>
        <w:tabs>
          <w:tab w:leader="none" w:pos="725"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Reformation</w:t>
      </w:r>
      <w:r>
        <w:rPr>
          <w:rFonts w:ascii="Arial" w:cs="Arial" w:eastAsia="Arial" w:hAnsi="Arial"/>
          <w:sz w:val="17"/>
          <w:szCs w:val="17"/>
          <w:color w:val="auto"/>
        </w:rPr>
        <w:t>. The Company and Executive agree that the foregoing restrictions are reasonable under the circumstances and that any breach</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covenants contained in this Section 14 would cause irreparable injury to the Company. Executive expressly represents that enforcement of the restrictive covenants set forth in this Section 14 will not impose an undue hardship upon Executive or any person affiliated with Executive. Executive understands that the foregoing restrictions may limit Executive’s ability to engage in certain businesses during the Restricted Period, but acknowledges that Executive will receive sufficiently high remuneration and other benefits from the Company to justify such restriction. Further, Executive acknowledges that Executive’s skills are such that Executive can be gainfully employed in non-competitive employment, and that the agreement not to compete will not prevent Executive from earning a living. Nevertheless, if any of the aforesaid restrictions are found by a court of competent jurisdiction to be unreasonable, or overly broad as to geographic area or time, or otherwise unenforceable, the parties intend for the restrictions herein set forth to be modified by the court making such determination so as to be reasonable and enforceable and, as so modified, to be fully enforced. By agreeing to this contractual modification prospectively at this time, the Company and Executive intend to make this provision enforceable under the law or laws of all applicable jurisdictions so that the entire agreement not to compete and this Agreement as prospectively modified shall remain in full force and effect and shall not be rendered void or illegal.</w:t>
      </w:r>
    </w:p>
    <w:p>
      <w:pPr>
        <w:spacing w:after="0" w:line="200" w:lineRule="exact"/>
        <w:rPr>
          <w:sz w:val="20"/>
          <w:szCs w:val="20"/>
          <w:color w:val="auto"/>
        </w:rPr>
      </w:pPr>
    </w:p>
    <w:p>
      <w:pPr>
        <w:spacing w:after="0" w:line="224" w:lineRule="exact"/>
        <w:rPr>
          <w:sz w:val="20"/>
          <w:szCs w:val="20"/>
          <w:color w:val="auto"/>
        </w:rPr>
      </w:pPr>
    </w:p>
    <w:p>
      <w:pPr>
        <w:ind w:left="5045"/>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45"/>
          </w:cols>
          <w:pgMar w:left="815" w:top="580" w:right="239" w:bottom="1440" w:gutter="0" w:footer="0" w:header="0"/>
        </w:sectPr>
      </w:pPr>
    </w:p>
    <w:bookmarkStart w:id="14" w:name="page15"/>
    <w:bookmarkEnd w:id="14"/>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with Affiliates.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Employment with the Company for purposes of this Agreement includes employment with any entity in which the Company has a direct or indirect ownership interest of 50% or more of the total combined voting power of all outstanding equity interests, and employment with any entity which has a direct or indirect interest of 50% or more of the total combined voting power of all outstanding equity interests of the Company.</w:t>
      </w:r>
    </w:p>
    <w:p>
      <w:pPr>
        <w:spacing w:after="0" w:line="162"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29" w:lineRule="exact"/>
        <w:rPr>
          <w:rFonts w:ascii="Arial" w:cs="Arial" w:eastAsia="Arial" w:hAnsi="Arial"/>
          <w:sz w:val="18"/>
          <w:szCs w:val="18"/>
          <w:b w:val="1"/>
          <w:bCs w:val="1"/>
          <w:color w:val="auto"/>
        </w:rPr>
      </w:pPr>
    </w:p>
    <w:p>
      <w:pPr>
        <w:ind w:left="1300" w:hanging="725"/>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THIS AGREEMENT WILL BE GOVERNED BY AND CONSTRUED IN ACCORDANCE WITH THE LAWS OF THE STATE OF TEXAS WITHOUT REGARD TO CONFLICTS OF LAW PRINCIPLES.</w:t>
      </w:r>
    </w:p>
    <w:p>
      <w:pPr>
        <w:spacing w:after="0" w:line="170" w:lineRule="exact"/>
        <w:rPr>
          <w:rFonts w:ascii="Arial" w:cs="Arial" w:eastAsia="Arial" w:hAnsi="Arial"/>
          <w:sz w:val="18"/>
          <w:szCs w:val="18"/>
          <w:color w:val="auto"/>
        </w:rPr>
      </w:pPr>
    </w:p>
    <w:p>
      <w:pPr>
        <w:jc w:val="both"/>
        <w:ind w:left="1300" w:hanging="725"/>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EACH PARTY HERETO HEREBY IRREVOCABLY SUBMITS TO THE EXCLUSIVE JURISDICTION OF THE STATE AND FEDERAL COURTS IN HARRIS COUNTY, TEXAS, FOR THE PURPOSES OF ANY PROCEEDING ARISING OUT OF THIS AGREEMENT.</w:t>
      </w:r>
    </w:p>
    <w:p>
      <w:pPr>
        <w:spacing w:after="0" w:line="393"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Agreement is an integration of the parties’ agreement and no agreement or representatives, oral or otherwise, express or implied, with respect to the subject matter hereof have been made by either party which are not set forth expressly in this Agreement. This Agreement hereby expressly terminates, rescinds and replaces in full any prior agreement (written or oral) between the parties relating to the subject matter hereof.</w:t>
      </w:r>
    </w:p>
    <w:p>
      <w:pPr>
        <w:spacing w:after="0" w:line="162"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of Taxes.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The Company shall withhold from all payments and benefits provided under this Agreement all taxes required to be withheld by applicable law.</w:t>
      </w:r>
    </w:p>
    <w:p>
      <w:pPr>
        <w:spacing w:after="0" w:line="232" w:lineRule="exact"/>
        <w:rPr>
          <w:rFonts w:ascii="Arial" w:cs="Arial" w:eastAsia="Arial" w:hAnsi="Arial"/>
          <w:sz w:val="18"/>
          <w:szCs w:val="18"/>
          <w:b w:val="1"/>
          <w:bCs w:val="1"/>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Beneficiary.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the event Executive dies before receiving the lump sum severance payment to which Executive was entitled hereunder, Executive’s spouse or, if there is no spouse, the beneficiary designated by Executive shall receive such payment.</w:t>
      </w:r>
    </w:p>
    <w:p>
      <w:pPr>
        <w:spacing w:after="0" w:line="17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[End of Page]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Company and Executive have executed this Agreement effective for all purposes as of the Effective Date.</w:t>
      </w:r>
    </w:p>
    <w:p>
      <w:pPr>
        <w:sectPr>
          <w:pgSz w:w="11900" w:h="16838" w:orient="portrait"/>
          <w:cols w:equalWidth="0" w:num="1">
            <w:col w:w="10020"/>
          </w:cols>
          <w:pgMar w:left="900" w:top="580" w:right="979" w:bottom="1440" w:gutter="0" w:footer="0" w:header="0"/>
        </w:sectPr>
      </w:pPr>
    </w:p>
    <w:p>
      <w:pPr>
        <w:spacing w:after="0" w:line="252"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CIVEO CORPORATION</w:t>
      </w:r>
    </w:p>
    <w:p>
      <w:pPr>
        <w:spacing w:after="0" w:line="200" w:lineRule="exact"/>
        <w:rPr>
          <w:sz w:val="20"/>
          <w:szCs w:val="20"/>
          <w:color w:val="auto"/>
        </w:rPr>
      </w:pPr>
    </w:p>
    <w:p>
      <w:pPr>
        <w:spacing w:after="0" w:line="24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Bradley J. Dodson</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Name: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-123190</wp:posOffset>
            </wp:positionV>
            <wp:extent cx="25298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4"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President &amp; CEO</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EXECUTIVE</w:t>
      </w:r>
    </w:p>
    <w:p>
      <w:pPr>
        <w:spacing w:after="0" w:line="200" w:lineRule="exact"/>
        <w:rPr>
          <w:sz w:val="20"/>
          <w:szCs w:val="20"/>
          <w:color w:val="auto"/>
        </w:rPr>
      </w:pPr>
    </w:p>
    <w:p>
      <w:pPr>
        <w:spacing w:after="0" w:line="24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Peter McCann</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Peter McCann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-130810</wp:posOffset>
            </wp:positionV>
            <wp:extent cx="25298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Title: Senior Vice President</w:t>
      </w:r>
    </w:p>
    <w:p>
      <w:pPr>
        <w:spacing w:after="0" w:line="200" w:lineRule="exact"/>
        <w:rPr>
          <w:sz w:val="20"/>
          <w:szCs w:val="20"/>
          <w:color w:val="auto"/>
        </w:rPr>
      </w:pPr>
    </w:p>
    <w:p>
      <w:pPr>
        <w:spacing w:after="0" w:line="27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95885</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020"/>
          </w:cols>
          <w:pgMar w:left="900" w:top="580" w:right="979" w:bottom="1440" w:gutter="0" w:footer="0" w:header="0"/>
          <w:type w:val="continuous"/>
        </w:sectPr>
      </w:pPr>
    </w:p>
    <w:bookmarkStart w:id="16" w:name="page17"/>
    <w:bookmarkEnd w:id="16"/>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Form of Waiver and Release Agreement</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WAIVER AND RELEASE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Waiver and Release Agreement (the “Agreement”) is made and entered into effective as of the ______ day of __, 20__ by and between Civeo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Corporation, a Canadian corporation (“Employer”), and ____________ (“Executive”) (collectively, the “Parties”). Reference is made herein to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Employment Agreement effective as of __________ between Employer and Executive. Capitalized terms used herein but not otherwise defined in this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Agreement shall have the meanings given such terms in the Employment Agreement.</w:t>
      </w:r>
    </w:p>
    <w:p>
      <w:pPr>
        <w:spacing w:after="0" w:line="207" w:lineRule="exact"/>
        <w:rPr>
          <w:sz w:val="20"/>
          <w:szCs w:val="20"/>
          <w:color w:val="auto"/>
        </w:rPr>
      </w:pPr>
    </w:p>
    <w:p>
      <w:pPr>
        <w:ind w:left="820" w:hanging="650"/>
        <w:spacing w:after="0"/>
        <w:tabs>
          <w:tab w:leader="none" w:pos="8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Effective as of _____________, 20__ (the “Separation Date”), Executive’s employment has been terminated and he has resigned from and any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positions he has held with Employer and any affiliates.</w:t>
      </w:r>
    </w:p>
    <w:p>
      <w:pPr>
        <w:spacing w:after="0" w:line="207" w:lineRule="exact"/>
        <w:rPr>
          <w:sz w:val="20"/>
          <w:szCs w:val="20"/>
          <w:color w:val="auto"/>
        </w:rPr>
      </w:pPr>
    </w:p>
    <w:p>
      <w:pPr>
        <w:ind w:left="820" w:hanging="650"/>
        <w:spacing w:after="0"/>
        <w:tabs>
          <w:tab w:leader="none" w:pos="8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Separation Benefits.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satisfaction of the Employment Agreement and in consideration of Executive’s execution (without revocation) of this Agreement and his release of all claims as provided in this Agreement, and Executive’s other agreements herein, Employer agrees to provide Executive with the benefits listed in the attached Agreement(s), less all required withholding and other authorized deductions, provided that the Waiver Effective Date (as defined in Section 14) has occurred on or before lapse of 55 days following Separation Date (the “Release Period”):</w:t>
      </w:r>
    </w:p>
    <w:p>
      <w:pPr>
        <w:spacing w:after="0" w:line="183" w:lineRule="exact"/>
        <w:rPr>
          <w:sz w:val="20"/>
          <w:szCs w:val="20"/>
          <w:color w:val="auto"/>
        </w:rPr>
      </w:pPr>
    </w:p>
    <w:p>
      <w:pPr>
        <w:ind w:left="820" w:hanging="650"/>
        <w:spacing w:after="0"/>
        <w:tabs>
          <w:tab w:leader="none" w:pos="8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Other Benefits.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Employer shall pay all accrued but unpaid base salary and all accrued but unused vacation pay to Executive in a lump sum in cash as soon as practicable after the Separation Date.</w:t>
      </w:r>
    </w:p>
    <w:p>
      <w:pPr>
        <w:spacing w:after="0" w:line="166" w:lineRule="exact"/>
        <w:rPr>
          <w:sz w:val="20"/>
          <w:szCs w:val="20"/>
          <w:color w:val="auto"/>
        </w:rPr>
      </w:pPr>
    </w:p>
    <w:p>
      <w:pPr>
        <w:ind w:left="820" w:hanging="650"/>
        <w:spacing w:after="0"/>
        <w:tabs>
          <w:tab w:leader="none" w:pos="8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No Other Compensation.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as set forth in Sections 2 and 3 above, Executive shall not be entitled to any other salary, commission, bonuses, employee benefits (including long and short term disability, 401(k), and pension), expense reimbursement or compensation from Employer or its affiliates after the Separation Date and all of Executive’s rights to salary, commission, bonuses, employee benefits and other compensation hereunder which would have accrued or become payable after the Separation Date from Employer.</w:t>
      </w:r>
    </w:p>
    <w:p>
      <w:pPr>
        <w:spacing w:after="0" w:line="183" w:lineRule="exact"/>
        <w:rPr>
          <w:sz w:val="20"/>
          <w:szCs w:val="20"/>
          <w:color w:val="auto"/>
        </w:rPr>
      </w:pPr>
    </w:p>
    <w:p>
      <w:pPr>
        <w:ind w:left="820" w:hanging="650"/>
        <w:spacing w:after="0"/>
        <w:tabs>
          <w:tab w:leader="none" w:pos="8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General Release.</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consideration of the payments to be made hereunder and having acknowledged the above-stated consideration as full compensation for and on account of any and all injuries and damages which Executive has sustained or claimed, or may be entitled to claim, Executive, for himself, and his heirs, executors, administrators, successors and assigns, does hereby release, forever discharge and promise not to sue Employer, its parents, subsidiaries, affiliates, successors and assigns, and its past and present officers, directors, partners, employees, members, managers, shareholders, agents, attorneys, accountants, insurers, heirs, administrators, executors (collectively the “Released Parties”) from any and all claims, liabilities, costs, expenses, judgments, attorney fees, actions, known and unknown, of every kind and nature whatsoever in law or equity, which Executive had, now has, or may have against the Released Parties relating in any way to Executive’s employment with Employer or termination thereof, including but not limited to, all claims for contract damages, tort damages, special, general, direct, punitive and consequential damages, compensatory damages, loss of profits, attorney fees and any and all other damages of any kind or nature; all contracts, oral or written, between Executive and any of the Released Parties except as otherwise described herein; any business enterprise or proposed enterprise contemplated by any of the Released Parties, as well as anything done or not done prior to and including the date of execution of this Agreement. Nothing in this Agreement shall be construed to release Employer from any obligations set forth in this Agreement.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7" w:name="page18"/>
    <w:bookmarkEnd w:id="17"/>
    <w:p>
      <w:pPr>
        <w:jc w:val="both"/>
        <w:ind w:firstLine="648"/>
        <w:spacing w:after="0" w:line="269" w:lineRule="auto"/>
        <w:rPr>
          <w:sz w:val="20"/>
          <w:szCs w:val="20"/>
          <w:color w:val="auto"/>
        </w:rPr>
      </w:pPr>
      <w:r>
        <w:rPr>
          <w:rFonts w:ascii="Arial" w:cs="Arial" w:eastAsia="Arial" w:hAnsi="Arial"/>
          <w:sz w:val="17"/>
          <w:szCs w:val="17"/>
          <w:color w:val="auto"/>
        </w:rPr>
        <w:t>Executive understands and agrees that this release and covenant not to sue shall apply to any and all claims or liabilities arising out of or relating to Executive’s employment with Employer and the termination of such employment, including, but not limited to: claims of discrimination based on age, race, color, sex (including sexual harassment), religion, national origin, marital status, parental status, veteran status, union activities, disability or any other grounds under applicable federal, state or local law, including, but not limited to, claims arising under the Age Discrimination in Employment Act of 1967, as amended; the Americans with Disabilities Act; and Title VII of the Civil Rights Act, as amended, the Civil Rights Act of 1991; 42 U.S.C. § 1981, the Employee Retirement Income Security Act, the Consolidated Omnibus Budget Reconciliation Act of 1985 as amended, the Rehabilitation Act of 1973, the Equal Pay Act of 1963 (EPA) as well as any claims regarding wages; benefits; vacation; sick leave; business expense reimbursements; wrongful termination; breach of the covenant of good faith and fair dealing; intentional or negligent infliction of emotional distress; retaliation; outrage; defamation; invasion of privacy; breach of contract; fraud or negligent misrepresentation; harassment; breach of duty; negligence; discrimination; claims under any employment, contract or tort laws; claims arising under any other federal law, state law, municipal law, local law, or common law; any claims arising out of any employment contract, policy or procedure; and any other claims related to or arising out of his employment or the separation of his employment with Employer.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Executive agrees not to cause or encourage any legal proceeding to be maintained or instituted against any of the Released Parties.</w:t>
      </w:r>
    </w:p>
    <w:p>
      <w:pPr>
        <w:spacing w:after="0" w:line="24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This release does not apply to any claims for unemployment compensation or any other claims or rights which, by law, cannot be waived, including the right to file an administrative charge or participate in an administrative investigation or proceeding; provided, however that Executive disclaims and waives any right to share or participate in any monetary award resulting from the prosecution of such charge or investigation or proceeding.</w:t>
      </w:r>
    </w:p>
    <w:p>
      <w:pPr>
        <w:spacing w:after="0" w:line="143" w:lineRule="exact"/>
        <w:rPr>
          <w:sz w:val="20"/>
          <w:szCs w:val="20"/>
          <w:color w:val="auto"/>
        </w:rPr>
      </w:pPr>
    </w:p>
    <w:p>
      <w:pPr>
        <w:ind w:left="820" w:hanging="650"/>
        <w:spacing w:after="0"/>
        <w:tabs>
          <w:tab w:leader="none" w:pos="8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 and Protective Covenants.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Parties agree that all terms and provisions of Section 14 of the Employment Agreement related to Confidential Information, Non-Competition and Non-Solicitation shall remain in full force and effect for the applicable period following the Separation Date as provided in the Employment Agreement. Executive represents that he has complied with Section 14 of the Employment Agreement related to the return of Employer’s Confidential Information and other Employer property.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 w:name="page19"/>
    <w:bookmarkEnd w:id="18"/>
    <w:p>
      <w:pPr>
        <w:ind w:left="820" w:hanging="650"/>
        <w:spacing w:after="0"/>
        <w:tabs>
          <w:tab w:leader="none" w:pos="8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Non-Disparagement.</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Executive shall not, directly or indirectly, make or cause to be made and shall use his best efforts to cause the officers, directors, employee, agents and representatives of any entity or person controlled by Executive not to make or cause to be made, any disparaging, denigrating, derogatory or other negative, misleading or false statement orally or in writing to any person or entity, including members of the investment community, press, and customers, competitors and advisors to Employer, about Employer, its shareholders, subsidiaries or affiliates, their respective officers or members of their boards of directors, or the business strategy or plans, policies, practices or operations of Employer, its shareholders, subsidiaries or affiliates; provided, however, that (i) nothing in this Agreement shall prohibit Executive from reporting possible violations of federal law or regulation to any governmental agency or entity, including but not limited to the Department of Justice, the Securities and Exchange Commission, the Congress, and any agency Inspector General, or making other disclosures that are protected under the whistleblower provisions of federal law or regulation, and (ii) Executive does not need prior authorization from the Employer to make any such reports or disclosures and Executive is not required to notify the Employer that he has made such reports or disclosures.</w:t>
      </w:r>
    </w:p>
    <w:p>
      <w:pPr>
        <w:spacing w:after="0" w:line="163" w:lineRule="exact"/>
        <w:rPr>
          <w:sz w:val="20"/>
          <w:szCs w:val="20"/>
          <w:color w:val="auto"/>
        </w:rPr>
      </w:pPr>
    </w:p>
    <w:p>
      <w:pPr>
        <w:ind w:left="820" w:hanging="650"/>
        <w:spacing w:after="0"/>
        <w:tabs>
          <w:tab w:leader="none" w:pos="82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Cooperation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Executive acknowledges that in the course of his employment with Employer, Executive has gained knowledge and experience and/or was a witness to events and circumstances that may arise in or relate to Employer’s defense or prosecution of current or subsequent proceedings. Executive agrees to cooperate fully with Employer’s reasonable request as a witness and/or consultant in defending or prosecuting claims of all kinds, including but not limited to, any litigation, administrative actions or arbitrations.</w:t>
      </w:r>
    </w:p>
    <w:p>
      <w:pPr>
        <w:spacing w:after="0" w:line="183" w:lineRule="exact"/>
        <w:rPr>
          <w:sz w:val="20"/>
          <w:szCs w:val="20"/>
          <w:color w:val="auto"/>
        </w:rPr>
      </w:pPr>
    </w:p>
    <w:p>
      <w:pPr>
        <w:ind w:left="820" w:hanging="650"/>
        <w:spacing w:after="0"/>
        <w:tabs>
          <w:tab w:leader="none" w:pos="8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Resolution of Claims.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provisions of this Agreement are contractual and not merely recitals and are intended to resolve disputed claims. No party hereto admits liability of any kind and no portion of this Agreement shall be construed as an admission of liability.</w:t>
      </w:r>
    </w:p>
    <w:p>
      <w:pPr>
        <w:spacing w:after="0" w:line="166" w:lineRule="exact"/>
        <w:rPr>
          <w:sz w:val="20"/>
          <w:szCs w:val="20"/>
          <w:color w:val="auto"/>
        </w:rPr>
      </w:pPr>
    </w:p>
    <w:p>
      <w:pPr>
        <w:ind w:left="820" w:hanging="650"/>
        <w:spacing w:after="0"/>
        <w:tabs>
          <w:tab w:leader="none" w:pos="8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No Assignment of Claims.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Executive and Employer represent, recognizing that the truth of the following representation is a material consideration upon which this Agreement is based, that they have not heretofore assigned or transferred, or purported to assign or transfer, to any person or entity, any claim or any portion thereof, or interest therein relating to any claims being released by any party to this Agreement, and that they are unaware of any other entity having any interest in such claims, and agree to indemnify and hold the other party harmless from and against any and all claims, based on or arising out of any such third-party interest in, or assignment or transfer, or purported assignment or transfer of, any claims, or any portion thereof or interest therein.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9" w:name="page20"/>
    <w:bookmarkEnd w:id="19"/>
    <w:p>
      <w:pPr>
        <w:ind w:left="820" w:hanging="650"/>
        <w:spacing w:after="0"/>
        <w:tabs>
          <w:tab w:leader="none" w:pos="8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25" w:lineRule="exact"/>
        <w:rPr>
          <w:rFonts w:ascii="Arial" w:cs="Arial" w:eastAsia="Arial" w:hAnsi="Arial"/>
          <w:sz w:val="18"/>
          <w:szCs w:val="18"/>
          <w:b w:val="1"/>
          <w:bCs w:val="1"/>
          <w:color w:val="auto"/>
        </w:rPr>
      </w:pPr>
    </w:p>
    <w:p>
      <w:pPr>
        <w:ind w:firstLine="656"/>
        <w:spacing w:after="0" w:line="282" w:lineRule="auto"/>
        <w:tabs>
          <w:tab w:leader="none" w:pos="1106" w:val="left"/>
        </w:tabs>
        <w:numPr>
          <w:ilvl w:val="1"/>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THIS AGREEMENT WILL BE GOVERNED BY AND CONSTRUED IN ACCORDANCE WITH THE LAWS OF THE STATE OF TEXAS WITHOUT REGARD TO CONFLICTS OF LAW PRINCIPLES.</w:t>
      </w:r>
    </w:p>
    <w:p>
      <w:pPr>
        <w:spacing w:after="0" w:line="161" w:lineRule="exact"/>
        <w:rPr>
          <w:rFonts w:ascii="Arial" w:cs="Arial" w:eastAsia="Arial" w:hAnsi="Arial"/>
          <w:sz w:val="18"/>
          <w:szCs w:val="18"/>
          <w:b w:val="1"/>
          <w:bCs w:val="1"/>
          <w:color w:val="auto"/>
        </w:rPr>
      </w:pPr>
    </w:p>
    <w:p>
      <w:pPr>
        <w:ind w:firstLine="656"/>
        <w:spacing w:after="0" w:line="282" w:lineRule="auto"/>
        <w:tabs>
          <w:tab w:leader="none" w:pos="1195" w:val="left"/>
        </w:tabs>
        <w:numPr>
          <w:ilvl w:val="1"/>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EACH PARTY HERETO HEREBY IRREVOCABLY SUBMITS TO THE EXCLUSIVE JURISDICTION OF THE STATE AND FEDERAL COURTS IN HARRIS COUNTY, TEXAS, FOR THE PURPOSES OF ANY PROCEEDING ARISING OUT OF THIS AGREEMENT.</w:t>
      </w:r>
    </w:p>
    <w:p>
      <w:pPr>
        <w:spacing w:after="0" w:line="161" w:lineRule="exact"/>
        <w:rPr>
          <w:rFonts w:ascii="Arial" w:cs="Arial" w:eastAsia="Arial" w:hAnsi="Arial"/>
          <w:sz w:val="18"/>
          <w:szCs w:val="18"/>
          <w:b w:val="1"/>
          <w:bCs w:val="1"/>
          <w:color w:val="auto"/>
        </w:rPr>
      </w:pPr>
    </w:p>
    <w:p>
      <w:pPr>
        <w:ind w:left="820" w:hanging="650"/>
        <w:spacing w:after="0"/>
        <w:tabs>
          <w:tab w:leader="none" w:pos="8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Sufficient Time to Review.</w:t>
      </w:r>
    </w:p>
    <w:p>
      <w:pPr>
        <w:spacing w:after="0" w:line="22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7"/>
          <w:szCs w:val="17"/>
          <w:color w:val="auto"/>
        </w:rPr>
        <w:t>Executive acknowledges and agrees that: (a) he has had reasonable and sufficient time to read and review this Agreement and that he has, in fact, read and reviewed this Agreement; (b) that he has the right to consult with legal counsel regarding this Agreement and is encouraged to consult with legal counsel with regard to this Agreement; (c) that he has had (or has had the opportunity to take) 21</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calendar days to discuss the Agreement with a lawyer of his choice before signing it and, if he signs before the end of that period, he does so of his own free will and with the full knowledge that he could have taken the full period; (d) that he is entering into this Agreement freely and voluntarily and not as a result of any coercion, duress or undue influence; (e) that he is not relying upon any oral representations made to him regarding the subject matter of this Agreement; (f) that by this Agreement he is receiving consideration in addition to that which he was already entitled; and (g) that he has received all information he requires from Employer in order to make a knowing and voluntary release and waiver of all claims against Employer.</w:t>
      </w:r>
    </w:p>
    <w:p>
      <w:pPr>
        <w:spacing w:after="0" w:line="194" w:lineRule="exact"/>
        <w:rPr>
          <w:sz w:val="20"/>
          <w:szCs w:val="20"/>
          <w:color w:val="auto"/>
        </w:rPr>
      </w:pPr>
    </w:p>
    <w:p>
      <w:pPr>
        <w:ind w:left="820" w:hanging="650"/>
        <w:spacing w:after="0"/>
        <w:tabs>
          <w:tab w:leader="none" w:pos="8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Revocation/Payment.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Executive acknowledges and agrees that he has seven days from the date of the execution of this Agreement within which to rescind or revoke this Agreement by providing notice in writing to Employer. To revoke this Agreement, Executive must deliver written notice of such revocation to [Name, Title, Address] no later than [Date]. Executive further understands that the Agreement will have no force and effect until the end of that seventh day (the “Waiver Effective Date”), and that he will receive the benefits identified in Section 2 above after the Waiver Effective Date and following Employer’s receipt of the Agreement as executed by Executive if the Agreement is not revoked. If Executive revokes the Agreement pursuant to this Section 14, Employer will not be obligated to provide Executive with the separation payments identified in Section 2 and other benefits described in this Agreement, and this Agreement shall be deemed null and void.</w:t>
      </w:r>
    </w:p>
    <w:p>
      <w:pPr>
        <w:spacing w:after="0" w:line="185" w:lineRule="exact"/>
        <w:rPr>
          <w:sz w:val="20"/>
          <w:szCs w:val="20"/>
          <w:color w:val="auto"/>
        </w:rPr>
      </w:pPr>
    </w:p>
    <w:p>
      <w:pPr>
        <w:ind w:left="820" w:hanging="650"/>
        <w:spacing w:after="0"/>
        <w:tabs>
          <w:tab w:leader="none" w:pos="8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payments made by Employer under this Agreement will be subject to applicable federal, state and local taxes, and withholdings required for the same, which taxes will be the responsibility of Executive. Executive is hereby advised to consult immediately with his own tax advisor regarding the tax consequences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14490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140" w:hanging="132"/>
        <w:spacing w:after="0"/>
        <w:tabs>
          <w:tab w:leader="none" w:pos="140" w:val="left"/>
        </w:tabs>
        <w:numPr>
          <w:ilvl w:val="0"/>
          <w:numId w:val="38"/>
        </w:numPr>
        <w:rPr>
          <w:rFonts w:ascii="Arial" w:cs="Arial" w:eastAsia="Arial" w:hAnsi="Arial"/>
          <w:sz w:val="35"/>
          <w:szCs w:val="35"/>
          <w:color w:val="auto"/>
          <w:vertAlign w:val="superscript"/>
        </w:rPr>
      </w:pPr>
      <w:r>
        <w:rPr>
          <w:rFonts w:ascii="Arial" w:cs="Arial" w:eastAsia="Arial" w:hAnsi="Arial"/>
          <w:sz w:val="21"/>
          <w:szCs w:val="21"/>
          <w:color w:val="auto"/>
        </w:rPr>
        <w:t>Increase to 45 days in the event termination is part of a group under ADEA.</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0" w:name="page21"/>
    <w:bookmarkEnd w:id="20"/>
    <w:p>
      <w:pPr>
        <w:ind w:left="820" w:hanging="650"/>
        <w:spacing w:after="0"/>
        <w:tabs>
          <w:tab w:leader="none" w:pos="8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 Severability.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Agreement constitutes the entire agreement and understanding between the Parties and each of their affiliates (including, without limitation, the Released Parties) and replaces, cancels and supersedes any prior agreements and understandings relating to the subject matter hereof including, without limitation, the Employment Agreement, except as expressly provided herein, and all prior representations, agreements, understandings and undertakings among the parties hereto with respect to the subject matter hereof are merged herein. The Parties agree that this Agreement is the entire agreement between the parties relating to the subject matter hereof, and that there is no agreement, representation or other inducement for the execution of this Agreement other than the consideration recited herein.</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Should any provision of this Agreement be found to be invalid or unenforceable, the remaining provisions of this Agreement shall be deemed to be in full force and effect, at Employer’s sole discretion, to the fullest extent permitted by law. Any waiver of any term or provision of this Agreement shall not be deemed a continuing waiver and shall not prevent Employer from enforcing such provision in the future.</w:t>
      </w:r>
    </w:p>
    <w:p>
      <w:pPr>
        <w:spacing w:after="0" w:line="177" w:lineRule="exact"/>
        <w:rPr>
          <w:sz w:val="20"/>
          <w:szCs w:val="20"/>
          <w:color w:val="auto"/>
        </w:rPr>
      </w:pPr>
    </w:p>
    <w:p>
      <w:pPr>
        <w:ind w:left="820" w:hanging="650"/>
        <w:spacing w:after="0"/>
        <w:tabs>
          <w:tab w:leader="none" w:pos="8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Section 409A.</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Each payment under this Agreement, including each payment in a series of installment payments, is intended to be a separate payment for purposes of Treas. Reg. §1.409A-2(b), and is intended to be: (a) exempt from Section 409A of the Internal Revenue Code of 1986, the regulations and other binding guidance promulgated thereunder (“Section 409A”), including, but not limited to, by compliance with the short-term deferral exemption as specified in Treas. Reg. § 1.409A-1(b)(4), or (b) in compliance with Section 409A, including, but not limited to, being paid pursuant to a fixed schedule or specified date pursuant to Treas. Reg. § 1.409A-3(a) and the provisions of this Agreement will be administered, interpreted and construed accordingly.</w:t>
      </w:r>
    </w:p>
    <w:p>
      <w:pPr>
        <w:spacing w:after="0" w:line="154" w:lineRule="exact"/>
        <w:rPr>
          <w:sz w:val="20"/>
          <w:szCs w:val="20"/>
          <w:color w:val="auto"/>
        </w:rPr>
      </w:pPr>
    </w:p>
    <w:p>
      <w:pPr>
        <w:ind w:left="820" w:hanging="650"/>
        <w:spacing w:after="0"/>
        <w:tabs>
          <w:tab w:leader="none" w:pos="8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Binding Effect.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Agreement shall be binding on and inure to the benefit of each of the parties hereto, as well as their respective successors, assigns, heirs, executors and administrators.</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EMPLOYEE AFFIRMS THAT HE HAS CONSULTED WITH HIS ATTORNEY OR HAS HAD AN OPPORTUNITY TO DO SO PRIOR TO SIGNING THIS AGREEMENT AND THAT HE IS EXECUTING THE AGREEMENT VOLUNTARILY AND WITH FULL UNDERSTANDING OF ITS CONSEQUENCES.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IN WITNESS WHEREOF, the parties hereto have executed this Agreement as of the date first written above.</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Title: 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25298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219"/>
          </w:cols>
          <w:pgMar w:left="240" w:top="584" w:right="1440"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337945" cy="875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3794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VARIATION TO EXECUTIVE SERVICES AGREEMENT DATED 30 MAY 2012</w:t>
      </w:r>
    </w:p>
    <w:p>
      <w:pPr>
        <w:spacing w:after="0" w:line="225" w:lineRule="exact"/>
        <w:rPr>
          <w:sz w:val="20"/>
          <w:szCs w:val="20"/>
          <w:color w:val="auto"/>
        </w:rPr>
      </w:pPr>
    </w:p>
    <w:p>
      <w:pPr>
        <w:ind w:left="1280" w:right="100" w:hanging="1279"/>
        <w:spacing w:after="0" w:line="282" w:lineRule="auto"/>
        <w:tabs>
          <w:tab w:leader="none" w:pos="1260" w:val="left"/>
        </w:tabs>
        <w:rPr>
          <w:sz w:val="20"/>
          <w:szCs w:val="20"/>
          <w:color w:val="auto"/>
        </w:rPr>
      </w:pPr>
      <w:r>
        <w:rPr>
          <w:rFonts w:ascii="Arial" w:cs="Arial" w:eastAsia="Arial" w:hAnsi="Arial"/>
          <w:sz w:val="18"/>
          <w:szCs w:val="18"/>
          <w:b w:val="1"/>
          <w:bCs w:val="1"/>
          <w:color w:val="auto"/>
        </w:rPr>
        <w:t>BETWEEN</w:t>
      </w:r>
      <w:r>
        <w:rPr>
          <w:sz w:val="20"/>
          <w:szCs w:val="20"/>
          <w:color w:val="auto"/>
        </w:rPr>
        <w:tab/>
      </w:r>
      <w:r>
        <w:rPr>
          <w:rFonts w:ascii="Arial" w:cs="Arial" w:eastAsia="Arial" w:hAnsi="Arial"/>
          <w:sz w:val="18"/>
          <w:szCs w:val="18"/>
          <w:b w:val="1"/>
          <w:bCs w:val="1"/>
          <w:color w:val="auto"/>
        </w:rPr>
        <w:t xml:space="preserve">Peter McCann </w:t>
      </w:r>
      <w:r>
        <w:rPr>
          <w:rFonts w:ascii="Arial" w:cs="Arial" w:eastAsia="Arial" w:hAnsi="Arial"/>
          <w:sz w:val="18"/>
          <w:szCs w:val="18"/>
          <w:color w:val="auto"/>
        </w:rPr>
        <w:t>of 36B Burns Road, Wahroonga, NSW 2076 (</w:t>
      </w:r>
      <w:r>
        <w:rPr>
          <w:rFonts w:ascii="Arial" w:cs="Arial" w:eastAsia="Arial" w:hAnsi="Arial"/>
          <w:sz w:val="18"/>
          <w:szCs w:val="18"/>
          <w:b w:val="1"/>
          <w:bCs w:val="1"/>
          <w:color w:val="auto"/>
        </w:rPr>
        <w:t xml:space="preserve">you </w:t>
      </w:r>
      <w:r>
        <w:rPr>
          <w:rFonts w:ascii="Arial" w:cs="Arial" w:eastAsia="Arial" w:hAnsi="Arial"/>
          <w:sz w:val="18"/>
          <w:szCs w:val="18"/>
          <w:color w:val="auto"/>
        </w:rPr>
        <w:t>or</w:t>
      </w:r>
      <w:r>
        <w:rPr>
          <w:rFonts w:ascii="Arial" w:cs="Arial" w:eastAsia="Arial" w:hAnsi="Arial"/>
          <w:sz w:val="18"/>
          <w:szCs w:val="18"/>
          <w:b w:val="1"/>
          <w:bCs w:val="1"/>
          <w:color w:val="auto"/>
        </w:rPr>
        <w:t xml:space="preserve"> your</w:t>
      </w:r>
      <w:r>
        <w:rPr>
          <w:rFonts w:ascii="Arial" w:cs="Arial" w:eastAsia="Arial" w:hAnsi="Arial"/>
          <w:sz w:val="18"/>
          <w:szCs w:val="18"/>
          <w:color w:val="auto"/>
        </w:rPr>
        <w:t>); and Civeo Pty Ltd [ABN 53 003 657 510] of Level 6, 10 Bond</w:t>
      </w:r>
      <w:r>
        <w:rPr>
          <w:rFonts w:ascii="Arial" w:cs="Arial" w:eastAsia="Arial" w:hAnsi="Arial"/>
          <w:sz w:val="18"/>
          <w:szCs w:val="18"/>
          <w:b w:val="1"/>
          <w:bCs w:val="1"/>
          <w:color w:val="auto"/>
        </w:rPr>
        <w:t xml:space="preserve"> </w:t>
      </w:r>
      <w:r>
        <w:rPr>
          <w:rFonts w:ascii="Arial" w:cs="Arial" w:eastAsia="Arial" w:hAnsi="Arial"/>
          <w:sz w:val="18"/>
          <w:szCs w:val="18"/>
          <w:color w:val="auto"/>
        </w:rPr>
        <w:t>Street, Sydney in the State of New South Wales (</w:t>
      </w:r>
      <w:r>
        <w:rPr>
          <w:rFonts w:ascii="Arial" w:cs="Arial" w:eastAsia="Arial" w:hAnsi="Arial"/>
          <w:sz w:val="18"/>
          <w:szCs w:val="18"/>
          <w:b w:val="1"/>
          <w:bCs w:val="1"/>
          <w:color w:val="auto"/>
        </w:rPr>
        <w:t>Civeo AUS</w:t>
      </w:r>
      <w:r>
        <w:rPr>
          <w:rFonts w:ascii="Arial" w:cs="Arial" w:eastAsia="Arial" w:hAnsi="Arial"/>
          <w:sz w:val="18"/>
          <w:szCs w:val="18"/>
          <w:color w:val="auto"/>
        </w:rPr>
        <w:t>)</w:t>
      </w:r>
    </w:p>
    <w:p>
      <w:pPr>
        <w:spacing w:after="0" w:line="162"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this variation agreement, unless the context requires otherwise:</w:t>
      </w:r>
    </w:p>
    <w:p>
      <w:pPr>
        <w:spacing w:after="0" w:line="225" w:lineRule="exact"/>
        <w:rPr>
          <w:sz w:val="20"/>
          <w:szCs w:val="20"/>
          <w:color w:val="auto"/>
        </w:rPr>
      </w:pPr>
    </w:p>
    <w:p>
      <w:pPr>
        <w:ind w:left="1020" w:hanging="499"/>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Civeo </w:t>
      </w:r>
      <w:r>
        <w:rPr>
          <w:rFonts w:ascii="Arial" w:cs="Arial" w:eastAsia="Arial" w:hAnsi="Arial"/>
          <w:sz w:val="18"/>
          <w:szCs w:val="18"/>
          <w:color w:val="auto"/>
        </w:rPr>
        <w:t>means Civeo Corporation, being a company incorporated in the province of British Columbia, Canada;</w:t>
      </w:r>
    </w:p>
    <w:p>
      <w:pPr>
        <w:spacing w:after="0" w:line="225" w:lineRule="exact"/>
        <w:rPr>
          <w:rFonts w:ascii="Arial" w:cs="Arial" w:eastAsia="Arial" w:hAnsi="Arial"/>
          <w:sz w:val="18"/>
          <w:szCs w:val="18"/>
          <w:color w:val="auto"/>
        </w:rPr>
      </w:pPr>
    </w:p>
    <w:p>
      <w:pPr>
        <w:ind w:left="1020" w:hanging="499"/>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ESA </w:t>
      </w:r>
      <w:r>
        <w:rPr>
          <w:rFonts w:ascii="Arial" w:cs="Arial" w:eastAsia="Arial" w:hAnsi="Arial"/>
          <w:sz w:val="18"/>
          <w:szCs w:val="18"/>
          <w:color w:val="auto"/>
        </w:rPr>
        <w:t>means the Executive Services Agreement between you and Civeo AUS dated 30 May 2012;</w:t>
      </w:r>
    </w:p>
    <w:p>
      <w:pPr>
        <w:spacing w:after="0" w:line="225" w:lineRule="exact"/>
        <w:rPr>
          <w:rFonts w:ascii="Arial" w:cs="Arial" w:eastAsia="Arial" w:hAnsi="Arial"/>
          <w:sz w:val="18"/>
          <w:szCs w:val="18"/>
          <w:color w:val="auto"/>
        </w:rPr>
      </w:pPr>
    </w:p>
    <w:p>
      <w:pPr>
        <w:ind w:left="1020" w:hanging="499"/>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Executive Agreement </w:t>
      </w:r>
      <w:r>
        <w:rPr>
          <w:rFonts w:ascii="Arial" w:cs="Arial" w:eastAsia="Arial" w:hAnsi="Arial"/>
          <w:sz w:val="18"/>
          <w:szCs w:val="18"/>
          <w:color w:val="auto"/>
        </w:rPr>
        <w:t>means the executive agreement between you and Civeo dated August 17, 2015; and</w:t>
      </w:r>
    </w:p>
    <w:p>
      <w:pPr>
        <w:spacing w:after="0" w:line="225" w:lineRule="exact"/>
        <w:rPr>
          <w:rFonts w:ascii="Arial" w:cs="Arial" w:eastAsia="Arial" w:hAnsi="Arial"/>
          <w:sz w:val="18"/>
          <w:szCs w:val="18"/>
          <w:color w:val="auto"/>
        </w:rPr>
      </w:pPr>
    </w:p>
    <w:p>
      <w:pPr>
        <w:ind w:left="1020" w:hanging="499"/>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FW Act </w:t>
      </w:r>
      <w:r>
        <w:rPr>
          <w:rFonts w:ascii="Arial" w:cs="Arial" w:eastAsia="Arial" w:hAnsi="Arial"/>
          <w:sz w:val="18"/>
          <w:szCs w:val="18"/>
          <w:color w:val="auto"/>
        </w:rPr>
        <w:t>means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Fair Work Act 2009 (Cth)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Relationship to the ESA</w:t>
      </w:r>
    </w:p>
    <w:p>
      <w:pPr>
        <w:spacing w:after="0" w:line="229" w:lineRule="exact"/>
        <w:rPr>
          <w:sz w:val="20"/>
          <w:szCs w:val="20"/>
          <w:color w:val="auto"/>
        </w:rPr>
      </w:pPr>
    </w:p>
    <w:p>
      <w:pPr>
        <w:ind w:left="500" w:hanging="499"/>
        <w:spacing w:after="0" w:line="277" w:lineRule="auto"/>
        <w:tabs>
          <w:tab w:leader="none" w:pos="480" w:val="left"/>
        </w:tabs>
        <w:rPr>
          <w:sz w:val="20"/>
          <w:szCs w:val="20"/>
          <w:color w:val="auto"/>
        </w:rPr>
      </w:pPr>
      <w:r>
        <w:rPr>
          <w:rFonts w:ascii="Arial" w:cs="Arial" w:eastAsia="Arial" w:hAnsi="Arial"/>
          <w:sz w:val="18"/>
          <w:szCs w:val="18"/>
          <w:color w:val="auto"/>
        </w:rPr>
        <w:t>2.1</w:t>
        <w:tab/>
        <w:t>The parties acknowledge and agree that the Executive Agreement shall operate according to its terms, but subject to the terms of this variation agreement.</w:t>
      </w:r>
    </w:p>
    <w:p>
      <w:pPr>
        <w:spacing w:after="0" w:line="170" w:lineRule="exact"/>
        <w:rPr>
          <w:sz w:val="20"/>
          <w:szCs w:val="20"/>
          <w:color w:val="auto"/>
        </w:rPr>
      </w:pPr>
    </w:p>
    <w:p>
      <w:pPr>
        <w:ind w:left="500" w:hanging="499"/>
        <w:spacing w:after="0" w:line="277" w:lineRule="auto"/>
        <w:tabs>
          <w:tab w:leader="none" w:pos="480" w:val="left"/>
        </w:tabs>
        <w:rPr>
          <w:sz w:val="20"/>
          <w:szCs w:val="20"/>
          <w:color w:val="auto"/>
        </w:rPr>
      </w:pPr>
      <w:r>
        <w:rPr>
          <w:rFonts w:ascii="Arial" w:cs="Arial" w:eastAsia="Arial" w:hAnsi="Arial"/>
          <w:sz w:val="18"/>
          <w:szCs w:val="18"/>
          <w:color w:val="auto"/>
        </w:rPr>
        <w:t>2.2</w:t>
        <w:tab/>
        <w:t>To the extent of any inconsistency between the ESA and the Executive Agreement, the terms of this variation agreement shall apply and prevail. In all other respects, the ESA continues to prescribe your terms and conditions of employment with Civeo AUS.</w:t>
      </w:r>
    </w:p>
    <w:p>
      <w:pPr>
        <w:spacing w:after="0" w:line="170" w:lineRule="exact"/>
        <w:rPr>
          <w:sz w:val="20"/>
          <w:szCs w:val="20"/>
          <w:color w:val="auto"/>
        </w:rPr>
      </w:pPr>
    </w:p>
    <w:p>
      <w:pPr>
        <w:ind w:left="500" w:hanging="499"/>
        <w:spacing w:after="0" w:line="308" w:lineRule="auto"/>
        <w:tabs>
          <w:tab w:leader="none" w:pos="4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Nothing in this Agreement will be deemed to create a relationship of employer and employee between you and Civeo, and you acknowledge and agree you remain employed by Civeo AUS unless and until your employment is terminated in accordance with the ESA.</w:t>
      </w:r>
    </w:p>
    <w:p>
      <w:pPr>
        <w:spacing w:after="0" w:line="200" w:lineRule="exact"/>
        <w:rPr>
          <w:sz w:val="20"/>
          <w:szCs w:val="20"/>
          <w:color w:val="auto"/>
        </w:rPr>
      </w:pPr>
    </w:p>
    <w:p>
      <w:pPr>
        <w:spacing w:after="0" w:line="375"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Executive Agreement</w:t>
      </w:r>
    </w:p>
    <w:p>
      <w:pPr>
        <w:spacing w:after="0" w:line="229" w:lineRule="exact"/>
        <w:rPr>
          <w:sz w:val="20"/>
          <w:szCs w:val="20"/>
          <w:color w:val="auto"/>
        </w:rPr>
      </w:pPr>
    </w:p>
    <w:p>
      <w:pPr>
        <w:ind w:left="500" w:right="20" w:hanging="499"/>
        <w:spacing w:after="0" w:line="308" w:lineRule="auto"/>
        <w:tabs>
          <w:tab w:leader="none" w:pos="4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Despite and in addition to clauses 11 and 15 of the Executive Agreement, in the event of any dispute then either party to the Executive Agreement may in the alternative elect to commence a proceeding in any Federal or State court of competent jurisdiction in New South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2006600" cy="3429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0660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800"/>
        <w:spacing w:after="0"/>
        <w:rPr>
          <w:sz w:val="20"/>
          <w:szCs w:val="20"/>
          <w:color w:val="auto"/>
        </w:rPr>
      </w:pPr>
      <w:r>
        <w:rPr>
          <w:rFonts w:ascii="Arial" w:cs="Arial" w:eastAsia="Arial" w:hAnsi="Arial"/>
          <w:sz w:val="16"/>
          <w:szCs w:val="16"/>
          <w:color w:val="auto"/>
        </w:rPr>
        <w:t>Page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1337945" cy="8750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33794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jc w:val="both"/>
        <w:ind w:left="500" w:right="20" w:hanging="499"/>
        <w:spacing w:after="0" w:line="277" w:lineRule="auto"/>
        <w:tabs>
          <w:tab w:leader="none" w:pos="480" w:val="left"/>
        </w:tabs>
        <w:rPr>
          <w:sz w:val="20"/>
          <w:szCs w:val="20"/>
          <w:color w:val="auto"/>
        </w:rPr>
      </w:pPr>
      <w:r>
        <w:rPr>
          <w:rFonts w:ascii="Arial" w:cs="Arial" w:eastAsia="Arial" w:hAnsi="Arial"/>
          <w:sz w:val="18"/>
          <w:szCs w:val="18"/>
          <w:color w:val="auto"/>
        </w:rPr>
        <w:t>4.1</w:t>
        <w:tab/>
        <w:t>Despite clause 3(A) of the Executive Agreement, clause 18 of the ESA shall continue to prescribe the terms and conditions applicable to the termination of your employment with Civeo AUS.</w:t>
      </w:r>
    </w:p>
    <w:p>
      <w:pPr>
        <w:spacing w:after="0" w:line="170" w:lineRule="exact"/>
        <w:rPr>
          <w:sz w:val="20"/>
          <w:szCs w:val="20"/>
          <w:color w:val="auto"/>
        </w:rPr>
      </w:pPr>
    </w:p>
    <w:p>
      <w:pPr>
        <w:jc w:val="both"/>
        <w:ind w:left="500" w:hanging="499"/>
        <w:spacing w:after="0" w:line="286" w:lineRule="auto"/>
        <w:tabs>
          <w:tab w:leader="none" w:pos="4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In the event your employment with Civeo AUS in terminated in circumstances giving rise to an entitlement to a redundancy payment under section 119 of the FW Act, or any other applicable industrial law or instrument, then you acknowledge and agree that your entitlement to redundancy pay under such law or instrument may be offset by any amounts paid or payable to you pursuant to the Executive Agreement.</w:t>
      </w:r>
    </w:p>
    <w:p>
      <w:pPr>
        <w:spacing w:after="0" w:line="162"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left="500" w:hanging="499"/>
        <w:spacing w:after="0" w:line="277" w:lineRule="auto"/>
        <w:tabs>
          <w:tab w:leader="none" w:pos="480" w:val="left"/>
        </w:tabs>
        <w:rPr>
          <w:sz w:val="20"/>
          <w:szCs w:val="20"/>
          <w:color w:val="auto"/>
        </w:rPr>
      </w:pPr>
      <w:r>
        <w:rPr>
          <w:rFonts w:ascii="Arial" w:cs="Arial" w:eastAsia="Arial" w:hAnsi="Arial"/>
          <w:sz w:val="18"/>
          <w:szCs w:val="18"/>
          <w:color w:val="auto"/>
        </w:rPr>
        <w:t>5.1</w:t>
        <w:tab/>
        <w:t>Acknowledgement: you acknowledge and agree that you have had the opportunity to take independent professional legal advice regarding this variation agreement and you enter into the variation agreement voluntarily without duress, coercion or undue influence.</w:t>
      </w:r>
    </w:p>
    <w:p>
      <w:pPr>
        <w:spacing w:after="0" w:line="170" w:lineRule="exact"/>
        <w:rPr>
          <w:sz w:val="20"/>
          <w:szCs w:val="20"/>
          <w:color w:val="auto"/>
        </w:rPr>
      </w:pPr>
    </w:p>
    <w:p>
      <w:pPr>
        <w:ind w:left="500" w:right="80" w:hanging="499"/>
        <w:spacing w:after="0" w:line="277" w:lineRule="auto"/>
        <w:tabs>
          <w:tab w:leader="none" w:pos="480" w:val="left"/>
        </w:tabs>
        <w:rPr>
          <w:sz w:val="20"/>
          <w:szCs w:val="20"/>
          <w:color w:val="auto"/>
        </w:rPr>
      </w:pPr>
      <w:r>
        <w:rPr>
          <w:rFonts w:ascii="Arial" w:cs="Arial" w:eastAsia="Arial" w:hAnsi="Arial"/>
          <w:sz w:val="18"/>
          <w:szCs w:val="18"/>
          <w:color w:val="auto"/>
        </w:rPr>
        <w:t>5.2</w:t>
        <w:tab/>
        <w:t>Waiver: any failure by a party to insist on performance of a term of this agreement at any time is not a waiver of its right to insist upon performance of that or any other term at a later time.</w:t>
      </w:r>
    </w:p>
    <w:p>
      <w:pPr>
        <w:spacing w:after="0" w:line="170" w:lineRule="exact"/>
        <w:rPr>
          <w:sz w:val="20"/>
          <w:szCs w:val="20"/>
          <w:color w:val="auto"/>
        </w:rPr>
      </w:pPr>
    </w:p>
    <w:p>
      <w:pPr>
        <w:jc w:val="both"/>
        <w:ind w:left="500" w:hanging="499"/>
        <w:spacing w:after="0" w:line="277" w:lineRule="auto"/>
        <w:tabs>
          <w:tab w:leader="none" w:pos="480" w:val="left"/>
        </w:tabs>
        <w:rPr>
          <w:sz w:val="20"/>
          <w:szCs w:val="20"/>
          <w:color w:val="auto"/>
        </w:rPr>
      </w:pPr>
      <w:r>
        <w:rPr>
          <w:rFonts w:ascii="Arial" w:cs="Arial" w:eastAsia="Arial" w:hAnsi="Arial"/>
          <w:sz w:val="18"/>
          <w:szCs w:val="18"/>
          <w:color w:val="auto"/>
        </w:rPr>
        <w:t>5.3</w:t>
        <w:tab/>
        <w:t>Severability: Any provision of this agreement that is or becomes illegal, void or unenforceable will be ineffective to the extent only of such illegality, voidness or unenforceability and will not invalidate the remaining provisions.</w:t>
      </w:r>
    </w:p>
    <w:p>
      <w:pPr>
        <w:spacing w:after="0" w:line="170" w:lineRule="exact"/>
        <w:rPr>
          <w:sz w:val="20"/>
          <w:szCs w:val="20"/>
          <w:color w:val="auto"/>
        </w:rPr>
      </w:pPr>
    </w:p>
    <w:p>
      <w:pPr>
        <w:jc w:val="both"/>
        <w:ind w:left="500" w:hanging="499"/>
        <w:spacing w:after="0" w:line="286" w:lineRule="auto"/>
        <w:tabs>
          <w:tab w:leader="none" w:pos="4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color w:val="auto"/>
        </w:rPr>
        <w:t>Entire Agreement: this variation agreement shall be read together with the terms of the ESA as representing the entire agreement between Civeo AUS and you in relation to your terms and conditions of employment and supersedes any prior understanding or agreement between you and Civeo AUS and any prior condition, warranty, representation or indemnity imposed or made by either party whether in writing or not.</w:t>
      </w:r>
    </w:p>
    <w:p>
      <w:pPr>
        <w:spacing w:after="0" w:line="166" w:lineRule="exact"/>
        <w:rPr>
          <w:sz w:val="20"/>
          <w:szCs w:val="20"/>
          <w:color w:val="auto"/>
        </w:rPr>
      </w:pPr>
    </w:p>
    <w:p>
      <w:pPr>
        <w:jc w:val="both"/>
        <w:ind w:left="500" w:hanging="499"/>
        <w:spacing w:after="0" w:line="277" w:lineRule="auto"/>
        <w:tabs>
          <w:tab w:leader="none" w:pos="480" w:val="left"/>
        </w:tabs>
        <w:rPr>
          <w:sz w:val="20"/>
          <w:szCs w:val="20"/>
          <w:color w:val="auto"/>
        </w:rPr>
      </w:pPr>
      <w:r>
        <w:rPr>
          <w:rFonts w:ascii="Arial" w:cs="Arial" w:eastAsia="Arial" w:hAnsi="Arial"/>
          <w:sz w:val="18"/>
          <w:szCs w:val="18"/>
          <w:color w:val="auto"/>
        </w:rPr>
        <w:t>5.5</w:t>
        <w:tab/>
        <w:t>In the event of any default by Civeo in relation to any rights or obligations under the terms of the Executive Agreement, then Civeo AUS agrees to be bound by the terms of the Executive Agreement as if it were a party.</w:t>
      </w:r>
    </w:p>
    <w:p>
      <w:pPr>
        <w:spacing w:after="0" w:line="170" w:lineRule="exact"/>
        <w:rPr>
          <w:sz w:val="20"/>
          <w:szCs w:val="20"/>
          <w:color w:val="auto"/>
        </w:rPr>
      </w:pPr>
    </w:p>
    <w:p>
      <w:pPr>
        <w:jc w:val="both"/>
        <w:ind w:left="500" w:hanging="499"/>
        <w:spacing w:after="0" w:line="277" w:lineRule="auto"/>
        <w:tabs>
          <w:tab w:leader="none" w:pos="480" w:val="left"/>
        </w:tabs>
        <w:rPr>
          <w:sz w:val="20"/>
          <w:szCs w:val="20"/>
          <w:color w:val="auto"/>
        </w:rPr>
      </w:pPr>
      <w:r>
        <w:rPr>
          <w:rFonts w:ascii="Arial" w:cs="Arial" w:eastAsia="Arial" w:hAnsi="Arial"/>
          <w:sz w:val="18"/>
          <w:szCs w:val="18"/>
          <w:color w:val="auto"/>
        </w:rPr>
        <w:t>5.6</w:t>
        <w:tab/>
        <w:t>In the event of any default by you in relation to any rights or obligations under the terms of the Executive Agreement, then Civeo AUS may (in addition or in the alternative to Civeo) enforce the Executive Agreement against you.</w:t>
      </w:r>
    </w:p>
    <w:p>
      <w:pPr>
        <w:spacing w:after="0" w:line="170" w:lineRule="exact"/>
        <w:rPr>
          <w:sz w:val="20"/>
          <w:szCs w:val="20"/>
          <w:color w:val="auto"/>
        </w:rPr>
      </w:pPr>
    </w:p>
    <w:p>
      <w:pPr>
        <w:jc w:val="both"/>
        <w:ind w:left="500" w:right="20" w:hanging="499"/>
        <w:spacing w:after="0" w:line="277" w:lineRule="auto"/>
        <w:tabs>
          <w:tab w:leader="none" w:pos="480" w:val="left"/>
        </w:tabs>
        <w:rPr>
          <w:sz w:val="20"/>
          <w:szCs w:val="20"/>
          <w:color w:val="auto"/>
        </w:rPr>
      </w:pPr>
      <w:r>
        <w:rPr>
          <w:rFonts w:ascii="Arial" w:cs="Arial" w:eastAsia="Arial" w:hAnsi="Arial"/>
          <w:sz w:val="18"/>
          <w:szCs w:val="18"/>
          <w:color w:val="auto"/>
        </w:rPr>
        <w:t>5.7</w:t>
        <w:tab/>
        <w:t>Variation: no part of this agreement may be changed or varied in any way after it has been signed except in writing signed by or on behalf of Civeo, Civeo AUS and you.</w:t>
      </w:r>
    </w:p>
    <w:p>
      <w:pPr>
        <w:spacing w:after="0" w:line="17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color w:val="auto"/>
        </w:rPr>
        <w:t>Counterparts: this agreement may be executed in counterparts and all counterparts when taken together shall form one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2006600" cy="3429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0660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800"/>
        <w:spacing w:after="0"/>
        <w:rPr>
          <w:sz w:val="20"/>
          <w:szCs w:val="20"/>
          <w:color w:val="auto"/>
        </w:rPr>
      </w:pPr>
      <w:r>
        <w:rPr>
          <w:rFonts w:ascii="Arial" w:cs="Arial" w:eastAsia="Arial" w:hAnsi="Arial"/>
          <w:sz w:val="16"/>
          <w:szCs w:val="16"/>
          <w:color w:val="auto"/>
        </w:rPr>
        <w:t>Page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551815</wp:posOffset>
            </wp:positionV>
            <wp:extent cx="1337945" cy="875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33794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gridSpan w:val="5"/>
          </w:tcPr>
          <w:p>
            <w:pPr>
              <w:spacing w:after="0"/>
              <w:rPr>
                <w:sz w:val="20"/>
                <w:szCs w:val="20"/>
                <w:color w:val="auto"/>
              </w:rPr>
            </w:pPr>
            <w:r>
              <w:rPr>
                <w:rFonts w:ascii="Arial" w:cs="Arial" w:eastAsia="Arial" w:hAnsi="Arial"/>
                <w:sz w:val="18"/>
                <w:szCs w:val="18"/>
                <w:b w:val="1"/>
                <w:bCs w:val="1"/>
                <w:color w:val="auto"/>
              </w:rPr>
              <w:t>6.EXECUTION</w:t>
            </w:r>
          </w:p>
        </w:tc>
        <w:tc>
          <w:tcPr>
            <w:tcW w:w="12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14"/>
        </w:trPr>
        <w:tc>
          <w:tcPr>
            <w:tcW w:w="5200" w:type="dxa"/>
            <w:vAlign w:val="bottom"/>
            <w:gridSpan w:val="5"/>
          </w:tcPr>
          <w:p>
            <w:pPr>
              <w:spacing w:after="0"/>
              <w:rPr>
                <w:sz w:val="20"/>
                <w:szCs w:val="20"/>
                <w:color w:val="auto"/>
              </w:rPr>
            </w:pPr>
            <w:r>
              <w:rPr>
                <w:rFonts w:ascii="Arial" w:cs="Arial" w:eastAsia="Arial" w:hAnsi="Arial"/>
                <w:sz w:val="18"/>
                <w:szCs w:val="18"/>
                <w:b w:val="1"/>
                <w:bCs w:val="1"/>
                <w:color w:val="auto"/>
              </w:rPr>
              <w:t>EXECUTED FOR AND ON BEHALF OF</w:t>
            </w:r>
          </w:p>
        </w:tc>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EXECUTED BY THE EMPLOYEE</w:t>
            </w:r>
          </w:p>
        </w:tc>
      </w:tr>
      <w:tr>
        <w:trPr>
          <w:trHeight w:val="234"/>
        </w:trPr>
        <w:tc>
          <w:tcPr>
            <w:tcW w:w="5200" w:type="dxa"/>
            <w:vAlign w:val="bottom"/>
            <w:gridSpan w:val="5"/>
          </w:tcPr>
          <w:p>
            <w:pPr>
              <w:spacing w:after="0"/>
              <w:rPr>
                <w:sz w:val="20"/>
                <w:szCs w:val="20"/>
                <w:color w:val="auto"/>
              </w:rPr>
            </w:pPr>
            <w:r>
              <w:rPr>
                <w:rFonts w:ascii="Arial" w:cs="Arial" w:eastAsia="Arial" w:hAnsi="Arial"/>
                <w:sz w:val="18"/>
                <w:szCs w:val="18"/>
                <w:b w:val="1"/>
                <w:bCs w:val="1"/>
                <w:color w:val="auto"/>
              </w:rPr>
              <w:t>CIVEO AUS ON</w:t>
            </w:r>
          </w:p>
        </w:tc>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ON</w:t>
            </w:r>
          </w:p>
        </w:tc>
      </w:tr>
      <w:tr>
        <w:trPr>
          <w:trHeight w:val="432"/>
        </w:trPr>
        <w:tc>
          <w:tcPr>
            <w:tcW w:w="5200" w:type="dxa"/>
            <w:vAlign w:val="bottom"/>
            <w:gridSpan w:val="5"/>
          </w:tcPr>
          <w:p>
            <w:pPr>
              <w:spacing w:after="0"/>
              <w:rPr>
                <w:sz w:val="20"/>
                <w:szCs w:val="20"/>
                <w:color w:val="auto"/>
              </w:rPr>
            </w:pPr>
            <w:r>
              <w:rPr>
                <w:rFonts w:ascii="Arial" w:cs="Arial" w:eastAsia="Arial" w:hAnsi="Arial"/>
                <w:sz w:val="18"/>
                <w:szCs w:val="18"/>
                <w:b w:val="1"/>
                <w:bCs w:val="1"/>
                <w:color w:val="auto"/>
              </w:rPr>
              <w:t>Date: August 17, 2015</w:t>
            </w:r>
          </w:p>
        </w:tc>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Date: August 17, 2015</w:t>
            </w:r>
          </w:p>
        </w:tc>
      </w:tr>
      <w:tr>
        <w:trPr>
          <w:trHeight w:val="392"/>
        </w:trPr>
        <w:tc>
          <w:tcPr>
            <w:tcW w:w="5200" w:type="dxa"/>
            <w:vAlign w:val="bottom"/>
            <w:gridSpan w:val="5"/>
          </w:tcPr>
          <w:p>
            <w:pPr>
              <w:spacing w:after="0"/>
              <w:rPr>
                <w:sz w:val="20"/>
                <w:szCs w:val="20"/>
                <w:color w:val="auto"/>
              </w:rPr>
            </w:pPr>
            <w:r>
              <w:rPr>
                <w:rFonts w:ascii="Arial" w:cs="Arial" w:eastAsia="Arial" w:hAnsi="Arial"/>
                <w:sz w:val="18"/>
                <w:szCs w:val="18"/>
                <w:color w:val="auto"/>
              </w:rPr>
              <w:t>/s/ Frank C. Steininger___________</w:t>
            </w:r>
          </w:p>
        </w:tc>
        <w:tc>
          <w:tcPr>
            <w:tcW w:w="2880" w:type="dxa"/>
            <w:vAlign w:val="bottom"/>
            <w:gridSpan w:val="2"/>
          </w:tcPr>
          <w:p>
            <w:pPr>
              <w:spacing w:after="0"/>
              <w:rPr>
                <w:sz w:val="20"/>
                <w:szCs w:val="20"/>
                <w:color w:val="auto"/>
              </w:rPr>
            </w:pPr>
            <w:r>
              <w:rPr>
                <w:rFonts w:ascii="Arial" w:cs="Arial" w:eastAsia="Arial" w:hAnsi="Arial"/>
                <w:sz w:val="18"/>
                <w:szCs w:val="18"/>
                <w:color w:val="auto"/>
                <w:w w:val="89"/>
              </w:rPr>
              <w:t>/s/ Peter McCann__________________</w:t>
            </w:r>
          </w:p>
        </w:tc>
      </w:tr>
      <w:tr>
        <w:trPr>
          <w:trHeight w:val="237"/>
        </w:trPr>
        <w:tc>
          <w:tcPr>
            <w:tcW w:w="16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w w:val="93"/>
              </w:rPr>
              <w:t>Signature of Executor</w:t>
            </w:r>
          </w:p>
        </w:tc>
        <w:tc>
          <w:tcPr>
            <w:tcW w:w="356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w:t>
            </w:r>
          </w:p>
        </w:tc>
        <w:tc>
          <w:tcPr>
            <w:tcW w:w="1620" w:type="dxa"/>
            <w:vAlign w:val="bottom"/>
          </w:tcPr>
          <w:p>
            <w:pPr>
              <w:spacing w:after="0"/>
              <w:rPr>
                <w:sz w:val="20"/>
                <w:szCs w:val="20"/>
                <w:color w:val="auto"/>
              </w:rPr>
            </w:pPr>
          </w:p>
        </w:tc>
      </w:tr>
      <w:tr>
        <w:trPr>
          <w:trHeight w:val="392"/>
        </w:trPr>
        <w:tc>
          <w:tcPr>
            <w:tcW w:w="5200" w:type="dxa"/>
            <w:vAlign w:val="bottom"/>
            <w:gridSpan w:val="5"/>
          </w:tcPr>
          <w:p>
            <w:pPr>
              <w:spacing w:after="0"/>
              <w:rPr>
                <w:sz w:val="20"/>
                <w:szCs w:val="20"/>
                <w:color w:val="auto"/>
              </w:rPr>
            </w:pPr>
            <w:r>
              <w:rPr>
                <w:rFonts w:ascii="Arial" w:cs="Arial" w:eastAsia="Arial" w:hAnsi="Arial"/>
                <w:sz w:val="18"/>
                <w:szCs w:val="18"/>
                <w:color w:val="auto"/>
              </w:rPr>
              <w:t>Frank C. Steininger______________</w:t>
            </w: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37"/>
        </w:trPr>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7"/>
              </w:rPr>
              <w:t>Name of Executor</w:t>
            </w:r>
          </w:p>
        </w:tc>
        <w:tc>
          <w:tcPr>
            <w:tcW w:w="3780" w:type="dxa"/>
            <w:vAlign w:val="bottom"/>
            <w:gridSpan w:val="3"/>
          </w:tcPr>
          <w:p>
            <w:pPr>
              <w:spacing w:after="0"/>
              <w:rPr>
                <w:sz w:val="20"/>
                <w:szCs w:val="20"/>
                <w:color w:val="auto"/>
              </w:rPr>
            </w:pPr>
          </w:p>
        </w:tc>
        <w:tc>
          <w:tcPr>
            <w:tcW w:w="12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14"/>
        </w:trPr>
        <w:tc>
          <w:tcPr>
            <w:tcW w:w="5200" w:type="dxa"/>
            <w:vAlign w:val="bottom"/>
            <w:gridSpan w:val="5"/>
          </w:tcPr>
          <w:p>
            <w:pPr>
              <w:spacing w:after="0"/>
              <w:rPr>
                <w:sz w:val="20"/>
                <w:szCs w:val="20"/>
                <w:color w:val="auto"/>
              </w:rPr>
            </w:pPr>
            <w:r>
              <w:rPr>
                <w:rFonts w:ascii="Arial" w:cs="Arial" w:eastAsia="Arial" w:hAnsi="Arial"/>
                <w:sz w:val="18"/>
                <w:szCs w:val="18"/>
                <w:b w:val="1"/>
                <w:bCs w:val="1"/>
                <w:color w:val="auto"/>
              </w:rPr>
              <w:t>EXECUTED FOR AND ON BEHALF OF</w:t>
            </w: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34"/>
        </w:trPr>
        <w:tc>
          <w:tcPr>
            <w:tcW w:w="5200" w:type="dxa"/>
            <w:vAlign w:val="bottom"/>
            <w:gridSpan w:val="5"/>
          </w:tcPr>
          <w:p>
            <w:pPr>
              <w:spacing w:after="0"/>
              <w:rPr>
                <w:sz w:val="20"/>
                <w:szCs w:val="20"/>
                <w:color w:val="auto"/>
              </w:rPr>
            </w:pPr>
            <w:r>
              <w:rPr>
                <w:rFonts w:ascii="Arial" w:cs="Arial" w:eastAsia="Arial" w:hAnsi="Arial"/>
                <w:sz w:val="18"/>
                <w:szCs w:val="18"/>
                <w:b w:val="1"/>
                <w:bCs w:val="1"/>
                <w:color w:val="auto"/>
              </w:rPr>
              <w:t>CIVEO CORPORATION</w:t>
            </w:r>
          </w:p>
        </w:tc>
        <w:tc>
          <w:tcPr>
            <w:tcW w:w="12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32"/>
        </w:trPr>
        <w:tc>
          <w:tcPr>
            <w:tcW w:w="5200" w:type="dxa"/>
            <w:vAlign w:val="bottom"/>
            <w:gridSpan w:val="5"/>
          </w:tcPr>
          <w:p>
            <w:pPr>
              <w:spacing w:after="0"/>
              <w:rPr>
                <w:sz w:val="20"/>
                <w:szCs w:val="20"/>
                <w:color w:val="auto"/>
              </w:rPr>
            </w:pPr>
            <w:r>
              <w:rPr>
                <w:rFonts w:ascii="Arial" w:cs="Arial" w:eastAsia="Arial" w:hAnsi="Arial"/>
                <w:sz w:val="18"/>
                <w:szCs w:val="18"/>
                <w:b w:val="1"/>
                <w:bCs w:val="1"/>
                <w:color w:val="auto"/>
              </w:rPr>
              <w:t>Date: August 17, 2015</w:t>
            </w: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92"/>
        </w:trPr>
        <w:tc>
          <w:tcPr>
            <w:tcW w:w="5200" w:type="dxa"/>
            <w:vAlign w:val="bottom"/>
            <w:gridSpan w:val="5"/>
          </w:tcPr>
          <w:p>
            <w:pPr>
              <w:spacing w:after="0"/>
              <w:rPr>
                <w:sz w:val="20"/>
                <w:szCs w:val="20"/>
                <w:color w:val="auto"/>
              </w:rPr>
            </w:pPr>
            <w:r>
              <w:rPr>
                <w:rFonts w:ascii="Arial" w:cs="Arial" w:eastAsia="Arial" w:hAnsi="Arial"/>
                <w:sz w:val="18"/>
                <w:szCs w:val="18"/>
                <w:color w:val="auto"/>
              </w:rPr>
              <w:t>/s/ Bradley J. Dodson</w:t>
            </w:r>
            <w:r>
              <w:rPr>
                <w:rFonts w:ascii="Arial" w:cs="Arial" w:eastAsia="Arial" w:hAnsi="Arial"/>
                <w:sz w:val="18"/>
                <w:szCs w:val="18"/>
                <w:b w:val="1"/>
                <w:bCs w:val="1"/>
                <w:color w:val="auto"/>
              </w:rPr>
              <w:t>_____________</w:t>
            </w: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37"/>
        </w:trPr>
        <w:tc>
          <w:tcPr>
            <w:tcW w:w="5200" w:type="dxa"/>
            <w:vAlign w:val="bottom"/>
            <w:gridSpan w:val="5"/>
          </w:tcPr>
          <w:p>
            <w:pPr>
              <w:spacing w:after="0"/>
              <w:rPr>
                <w:sz w:val="20"/>
                <w:szCs w:val="20"/>
                <w:color w:val="auto"/>
              </w:rPr>
            </w:pPr>
            <w:r>
              <w:rPr>
                <w:rFonts w:ascii="Arial" w:cs="Arial" w:eastAsia="Arial" w:hAnsi="Arial"/>
                <w:sz w:val="18"/>
                <w:szCs w:val="18"/>
                <w:b w:val="1"/>
                <w:bCs w:val="1"/>
                <w:color w:val="auto"/>
              </w:rPr>
              <w:t>Signature of Executor</w:t>
            </w:r>
          </w:p>
        </w:tc>
        <w:tc>
          <w:tcPr>
            <w:tcW w:w="12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92"/>
        </w:trPr>
        <w:tc>
          <w:tcPr>
            <w:tcW w:w="5200" w:type="dxa"/>
            <w:vAlign w:val="bottom"/>
            <w:gridSpan w:val="5"/>
          </w:tcPr>
          <w:p>
            <w:pPr>
              <w:spacing w:after="0"/>
              <w:rPr>
                <w:sz w:val="20"/>
                <w:szCs w:val="20"/>
                <w:color w:val="auto"/>
              </w:rPr>
            </w:pPr>
            <w:r>
              <w:rPr>
                <w:rFonts w:ascii="Arial" w:cs="Arial" w:eastAsia="Arial" w:hAnsi="Arial"/>
                <w:sz w:val="18"/>
                <w:szCs w:val="18"/>
                <w:color w:val="auto"/>
              </w:rPr>
              <w:t>Bradley J. Dodson</w:t>
            </w:r>
            <w:r>
              <w:rPr>
                <w:rFonts w:ascii="Arial" w:cs="Arial" w:eastAsia="Arial" w:hAnsi="Arial"/>
                <w:sz w:val="18"/>
                <w:szCs w:val="18"/>
                <w:b w:val="1"/>
                <w:bCs w:val="1"/>
                <w:color w:val="auto"/>
              </w:rPr>
              <w:t>________________</w:t>
            </w: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37"/>
        </w:trPr>
        <w:tc>
          <w:tcPr>
            <w:tcW w:w="5200" w:type="dxa"/>
            <w:vAlign w:val="bottom"/>
            <w:gridSpan w:val="5"/>
          </w:tcPr>
          <w:p>
            <w:pPr>
              <w:spacing w:after="0"/>
              <w:rPr>
                <w:sz w:val="20"/>
                <w:szCs w:val="20"/>
                <w:color w:val="auto"/>
              </w:rPr>
            </w:pPr>
            <w:r>
              <w:rPr>
                <w:rFonts w:ascii="Arial" w:cs="Arial" w:eastAsia="Arial" w:hAnsi="Arial"/>
                <w:sz w:val="18"/>
                <w:szCs w:val="18"/>
                <w:b w:val="1"/>
                <w:bCs w:val="1"/>
                <w:color w:val="auto"/>
              </w:rPr>
              <w:t>Name of Executor</w:t>
            </w:r>
          </w:p>
        </w:tc>
        <w:tc>
          <w:tcPr>
            <w:tcW w:w="126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617220</wp:posOffset>
            </wp:positionV>
            <wp:extent cx="2006600" cy="3429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0660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3</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decimal"/>
      <w:start w:val="1"/>
    </w:lvl>
    <w:lvl w:ilvl="1">
      <w:lvlJc w:val="left"/>
      <w:lvlText w:val="(%2)"/>
      <w:numFmt w:val="upperLetter"/>
      <w:start w:val="1"/>
    </w:lvl>
  </w:abstractNum>
  <w:abstractNum w:abstractNumId="2">
    <w:nsid w:val="79838CB2"/>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3">
    <w:nsid w:val="4353D0CD"/>
    <w:multiLevelType w:val="hybridMultilevel"/>
    <w:lvl w:ilvl="0">
      <w:lvlJc w:val="left"/>
      <w:lvlText w:val="%1"/>
      <w:numFmt w:val="upperLetter"/>
      <w:start w:val="1"/>
    </w:lvl>
    <w:lvl w:ilvl="1">
      <w:lvlJc w:val="left"/>
      <w:lvlText w:val="(%2)"/>
      <w:numFmt w:val="lowerRoman"/>
      <w:start w:val="3"/>
    </w:lvl>
  </w:abstractNum>
  <w:abstractNum w:abstractNumId="4">
    <w:nsid w:val="B03E0C6"/>
    <w:multiLevelType w:val="hybridMultilevel"/>
    <w:lvl w:ilvl="0">
      <w:lvlJc w:val="left"/>
      <w:lvlText w:val="(%1)"/>
      <w:numFmt w:val="upperLetter"/>
      <w:start w:val="3"/>
    </w:lvl>
    <w:lvl w:ilvl="1">
      <w:lvlJc w:val="left"/>
      <w:lvlText w:val="(%2)"/>
      <w:numFmt w:val="lowerRoman"/>
      <w:start w:val="1"/>
    </w:lvl>
  </w:abstractNum>
  <w:abstractNum w:abstractNumId="5">
    <w:nsid w:val="189A769B"/>
    <w:multiLevelType w:val="hybridMultilevel"/>
    <w:lvl w:ilvl="0">
      <w:lvlJc w:val="left"/>
      <w:lvlText w:val="%1"/>
      <w:numFmt w:val="decimal"/>
      <w:start w:val="1"/>
    </w:lvl>
    <w:lvl w:ilvl="1">
      <w:lvlJc w:val="left"/>
      <w:lvlText w:val="(%2)"/>
      <w:numFmt w:val="upperLetter"/>
      <w:start w:val="5"/>
    </w:lvl>
  </w:abstractNum>
  <w:abstractNum w:abstractNumId="6">
    <w:nsid w:val="54E49EB4"/>
    <w:multiLevelType w:val="hybridMultilevel"/>
    <w:lvl w:ilvl="0">
      <w:lvlJc w:val="left"/>
      <w:lvlText w:val="%1."/>
      <w:numFmt w:val="decimal"/>
      <w:start w:val="3"/>
    </w:lvl>
    <w:lvl w:ilvl="1">
      <w:lvlJc w:val="left"/>
      <w:lvlText w:val="(%2)"/>
      <w:numFmt w:val="upperLetter"/>
      <w:start w:val="1"/>
    </w:lvl>
  </w:abstractNum>
  <w:abstractNum w:abstractNumId="7">
    <w:nsid w:val="71F32454"/>
    <w:multiLevelType w:val="hybridMultilevel"/>
    <w:lvl w:ilvl="0">
      <w:lvlJc w:val="left"/>
      <w:lvlText w:val="%1."/>
      <w:numFmt w:val="decimal"/>
      <w:start w:val="4"/>
    </w:lvl>
  </w:abstractNum>
  <w:abstractNum w:abstractNumId="8">
    <w:nsid w:val="2CA88611"/>
    <w:multiLevelType w:val="hybridMultilevel"/>
    <w:lvl w:ilvl="0">
      <w:lvlJc w:val="left"/>
      <w:lvlText w:val="%1"/>
      <w:numFmt w:val="decimal"/>
      <w:start w:val="1"/>
    </w:lvl>
    <w:lvl w:ilvl="1">
      <w:lvlJc w:val="left"/>
      <w:lvlText w:val="(%2)"/>
      <w:numFmt w:val="upperLetter"/>
      <w:start w:val="1"/>
    </w:lvl>
  </w:abstractNum>
  <w:abstractNum w:abstractNumId="9">
    <w:nsid w:val="836C40E"/>
    <w:multiLevelType w:val="hybridMultilevel"/>
    <w:lvl w:ilvl="0">
      <w:lvlJc w:val="left"/>
      <w:lvlText w:val="%1."/>
      <w:numFmt w:val="decimal"/>
      <w:start w:val="5"/>
    </w:lvl>
    <w:lvl w:ilvl="1">
      <w:lvlJc w:val="left"/>
      <w:lvlText w:val="%2"/>
      <w:numFmt w:val="upperLetter"/>
      <w:start w:val="1"/>
    </w:lvl>
  </w:abstractNum>
  <w:abstractNum w:abstractNumId="10">
    <w:nsid w:val="2901D82"/>
    <w:multiLevelType w:val="hybridMultilevel"/>
    <w:lvl w:ilvl="0">
      <w:lvlJc w:val="left"/>
      <w:lvlText w:val="(%1)"/>
      <w:numFmt w:val="upperLetter"/>
      <w:start w:val="1"/>
    </w:lvl>
  </w:abstractNum>
  <w:abstractNum w:abstractNumId="11">
    <w:nsid w:val="3A95F874"/>
    <w:multiLevelType w:val="hybridMultilevel"/>
    <w:lvl w:ilvl="0">
      <w:lvlJc w:val="left"/>
      <w:lvlText w:val="%1."/>
      <w:numFmt w:val="decimal"/>
      <w:start w:val="6"/>
    </w:lvl>
  </w:abstractNum>
  <w:abstractNum w:abstractNumId="12">
    <w:nsid w:val="8138641"/>
    <w:multiLevelType w:val="hybridMultilevel"/>
    <w:lvl w:ilvl="0">
      <w:lvlJc w:val="left"/>
      <w:lvlText w:val="%1."/>
      <w:numFmt w:val="decimal"/>
      <w:start w:val="7"/>
    </w:lvl>
  </w:abstractNum>
  <w:abstractNum w:abstractNumId="13">
    <w:nsid w:val="1E7FF521"/>
    <w:multiLevelType w:val="hybridMultilevel"/>
    <w:lvl w:ilvl="0">
      <w:lvlJc w:val="left"/>
      <w:lvlText w:val="%1."/>
      <w:numFmt w:val="decimal"/>
      <w:start w:val="8"/>
    </w:lvl>
  </w:abstractNum>
  <w:abstractNum w:abstractNumId="14">
    <w:nsid w:val="7C3DBD3D"/>
    <w:multiLevelType w:val="hybridMultilevel"/>
    <w:lvl w:ilvl="0">
      <w:lvlJc w:val="left"/>
      <w:lvlText w:val="%1."/>
      <w:numFmt w:val="decimal"/>
      <w:start w:val="9"/>
    </w:lvl>
  </w:abstractNum>
  <w:abstractNum w:abstractNumId="15">
    <w:nsid w:val="737B8DDC"/>
    <w:multiLevelType w:val="hybridMultilevel"/>
    <w:lvl w:ilvl="0">
      <w:lvlJc w:val="left"/>
      <w:lvlText w:val="%1."/>
      <w:numFmt w:val="decimal"/>
      <w:start w:val="10"/>
    </w:lvl>
  </w:abstractNum>
  <w:abstractNum w:abstractNumId="16">
    <w:nsid w:val="6CEAF087"/>
    <w:multiLevelType w:val="hybridMultilevel"/>
    <w:lvl w:ilvl="0">
      <w:lvlJc w:val="left"/>
      <w:lvlText w:val="%1."/>
      <w:numFmt w:val="decimal"/>
      <w:start w:val="11"/>
    </w:lvl>
  </w:abstractNum>
  <w:abstractNum w:abstractNumId="17">
    <w:nsid w:val="22221A70"/>
    <w:multiLevelType w:val="hybridMultilevel"/>
    <w:lvl w:ilvl="0">
      <w:lvlJc w:val="left"/>
      <w:lvlText w:val="%1."/>
      <w:numFmt w:val="decimal"/>
      <w:start w:val="12"/>
    </w:lvl>
  </w:abstractNum>
  <w:abstractNum w:abstractNumId="18">
    <w:nsid w:val="4516DDE9"/>
    <w:multiLevelType w:val="hybridMultilevel"/>
    <w:lvl w:ilvl="0">
      <w:lvlJc w:val="left"/>
      <w:lvlText w:val="(%1)"/>
      <w:numFmt w:val="upperLetter"/>
      <w:start w:val="1"/>
    </w:lvl>
  </w:abstractNum>
  <w:abstractNum w:abstractNumId="19">
    <w:nsid w:val="3006C83E"/>
    <w:multiLevelType w:val="hybridMultilevel"/>
    <w:lvl w:ilvl="0">
      <w:lvlJc w:val="left"/>
      <w:lvlText w:val="(%1)"/>
      <w:numFmt w:val="upperLetter"/>
      <w:start w:val="3"/>
    </w:lvl>
  </w:abstractNum>
  <w:abstractNum w:abstractNumId="20">
    <w:nsid w:val="614FD4A1"/>
    <w:multiLevelType w:val="hybridMultilevel"/>
    <w:lvl w:ilvl="0">
      <w:lvlJc w:val="left"/>
      <w:lvlText w:val="(%1)"/>
      <w:numFmt w:val="upperLetter"/>
      <w:start w:val="6"/>
    </w:lvl>
  </w:abstractNum>
  <w:abstractNum w:abstractNumId="21">
    <w:nsid w:val="419AC241"/>
    <w:multiLevelType w:val="hybridMultilevel"/>
    <w:lvl w:ilvl="0">
      <w:lvlJc w:val="left"/>
      <w:lvlText w:val="%1."/>
      <w:numFmt w:val="decimal"/>
      <w:start w:val="13"/>
    </w:lvl>
  </w:abstractNum>
  <w:abstractNum w:abstractNumId="22">
    <w:nsid w:val="5577F8E1"/>
    <w:multiLevelType w:val="hybridMultilevel"/>
    <w:lvl w:ilvl="0">
      <w:lvlJc w:val="left"/>
      <w:lvlText w:val="%1."/>
      <w:numFmt w:val="decimal"/>
      <w:start w:val="14"/>
    </w:lvl>
    <w:lvl w:ilvl="1">
      <w:lvlJc w:val="left"/>
      <w:lvlText w:val="(%2)"/>
      <w:numFmt w:val="upperLetter"/>
      <w:start w:val="1"/>
    </w:lvl>
  </w:abstractNum>
  <w:abstractNum w:abstractNumId="23">
    <w:nsid w:val="440BADFC"/>
    <w:multiLevelType w:val="hybridMultilevel"/>
    <w:lvl w:ilvl="0">
      <w:lvlJc w:val="left"/>
      <w:lvlText w:val="%1."/>
      <w:numFmt w:val="decimal"/>
      <w:start w:val="16"/>
    </w:lvl>
  </w:abstractNum>
  <w:abstractNum w:abstractNumId="24">
    <w:nsid w:val="5072367"/>
    <w:multiLevelType w:val="hybridMultilevel"/>
    <w:lvl w:ilvl="0">
      <w:lvlJc w:val="left"/>
      <w:lvlText w:val="%1."/>
      <w:numFmt w:val="decimal"/>
      <w:start w:val="1"/>
    </w:lvl>
  </w:abstractNum>
  <w:abstractNum w:abstractNumId="25">
    <w:nsid w:val="3804823E"/>
    <w:multiLevelType w:val="hybridMultilevel"/>
    <w:lvl w:ilvl="0">
      <w:lvlJc w:val="left"/>
      <w:lvlText w:val="%1."/>
      <w:numFmt w:val="decimal"/>
      <w:start w:val="2"/>
    </w:lvl>
  </w:abstractNum>
  <w:abstractNum w:abstractNumId="26">
    <w:nsid w:val="77465F01"/>
    <w:multiLevelType w:val="hybridMultilevel"/>
    <w:lvl w:ilvl="0">
      <w:lvlJc w:val="left"/>
      <w:lvlText w:val="%1."/>
      <w:numFmt w:val="decimal"/>
      <w:start w:val="3"/>
    </w:lvl>
  </w:abstractNum>
  <w:abstractNum w:abstractNumId="27">
    <w:nsid w:val="7724C67E"/>
    <w:multiLevelType w:val="hybridMultilevel"/>
    <w:lvl w:ilvl="0">
      <w:lvlJc w:val="left"/>
      <w:lvlText w:val="%1."/>
      <w:numFmt w:val="decimal"/>
      <w:start w:val="4"/>
    </w:lvl>
  </w:abstractNum>
  <w:abstractNum w:abstractNumId="28">
    <w:nsid w:val="5C482A97"/>
    <w:multiLevelType w:val="hybridMultilevel"/>
    <w:lvl w:ilvl="0">
      <w:lvlJc w:val="left"/>
      <w:lvlText w:val="%1."/>
      <w:numFmt w:val="decimal"/>
      <w:start w:val="5"/>
    </w:lvl>
  </w:abstractNum>
  <w:abstractNum w:abstractNumId="29">
    <w:nsid w:val="2463B9EA"/>
    <w:multiLevelType w:val="hybridMultilevel"/>
    <w:lvl w:ilvl="0">
      <w:lvlJc w:val="left"/>
      <w:lvlText w:val="%1."/>
      <w:numFmt w:val="decimal"/>
      <w:start w:val="6"/>
    </w:lvl>
  </w:abstractNum>
  <w:abstractNum w:abstractNumId="30">
    <w:nsid w:val="5E884ADC"/>
    <w:multiLevelType w:val="hybridMultilevel"/>
    <w:lvl w:ilvl="0">
      <w:lvlJc w:val="left"/>
      <w:lvlText w:val="%1."/>
      <w:numFmt w:val="decimal"/>
      <w:start w:val="7"/>
    </w:lvl>
  </w:abstractNum>
  <w:abstractNum w:abstractNumId="31">
    <w:nsid w:val="51EAD36B"/>
    <w:multiLevelType w:val="hybridMultilevel"/>
    <w:lvl w:ilvl="0">
      <w:lvlJc w:val="left"/>
      <w:lvlText w:val="%1."/>
      <w:numFmt w:val="decimal"/>
      <w:start w:val="8"/>
    </w:lvl>
  </w:abstractNum>
  <w:abstractNum w:abstractNumId="32">
    <w:nsid w:val="2D517796"/>
    <w:multiLevelType w:val="hybridMultilevel"/>
    <w:lvl w:ilvl="0">
      <w:lvlJc w:val="left"/>
      <w:lvlText w:val="%1."/>
      <w:numFmt w:val="decimal"/>
      <w:start w:val="9"/>
    </w:lvl>
  </w:abstractNum>
  <w:abstractNum w:abstractNumId="33">
    <w:nsid w:val="580BD78F"/>
    <w:multiLevelType w:val="hybridMultilevel"/>
    <w:lvl w:ilvl="0">
      <w:lvlJc w:val="left"/>
      <w:lvlText w:val="%1."/>
      <w:numFmt w:val="decimal"/>
      <w:start w:val="10"/>
    </w:lvl>
  </w:abstractNum>
  <w:abstractNum w:abstractNumId="34">
    <w:nsid w:val="153EA438"/>
    <w:multiLevelType w:val="hybridMultilevel"/>
    <w:lvl w:ilvl="0">
      <w:lvlJc w:val="left"/>
      <w:lvlText w:val="%1."/>
      <w:numFmt w:val="decimal"/>
      <w:start w:val="11"/>
    </w:lvl>
    <w:lvl w:ilvl="1">
      <w:lvlJc w:val="left"/>
      <w:lvlText w:val="(%2)"/>
      <w:numFmt w:val="lowerLetter"/>
      <w:start w:val="1"/>
    </w:lvl>
  </w:abstractNum>
  <w:abstractNum w:abstractNumId="35">
    <w:nsid w:val="3855585C"/>
    <w:multiLevelType w:val="hybridMultilevel"/>
    <w:lvl w:ilvl="0">
      <w:lvlJc w:val="left"/>
      <w:lvlText w:val="%1."/>
      <w:numFmt w:val="decimal"/>
      <w:start w:val="13"/>
    </w:lvl>
  </w:abstractNum>
  <w:abstractNum w:abstractNumId="36">
    <w:nsid w:val="70A64E2A"/>
    <w:multiLevelType w:val="hybridMultilevel"/>
    <w:lvl w:ilvl="0">
      <w:lvlJc w:val="left"/>
      <w:lvlText w:val="%1."/>
      <w:numFmt w:val="decimal"/>
      <w:start w:val="14"/>
    </w:lvl>
  </w:abstractNum>
  <w:abstractNum w:abstractNumId="37">
    <w:nsid w:val="6A2342EC"/>
    <w:multiLevelType w:val="hybridMultilevel"/>
    <w:lvl w:ilvl="0">
      <w:lvlJc w:val="left"/>
      <w:lvlText w:val="1"/>
      <w:numFmt w:val="bullet"/>
      <w:start w:val="1"/>
    </w:lvl>
  </w:abstractNum>
  <w:abstractNum w:abstractNumId="38">
    <w:nsid w:val="2A487CB0"/>
    <w:multiLevelType w:val="hybridMultilevel"/>
    <w:lvl w:ilvl="0">
      <w:lvlJc w:val="left"/>
      <w:lvlText w:val="%1."/>
      <w:numFmt w:val="decimal"/>
      <w:start w:val="15"/>
    </w:lvl>
  </w:abstractNum>
  <w:abstractNum w:abstractNumId="39">
    <w:nsid w:val="1D4ED43B"/>
    <w:multiLevelType w:val="hybridMultilevel"/>
    <w:lvl w:ilvl="0">
      <w:lvlJc w:val="left"/>
      <w:lvlText w:val="%1."/>
      <w:numFmt w:val="decimal"/>
      <w:start w:val="16"/>
    </w:lvl>
  </w:abstractNum>
  <w:abstractNum w:abstractNumId="40">
    <w:nsid w:val="725A06FB"/>
    <w:multiLevelType w:val="hybridMultilevel"/>
    <w:lvl w:ilvl="0">
      <w:lvlJc w:val="left"/>
      <w:lvlText w:val="%1."/>
      <w:numFmt w:val="decimal"/>
      <w:start w:val="17"/>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lowerLetter"/>
      <w:start w:val="1"/>
    </w:lvl>
  </w:abstractNum>
  <w:abstractNum w:abstractNumId="43">
    <w:nsid w:val="7A6D8D3C"/>
    <w:multiLevelType w:val="hybridMultilevel"/>
    <w:lvl w:ilvl="0">
      <w:lvlJc w:val="left"/>
      <w:lvlText w:val="%1."/>
      <w:numFmt w:val="decimal"/>
      <w:start w:val="2"/>
    </w:lvl>
  </w:abstractNum>
  <w:abstractNum w:abstractNumId="44">
    <w:nsid w:val="4B588F54"/>
    <w:multiLevelType w:val="hybridMultilevel"/>
    <w:lvl w:ilvl="0">
      <w:lvlJc w:val="left"/>
      <w:lvlText w:val="%1."/>
      <w:numFmt w:val="decimal"/>
      <w:start w:val="3"/>
    </w:lvl>
  </w:abstractNum>
  <w:abstractNum w:abstractNumId="45">
    <w:nsid w:val="542289EC"/>
    <w:multiLevelType w:val="hybridMultilevel"/>
    <w:lvl w:ilvl="0">
      <w:lvlJc w:val="left"/>
      <w:lvlText w:val="%1."/>
      <w:numFmt w:val="decimal"/>
      <w:start w:val="4"/>
    </w:lvl>
  </w:abstractNum>
  <w:abstractNum w:abstractNumId="46">
    <w:nsid w:val="6DE91B18"/>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2019-12-09T03:30:41Z</dcterms:created>
  <dcterms:modified xsi:type="dcterms:W3CDTF">2019-12-09T03:30:41Z</dcterms:modified>
</cp:coreProperties>
</file>