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178787107</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Torlowna Investments Ltd.</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9657 45 Avenue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Lance Torgerson</w:t>
      </w:r>
    </w:p>
    <w:p>
      <w:pPr>
        <w:spacing w:after="0" w:line="203" w:lineRule="exact"/>
        <w:rPr>
          <w:sz w:val="24"/>
          <w:szCs w:val="24"/>
          <w:color w:val="auto"/>
        </w:rPr>
      </w:pPr>
    </w:p>
    <w:p>
      <w:pPr>
        <w:ind w:left="4884"/>
        <w:spacing w:after="0"/>
        <w:rPr>
          <w:sz w:val="20"/>
          <w:szCs w:val="20"/>
          <w:color w:val="auto"/>
        </w:rPr>
      </w:pPr>
      <w:r>
        <w:rPr>
          <w:rFonts w:ascii="Times New Roman" w:cs="Times New Roman" w:eastAsia="Times New Roman" w:hAnsi="Times New Roman"/>
          <w:sz w:val="18"/>
          <w:szCs w:val="18"/>
          <w:b w:val="1"/>
          <w:bCs w:val="1"/>
          <w:color w:val="auto"/>
        </w:rPr>
        <w:t>- with copies to -</w:t>
      </w:r>
    </w:p>
    <w:p>
      <w:pPr>
        <w:spacing w:after="0" w:line="117" w:lineRule="exact"/>
        <w:rPr>
          <w:sz w:val="24"/>
          <w:szCs w:val="24"/>
          <w:color w:val="auto"/>
        </w:rPr>
      </w:pPr>
    </w:p>
    <w:p>
      <w:pPr>
        <w:ind w:left="4664"/>
        <w:spacing w:after="0"/>
        <w:rPr>
          <w:sz w:val="20"/>
          <w:szCs w:val="20"/>
          <w:color w:val="auto"/>
        </w:rPr>
      </w:pPr>
      <w:r>
        <w:rPr>
          <w:rFonts w:ascii="Times New Roman" w:cs="Times New Roman" w:eastAsia="Times New Roman" w:hAnsi="Times New Roman"/>
          <w:sz w:val="18"/>
          <w:szCs w:val="18"/>
          <w:b w:val="1"/>
          <w:bCs w:val="1"/>
          <w:color w:val="auto"/>
        </w:rPr>
        <w:t>Dentons Canada LLP</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Leanne Krawchuk</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23,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Torgerson Family Trust</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Province of British Columbia, Canada</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w w:val="99"/>
              </w:rPr>
              <w:t>989677 Alberta Ltd.</w:t>
            </w: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tcPr>
          <w:p>
            <w:pPr>
              <w:spacing w:after="0"/>
              <w:rPr>
                <w:sz w:val="20"/>
                <w:szCs w:val="20"/>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0"/>
                <w:szCs w:val="10"/>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8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160,104</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Pr>
          <w:p>
            <w:pPr>
              <w:spacing w:after="0"/>
              <w:rPr>
                <w:sz w:val="6"/>
                <w:szCs w:val="6"/>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20"/>
                <w:szCs w:val="20"/>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160,104</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160,104</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Svenco Investments Ltd.</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160,104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160,104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160,104 </w:t>
            </w:r>
            <w:r>
              <w:rPr>
                <w:rFonts w:ascii="Times New Roman" w:cs="Times New Roman" w:eastAsia="Times New Roman" w:hAnsi="Times New Roman"/>
                <w:sz w:val="26"/>
                <w:szCs w:val="26"/>
                <w:color w:val="auto"/>
                <w:vertAlign w:val="superscript"/>
              </w:rPr>
              <w:t>(1)</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2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Svenco Investments Ltd. may be deemed to be the beneficial owner of 160,104 shares held indirectly by Svenco Investments Ltd. as the direct owner of all of the voting shares of 989677 Alberta Ltd.</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Torlowna Investments Ltd.</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1,719,188</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1,719,188</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1,719,188</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Lance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1,879,292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1,879,292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7"/>
              </w:rPr>
              <w:t xml:space="preserve">1,879,292 </w:t>
            </w:r>
            <w:r>
              <w:rPr>
                <w:rFonts w:ascii="Times New Roman" w:cs="Times New Roman" w:eastAsia="Times New Roman" w:hAnsi="Times New Roman"/>
                <w:sz w:val="26"/>
                <w:szCs w:val="26"/>
                <w:color w:val="auto"/>
                <w:w w:val="97"/>
                <w:vertAlign w:val="superscript"/>
              </w:rPr>
              <w:t>(2)</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Lance Torgerson may be deemed to be the beneficial owner of the shares held directly by Torlowna Investments Ltd. and 989677 Alberta Ltd., which are controlled by Lance Torgerson.</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66" w:right="5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6"/>
              </w:rPr>
              <w:t>Tammy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1,879,292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1,879,292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7"/>
              </w:rPr>
              <w:t xml:space="preserve">1,879,292 </w:t>
            </w:r>
            <w:r>
              <w:rPr>
                <w:rFonts w:ascii="Times New Roman" w:cs="Times New Roman" w:eastAsia="Times New Roman" w:hAnsi="Times New Roman"/>
                <w:sz w:val="26"/>
                <w:szCs w:val="26"/>
                <w:color w:val="auto"/>
                <w:w w:val="97"/>
                <w:vertAlign w:val="superscript"/>
              </w:rPr>
              <w:t>(3)</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64" w:right="2640" w:hanging="5464"/>
        <w:spacing w:after="0" w:line="454" w:lineRule="auto"/>
        <w:tabs>
          <w:tab w:leader="none" w:pos="4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Torgerson may be deemed to be the beneficial owner of the shares held by her spouse Lance Torgerson. 7</w:t>
      </w:r>
    </w:p>
    <w:p>
      <w:pPr>
        <w:sectPr>
          <w:pgSz w:w="11900" w:h="16838" w:orient="portrait"/>
          <w:cols w:equalWidth="0" w:num="1">
            <w:col w:w="10904"/>
          </w:cols>
          <w:pgMar w:left="436" w:top="266"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Richard Torgerson</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0"/>
                <w:szCs w:val="10"/>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6"/>
                <w:szCs w:val="6"/>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8" w:name="page9"/>
    <w:bookmarkEnd w:id="8"/>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10 TO SCHEDULE 13D</w:t>
      </w:r>
    </w:p>
    <w:p>
      <w:pPr>
        <w:spacing w:after="0" w:line="227"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i w:val="1"/>
          <w:iCs w:val="1"/>
          <w:color w:val="auto"/>
        </w:rPr>
        <w:t>This Amendment No. 10 to Schedule 13D/A (the “Amendment”) relates to the Common Shares (“Common Shares”) of Civeo Corporation, a British Columbia corporation (the “Issuer” or the “Company”). This Amendment is being filed to amend the Schedule 13D/A that was filed on November 4, 2022 (the “Schedule 13D”). This Amendment is being filed to update Items 2 and 5 to the Schedule 13D. Other than information set forth on the cover pages, Item 2 and Item 5 below, no other information in the Schedule 13D is being amended. Unless otherwise indicated in this Amendment, all capitalized terms have the meanings ascribed to them in the Schedule 13D.</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244" w:hanging="244"/>
        <w:spacing w:after="0"/>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on behalf of:</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Torgerson Family Trust (“Torgerson Trust”);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989677 Alberta Ltd. (“989”);</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Svenco Investments Ltd. (“Svenco”);</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Torlowna Investments Ltd. (“Torlowna”)</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Lance Torgerson (“Lance Torgerson”);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Tammy Torgerson (“Mrs. Torgerson”); and</w:t>
      </w:r>
    </w:p>
    <w:p>
      <w:pPr>
        <w:spacing w:after="0" w:line="130"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Torgerson (“Richard Torgerson” and together with Torgerson Trust, 989, Svenco, Torlowna, Lance Torgerson and Mrs. Torgerson, each, a “Reporting Person” and collectively, the “Reporting Persons”).</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 Reporting Persons is 9657 45 Avenue NW, Edmonton, Alberta, Canada T6E 5Z8.</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each of Torgerson Trust, 989, Svenco and Towlowna is investment holding. The principal occupation of Lance Torgerson is an entrepreneur. Lance Torgerson is also the sole director and sole executive officer of 989 and Svenco. The principal occupation of Mrs. Torgerson is a homemaker. The principal occupation of Richard Torgerson is a retired businessman.</w:t>
      </w:r>
    </w:p>
    <w:p>
      <w:pPr>
        <w:spacing w:after="0" w:line="175" w:lineRule="exact"/>
        <w:rPr>
          <w:rFonts w:ascii="Times New Roman" w:cs="Times New Roman" w:eastAsia="Times New Roman" w:hAnsi="Times New Roman"/>
          <w:sz w:val="18"/>
          <w:szCs w:val="18"/>
          <w:color w:val="auto"/>
        </w:rPr>
      </w:pPr>
    </w:p>
    <w:p>
      <w:pPr>
        <w:ind w:left="4" w:right="600" w:hanging="4"/>
        <w:spacing w:after="0" w:line="282"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left="4" w:right="320" w:hanging="4"/>
        <w:spacing w:after="0" w:line="266"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6 of the respective cover page of each Reporting Person.</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and (b) The information on the cover pages are incorporated by reference to this Item 5(a) and 5(b).</w:t>
      </w:r>
    </w:p>
    <w:p>
      <w:pPr>
        <w:spacing w:after="0" w:line="225"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ownership percentage is calculated based upon 13,712,661 of the Issuer’s Common Shares outstanding as of October 21, 2022, as reported in the Issuer’s quarterly report for the period ending September 30, 2022 on the Form 10-Q filed with the Securities and Exchange Commission (the “SEC”) on October 28, 2022, plus the issuance of 1,504,539 shares of common stock resulting from the conversion of 5,425 shares of Class A Series 1 preferred shares.</w:t>
      </w:r>
    </w:p>
    <w:p>
      <w:pPr>
        <w:spacing w:after="0" w:line="180" w:lineRule="exact"/>
        <w:rPr>
          <w:sz w:val="20"/>
          <w:szCs w:val="20"/>
          <w:color w:val="auto"/>
        </w:rPr>
      </w:pPr>
    </w:p>
    <w:p>
      <w:pPr>
        <w:ind w:left="4" w:hanging="4"/>
        <w:spacing w:after="0" w:line="266"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23, 2022, the Lance Torgerson converted 5,425 of the Issuer’s Class A Series 1 Preferred Shares, held indirectly by Torgerson Family Trust, into 1,504,539 of the Issuer’s Common Shares and transferred such Common Shares to Torlowna Investments Ltd. No consideration was received or paid in connection with such transfer, which was made for tax planning purposes.</w:t>
      </w:r>
    </w:p>
    <w:p>
      <w:pPr>
        <w:spacing w:after="0" w:line="176"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On December 23, 2022, Torgerson Family Trust transferred 214,649 Common Shares held in escrow to Torlowna Investments Ltd. No consideration was received or paid in connection with such transfer, which was made for tax planning purposes.</w:t>
      </w:r>
    </w:p>
    <w:p>
      <w:pPr>
        <w:spacing w:after="0" w:line="162" w:lineRule="exact"/>
        <w:rPr>
          <w:sz w:val="20"/>
          <w:szCs w:val="20"/>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10" w:name="page11"/>
    <w:bookmarkEnd w:id="1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23,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989677 Alberta Ltd.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Svenco Investments Ltd.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Lance Torgerson</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Torlowna Investments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Lance Torgerson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Torgerson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Tammy Torgerson</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2022-12-27T15:51:30Z</dcterms:created>
  <dcterms:modified xsi:type="dcterms:W3CDTF">2022-12-27T15:51:30Z</dcterms:modified>
</cp:coreProperties>
</file>