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SECURITIES AND EXCHANGE COMMISSION</w:t>
      </w:r>
    </w:p>
    <w:p>
      <w:pPr>
        <w:ind w:left="4380"/>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SCHEDULE 14A</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1"/>
          <w:szCs w:val="21"/>
          <w:b w:val="1"/>
          <w:bCs w:val="1"/>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90" w:lineRule="exact"/>
        <w:rPr>
          <w:sz w:val="24"/>
          <w:szCs w:val="24"/>
          <w:color w:val="auto"/>
        </w:rPr>
      </w:pPr>
    </w:p>
    <w:p>
      <w:pPr>
        <w:ind w:left="560" w:hanging="540"/>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46" w:lineRule="exact"/>
        <w:rPr>
          <w:rFonts w:ascii="MS PGothic" w:cs="MS PGothic" w:eastAsia="MS PGothic" w:hAnsi="MS PGothic"/>
          <w:sz w:val="17"/>
          <w:szCs w:val="17"/>
          <w:color w:val="auto"/>
        </w:rPr>
      </w:pPr>
    </w:p>
    <w:p>
      <w:pPr>
        <w:ind w:left="560" w:hanging="540"/>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55" w:lineRule="exact"/>
        <w:rPr>
          <w:sz w:val="24"/>
          <w:szCs w:val="24"/>
          <w:color w:val="auto"/>
        </w:rPr>
      </w:pPr>
    </w:p>
    <w:p>
      <w:pPr>
        <w:ind w:left="560" w:hanging="540"/>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51" w:lineRule="exact"/>
        <w:rPr>
          <w:sz w:val="24"/>
          <w:szCs w:val="24"/>
          <w:color w:val="auto"/>
        </w:rPr>
      </w:pPr>
    </w:p>
    <w:p>
      <w:pPr>
        <w:ind w:left="560" w:hanging="540"/>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41" w:lineRule="exact"/>
        <w:rPr>
          <w:rFonts w:ascii="MS PGothic" w:cs="MS PGothic" w:eastAsia="MS PGothic" w:hAnsi="MS PGothic"/>
          <w:sz w:val="17"/>
          <w:szCs w:val="17"/>
          <w:color w:val="auto"/>
        </w:rPr>
      </w:pPr>
    </w:p>
    <w:p>
      <w:pPr>
        <w:ind w:left="560" w:hanging="540"/>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Soliciting Material Pursuant to </w:t>
      </w:r>
      <w:r>
        <w:rPr>
          <w:rFonts w:ascii="Arial" w:cs="Arial" w:eastAsia="Arial" w:hAnsi="Arial"/>
          <w:sz w:val="20"/>
          <w:szCs w:val="20"/>
          <w:color w:val="auto"/>
        </w:rPr>
        <w:t>§</w:t>
      </w:r>
      <w:r>
        <w:rPr>
          <w:rFonts w:ascii="Arial" w:cs="Arial" w:eastAsia="Arial" w:hAnsi="Arial"/>
          <w:sz w:val="17"/>
          <w:szCs w:val="17"/>
          <w:color w:val="auto"/>
        </w:rPr>
        <w:t>240.14a-12</w:t>
      </w:r>
    </w:p>
    <w:p>
      <w:pPr>
        <w:spacing w:after="0" w:line="94" w:lineRule="exact"/>
        <w:rPr>
          <w:sz w:val="24"/>
          <w:szCs w:val="24"/>
          <w:color w:val="auto"/>
        </w:rPr>
      </w:pPr>
    </w:p>
    <w:p>
      <w:pPr>
        <w:jc w:val="center"/>
        <w:ind w:right="-1120"/>
        <w:spacing w:after="0"/>
        <w:rPr>
          <w:sz w:val="20"/>
          <w:szCs w:val="20"/>
          <w:color w:val="auto"/>
        </w:rPr>
      </w:pPr>
      <w:r>
        <w:rPr>
          <w:rFonts w:ascii="Arial" w:cs="Arial" w:eastAsia="Arial" w:hAnsi="Arial"/>
          <w:sz w:val="38"/>
          <w:szCs w:val="38"/>
          <w:b w:val="1"/>
          <w:bCs w:val="1"/>
          <w:color w:val="auto"/>
        </w:rPr>
        <w:t>Civeo Corporation</w:t>
      </w:r>
    </w:p>
    <w:p>
      <w:pPr>
        <w:spacing w:after="0" w:line="31" w:lineRule="exact"/>
        <w:rPr>
          <w:sz w:val="24"/>
          <w:szCs w:val="24"/>
          <w:color w:val="auto"/>
        </w:rPr>
      </w:pPr>
    </w:p>
    <w:p>
      <w:pPr>
        <w:ind w:left="388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6"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139"/>
          </w:cols>
          <w:pgMar w:left="320" w:top="1383"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Payment of Filing Fee (Check the appropriate box):</w:t>
      </w:r>
    </w:p>
    <w:p>
      <w:pPr>
        <w:spacing w:after="0" w:line="200" w:lineRule="exact"/>
        <w:rPr>
          <w:sz w:val="20"/>
          <w:szCs w:val="20"/>
          <w:color w:val="auto"/>
        </w:rPr>
      </w:pPr>
    </w:p>
    <w:p>
      <w:pPr>
        <w:spacing w:after="0" w:line="310" w:lineRule="exact"/>
        <w:rPr>
          <w:sz w:val="20"/>
          <w:szCs w:val="20"/>
          <w:color w:val="auto"/>
        </w:rPr>
      </w:pPr>
    </w:p>
    <w:p>
      <w:pPr>
        <w:ind w:left="520" w:hanging="500"/>
        <w:spacing w:after="0"/>
        <w:tabs>
          <w:tab w:leader="none" w:pos="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3" w:lineRule="exact"/>
        <w:rPr>
          <w:sz w:val="20"/>
          <w:szCs w:val="20"/>
          <w:color w:val="auto"/>
        </w:rPr>
      </w:pPr>
    </w:p>
    <w:p>
      <w:pPr>
        <w:ind w:left="520" w:hanging="500"/>
        <w:spacing w:after="0"/>
        <w:tabs>
          <w:tab w:leader="none" w:pos="5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53" w:lineRule="exact"/>
        <w:rPr>
          <w:rFonts w:ascii="MS PGothic" w:cs="MS PGothic" w:eastAsia="MS PGothic" w:hAnsi="MS PGothic"/>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78"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78" w:lineRule="exact"/>
        <w:rPr>
          <w:rFonts w:ascii="Arial" w:cs="Arial" w:eastAsia="Arial" w:hAnsi="Arial"/>
          <w:sz w:val="17"/>
          <w:szCs w:val="17"/>
          <w:color w:val="auto"/>
        </w:rPr>
      </w:pPr>
    </w:p>
    <w:p>
      <w:pPr>
        <w:ind w:left="1040" w:hanging="520"/>
        <w:spacing w:after="0" w:line="261"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41"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78"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86" w:lineRule="exact"/>
        <w:rPr>
          <w:rFonts w:ascii="Arial" w:cs="Arial" w:eastAsia="Arial" w:hAnsi="Arial"/>
          <w:sz w:val="17"/>
          <w:szCs w:val="17"/>
          <w:color w:val="auto"/>
        </w:rPr>
      </w:pPr>
    </w:p>
    <w:p>
      <w:pPr>
        <w:ind w:left="520" w:hanging="500"/>
        <w:spacing w:after="0"/>
        <w:tabs>
          <w:tab w:leader="none" w:pos="5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55" w:lineRule="exact"/>
        <w:rPr>
          <w:rFonts w:ascii="MS PGothic" w:cs="MS PGothic" w:eastAsia="MS PGothic" w:hAnsi="MS PGothic"/>
          <w:sz w:val="17"/>
          <w:szCs w:val="17"/>
          <w:color w:val="auto"/>
        </w:rPr>
      </w:pPr>
    </w:p>
    <w:p>
      <w:pPr>
        <w:ind w:left="520" w:right="260" w:hanging="500"/>
        <w:spacing w:after="0" w:line="292" w:lineRule="auto"/>
        <w:tabs>
          <w:tab w:leader="none" w:pos="5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5" w:lineRule="exact"/>
        <w:rPr>
          <w:rFonts w:ascii="MS PGothic" w:cs="MS PGothic" w:eastAsia="MS PGothic" w:hAnsi="MS PGothic"/>
          <w:sz w:val="16"/>
          <w:szCs w:val="16"/>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78"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78"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78"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ectPr>
          <w:pgSz w:w="11900" w:h="16838" w:orient="portrait"/>
          <w:cols w:equalWidth="0" w:num="1">
            <w:col w:w="10760"/>
          </w:cols>
          <w:pgMar w:left="320" w:top="948" w:right="819" w:bottom="1440" w:gutter="0" w:footer="0" w:header="0"/>
        </w:sectPr>
      </w:pPr>
    </w:p>
    <w:bookmarkStart w:id="2" w:name="page3"/>
    <w:bookmarkEnd w:id="2"/>
    <w:p>
      <w:pPr>
        <w:spacing w:after="0"/>
        <w:tabs>
          <w:tab w:leader="none" w:pos="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554990</wp:posOffset>
            </wp:positionH>
            <wp:positionV relativeFrom="page">
              <wp:posOffset>365760</wp:posOffset>
            </wp:positionV>
            <wp:extent cx="6447155" cy="8401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447155" cy="8401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2"/>
          <w:szCs w:val="42"/>
          <w:b w:val="1"/>
          <w:bCs w:val="1"/>
          <w:color w:val="006DB6"/>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119380</wp:posOffset>
            </wp:positionV>
            <wp:extent cx="8255" cy="1074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07442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697"/>
        </w:trPr>
        <w:tc>
          <w:tcPr>
            <w:tcW w:w="2580" w:type="dxa"/>
            <w:vAlign w:val="bottom"/>
            <w:tcBorders>
              <w:right w:val="single" w:sz="8" w:color="FFC03C"/>
            </w:tcBorders>
          </w:tcPr>
          <w:p>
            <w:pPr>
              <w:spacing w:after="0"/>
              <w:rPr>
                <w:sz w:val="20"/>
                <w:szCs w:val="20"/>
                <w:color w:val="auto"/>
              </w:rPr>
            </w:pPr>
            <w:r>
              <w:rPr>
                <w:rFonts w:ascii="Arial" w:cs="Arial" w:eastAsia="Arial" w:hAnsi="Arial"/>
                <w:sz w:val="14"/>
                <w:szCs w:val="14"/>
                <w:b w:val="1"/>
                <w:bCs w:val="1"/>
                <w:color w:val="006DB6"/>
              </w:rPr>
              <w:t>DATE AND TIME</w:t>
            </w:r>
          </w:p>
        </w:tc>
        <w:tc>
          <w:tcPr>
            <w:tcW w:w="5140" w:type="dxa"/>
            <w:vAlign w:val="bottom"/>
          </w:tcPr>
          <w:p>
            <w:pPr>
              <w:ind w:left="140"/>
              <w:spacing w:after="0"/>
              <w:rPr>
                <w:sz w:val="20"/>
                <w:szCs w:val="20"/>
                <w:color w:val="auto"/>
              </w:rPr>
            </w:pPr>
            <w:r>
              <w:rPr>
                <w:rFonts w:ascii="Arial" w:cs="Arial" w:eastAsia="Arial" w:hAnsi="Arial"/>
                <w:sz w:val="14"/>
                <w:szCs w:val="14"/>
                <w:b w:val="1"/>
                <w:bCs w:val="1"/>
                <w:color w:val="006DB6"/>
              </w:rPr>
              <w:t>LOCATION</w:t>
            </w:r>
          </w:p>
        </w:tc>
      </w:tr>
      <w:tr>
        <w:trPr>
          <w:trHeight w:val="154"/>
        </w:trPr>
        <w:tc>
          <w:tcPr>
            <w:tcW w:w="2580" w:type="dxa"/>
            <w:vAlign w:val="bottom"/>
            <w:tcBorders>
              <w:right w:val="single" w:sz="8" w:color="FFC03C"/>
            </w:tcBorders>
          </w:tcPr>
          <w:p>
            <w:pPr>
              <w:spacing w:after="0" w:line="154" w:lineRule="exact"/>
              <w:rPr>
                <w:sz w:val="20"/>
                <w:szCs w:val="20"/>
                <w:color w:val="auto"/>
              </w:rPr>
            </w:pPr>
            <w:r>
              <w:rPr>
                <w:rFonts w:ascii="Arial" w:cs="Arial" w:eastAsia="Arial" w:hAnsi="Arial"/>
                <w:sz w:val="14"/>
                <w:szCs w:val="14"/>
                <w:color w:val="auto"/>
              </w:rPr>
              <w:t>May 19, 2021 (Wednesday)</w:t>
            </w:r>
          </w:p>
        </w:tc>
        <w:tc>
          <w:tcPr>
            <w:tcW w:w="5140" w:type="dxa"/>
            <w:vAlign w:val="bottom"/>
          </w:tcPr>
          <w:p>
            <w:pPr>
              <w:ind w:left="140"/>
              <w:spacing w:after="0" w:line="154" w:lineRule="exact"/>
              <w:rPr>
                <w:sz w:val="20"/>
                <w:szCs w:val="20"/>
                <w:color w:val="auto"/>
              </w:rPr>
            </w:pPr>
            <w:r>
              <w:rPr>
                <w:rFonts w:ascii="Arial" w:cs="Arial" w:eastAsia="Arial" w:hAnsi="Arial"/>
                <w:sz w:val="14"/>
                <w:szCs w:val="14"/>
                <w:color w:val="auto"/>
                <w:w w:val="96"/>
              </w:rPr>
              <w:t>Virtually at www.virtualshareholdermeeting.com/CVEO2021, where you will be able</w:t>
            </w:r>
          </w:p>
        </w:tc>
      </w:tr>
      <w:tr>
        <w:trPr>
          <w:trHeight w:val="164"/>
        </w:trPr>
        <w:tc>
          <w:tcPr>
            <w:tcW w:w="258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9:00 a.m., Houston, Texas time</w:t>
            </w:r>
          </w:p>
        </w:tc>
        <w:tc>
          <w:tcPr>
            <w:tcW w:w="5140" w:type="dxa"/>
            <w:vAlign w:val="bottom"/>
          </w:tcPr>
          <w:p>
            <w:pPr>
              <w:ind w:left="140"/>
              <w:spacing w:after="0"/>
              <w:rPr>
                <w:sz w:val="20"/>
                <w:szCs w:val="20"/>
                <w:color w:val="auto"/>
              </w:rPr>
            </w:pPr>
            <w:r>
              <w:rPr>
                <w:rFonts w:ascii="Arial" w:cs="Arial" w:eastAsia="Arial" w:hAnsi="Arial"/>
                <w:sz w:val="14"/>
                <w:szCs w:val="14"/>
                <w:color w:val="auto"/>
              </w:rPr>
              <w:t>to listen to the meeting live, submit questions, and vote.</w:t>
            </w:r>
          </w:p>
        </w:tc>
      </w:tr>
      <w:tr>
        <w:trPr>
          <w:trHeight w:val="247"/>
        </w:trPr>
        <w:tc>
          <w:tcPr>
            <w:tcW w:w="2580" w:type="dxa"/>
            <w:vAlign w:val="bottom"/>
            <w:tcBorders>
              <w:right w:val="single" w:sz="8" w:color="FFC03C"/>
            </w:tcBorders>
          </w:tcPr>
          <w:p>
            <w:pPr>
              <w:spacing w:after="0"/>
              <w:rPr>
                <w:sz w:val="21"/>
                <w:szCs w:val="21"/>
                <w:color w:val="auto"/>
              </w:rPr>
            </w:pPr>
          </w:p>
        </w:tc>
        <w:tc>
          <w:tcPr>
            <w:tcW w:w="5140" w:type="dxa"/>
            <w:vAlign w:val="bottom"/>
          </w:tcPr>
          <w:p>
            <w:pPr>
              <w:ind w:left="140"/>
              <w:spacing w:after="0"/>
              <w:rPr>
                <w:sz w:val="20"/>
                <w:szCs w:val="20"/>
                <w:color w:val="auto"/>
              </w:rPr>
            </w:pPr>
            <w:r>
              <w:rPr>
                <w:rFonts w:ascii="Arial" w:cs="Arial" w:eastAsia="Arial" w:hAnsi="Arial"/>
                <w:sz w:val="14"/>
                <w:szCs w:val="14"/>
                <w:color w:val="auto"/>
              </w:rPr>
              <w:t>Due to the public health impact of the COVID-19 virus and to support the health</w:t>
            </w:r>
          </w:p>
        </w:tc>
      </w:tr>
      <w:tr>
        <w:trPr>
          <w:trHeight w:val="154"/>
        </w:trPr>
        <w:tc>
          <w:tcPr>
            <w:tcW w:w="2580" w:type="dxa"/>
            <w:vAlign w:val="bottom"/>
            <w:tcBorders>
              <w:right w:val="single" w:sz="8" w:color="FFC03C"/>
            </w:tcBorders>
          </w:tcPr>
          <w:p>
            <w:pPr>
              <w:spacing w:after="0"/>
              <w:rPr>
                <w:sz w:val="13"/>
                <w:szCs w:val="13"/>
                <w:color w:val="auto"/>
              </w:rPr>
            </w:pPr>
          </w:p>
        </w:tc>
        <w:tc>
          <w:tcPr>
            <w:tcW w:w="5140" w:type="dxa"/>
            <w:vAlign w:val="bottom"/>
          </w:tcPr>
          <w:p>
            <w:pPr>
              <w:ind w:left="140"/>
              <w:spacing w:after="0" w:line="154" w:lineRule="exact"/>
              <w:rPr>
                <w:sz w:val="20"/>
                <w:szCs w:val="20"/>
                <w:color w:val="auto"/>
              </w:rPr>
            </w:pPr>
            <w:r>
              <w:rPr>
                <w:rFonts w:ascii="Arial" w:cs="Arial" w:eastAsia="Arial" w:hAnsi="Arial"/>
                <w:sz w:val="14"/>
                <w:szCs w:val="14"/>
                <w:color w:val="auto"/>
                <w:w w:val="99"/>
              </w:rPr>
              <w:t>and well-being of our employees and shareholders, the 2021 Annual Meeting will</w:t>
            </w:r>
          </w:p>
        </w:tc>
      </w:tr>
      <w:tr>
        <w:trPr>
          <w:trHeight w:val="164"/>
        </w:trPr>
        <w:tc>
          <w:tcPr>
            <w:tcW w:w="2580" w:type="dxa"/>
            <w:vAlign w:val="bottom"/>
            <w:tcBorders>
              <w:right w:val="single" w:sz="8" w:color="FFC03C"/>
            </w:tcBorders>
          </w:tcPr>
          <w:p>
            <w:pPr>
              <w:spacing w:after="0"/>
              <w:rPr>
                <w:sz w:val="14"/>
                <w:szCs w:val="14"/>
                <w:color w:val="auto"/>
              </w:rPr>
            </w:pPr>
          </w:p>
        </w:tc>
        <w:tc>
          <w:tcPr>
            <w:tcW w:w="5140" w:type="dxa"/>
            <w:vAlign w:val="bottom"/>
          </w:tcPr>
          <w:p>
            <w:pPr>
              <w:ind w:left="140"/>
              <w:spacing w:after="0"/>
              <w:rPr>
                <w:sz w:val="20"/>
                <w:szCs w:val="20"/>
                <w:color w:val="auto"/>
              </w:rPr>
            </w:pPr>
            <w:r>
              <w:rPr>
                <w:rFonts w:ascii="Arial" w:cs="Arial" w:eastAsia="Arial" w:hAnsi="Arial"/>
                <w:sz w:val="14"/>
                <w:szCs w:val="14"/>
                <w:color w:val="auto"/>
              </w:rPr>
              <w:t>be virtual, conducted via live audio webcast.</w:t>
            </w:r>
          </w:p>
        </w:tc>
      </w:tr>
      <w:tr>
        <w:trPr>
          <w:trHeight w:val="114"/>
        </w:trPr>
        <w:tc>
          <w:tcPr>
            <w:tcW w:w="2580" w:type="dxa"/>
            <w:vAlign w:val="bottom"/>
            <w:tcBorders>
              <w:right w:val="single" w:sz="8" w:color="FFC03C"/>
            </w:tcBorders>
          </w:tcPr>
          <w:p>
            <w:pPr>
              <w:spacing w:after="0"/>
              <w:rPr>
                <w:sz w:val="9"/>
                <w:szCs w:val="9"/>
                <w:color w:val="auto"/>
              </w:rPr>
            </w:pPr>
          </w:p>
        </w:tc>
        <w:tc>
          <w:tcPr>
            <w:tcW w:w="5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-1065530</wp:posOffset>
            </wp:positionV>
            <wp:extent cx="244475" cy="244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-1065530</wp:posOffset>
            </wp:positionV>
            <wp:extent cx="154940" cy="24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940"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252095" cy="252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95" cy="252095"/>
                    </a:xfrm>
                    <a:prstGeom prst="rect">
                      <a:avLst/>
                    </a:prstGeom>
                    <a:noFill/>
                  </pic:spPr>
                </pic:pic>
              </a:graphicData>
            </a:graphic>
          </wp:anchor>
        </w:drawing>
      </w:r>
    </w:p>
    <w:p>
      <w:pPr>
        <w:ind w:right="20"/>
        <w:spacing w:after="0" w:line="232" w:lineRule="auto"/>
        <w:rPr>
          <w:sz w:val="20"/>
          <w:szCs w:val="20"/>
          <w:color w:val="auto"/>
        </w:rPr>
      </w:pPr>
      <w:r>
        <w:rPr>
          <w:rFonts w:ascii="Arial" w:cs="Arial" w:eastAsia="Arial" w:hAnsi="Arial"/>
          <w:sz w:val="14"/>
          <w:szCs w:val="14"/>
          <w:color w:val="auto"/>
        </w:rPr>
        <w:t>Only shareholders of record at the close of business on March 24, 2021 are entitled to notice of and to vote during the annual general meeting or at any adjournment or postponement thereof that may take place.</w:t>
      </w:r>
    </w:p>
    <w:p>
      <w:pPr>
        <w:spacing w:after="0" w:line="188" w:lineRule="exact"/>
        <w:rPr>
          <w:sz w:val="20"/>
          <w:szCs w:val="20"/>
          <w:color w:val="auto"/>
        </w:rPr>
      </w:pPr>
    </w:p>
    <w:p>
      <w:pPr>
        <w:sectPr>
          <w:pgSz w:w="11900" w:h="16838" w:orient="portrait"/>
          <w:cols w:equalWidth="0" w:num="2">
            <w:col w:w="7740" w:space="340"/>
            <w:col w:w="3160"/>
          </w:cols>
          <w:pgMar w:left="320" w:top="917" w:right="339" w:bottom="1440" w:gutter="0" w:footer="0" w:header="0"/>
          <w:type w:val="continuous"/>
        </w:sectPr>
      </w:pPr>
    </w:p>
    <w:p>
      <w:pPr>
        <w:spacing w:after="0"/>
        <w:rPr>
          <w:sz w:val="20"/>
          <w:szCs w:val="20"/>
          <w:color w:val="auto"/>
        </w:rPr>
      </w:pPr>
      <w:r>
        <w:rPr>
          <w:rFonts w:ascii="Arial" w:cs="Arial" w:eastAsia="Arial" w:hAnsi="Arial"/>
          <w:sz w:val="24"/>
          <w:szCs w:val="24"/>
          <w:b w:val="1"/>
          <w:bCs w:val="1"/>
          <w:color w:val="006DB6"/>
        </w:rPr>
        <w:t>Voting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gridSpan w:val="2"/>
          </w:tcPr>
          <w:p>
            <w:pPr>
              <w:ind w:left="20"/>
              <w:spacing w:after="0"/>
              <w:rPr>
                <w:sz w:val="20"/>
                <w:szCs w:val="20"/>
                <w:color w:val="auto"/>
              </w:rPr>
            </w:pPr>
            <w:r>
              <w:rPr>
                <w:rFonts w:ascii="Arial" w:cs="Arial" w:eastAsia="Arial" w:hAnsi="Arial"/>
                <w:sz w:val="12"/>
                <w:szCs w:val="12"/>
                <w:b w:val="1"/>
                <w:bCs w:val="1"/>
                <w:color w:val="706F6F"/>
              </w:rPr>
              <w:t>Proposals</w:t>
            </w:r>
          </w:p>
        </w:tc>
        <w:tc>
          <w:tcPr>
            <w:tcW w:w="1920" w:type="dxa"/>
            <w:vAlign w:val="bottom"/>
          </w:tcPr>
          <w:p>
            <w:pPr>
              <w:ind w:left="40"/>
              <w:spacing w:after="0"/>
              <w:rPr>
                <w:sz w:val="20"/>
                <w:szCs w:val="20"/>
                <w:color w:val="auto"/>
              </w:rPr>
            </w:pPr>
            <w:r>
              <w:rPr>
                <w:rFonts w:ascii="Arial" w:cs="Arial" w:eastAsia="Arial" w:hAnsi="Arial"/>
                <w:sz w:val="12"/>
                <w:szCs w:val="12"/>
                <w:b w:val="1"/>
                <w:bCs w:val="1"/>
                <w:color w:val="706F6F"/>
              </w:rPr>
              <w:t>Board Vote Recommendation</w:t>
            </w:r>
          </w:p>
        </w:tc>
        <w:tc>
          <w:tcPr>
            <w:tcW w:w="1640" w:type="dxa"/>
            <w:vAlign w:val="bottom"/>
          </w:tcPr>
          <w:p>
            <w:pPr>
              <w:ind w:left="120"/>
              <w:spacing w:after="0"/>
              <w:rPr>
                <w:sz w:val="20"/>
                <w:szCs w:val="20"/>
                <w:color w:val="auto"/>
              </w:rPr>
            </w:pPr>
            <w:r>
              <w:rPr>
                <w:rFonts w:ascii="Arial" w:cs="Arial" w:eastAsia="Arial" w:hAnsi="Arial"/>
                <w:sz w:val="12"/>
                <w:szCs w:val="12"/>
                <w:b w:val="1"/>
                <w:bCs w:val="1"/>
                <w:color w:val="706F6F"/>
              </w:rPr>
              <w:t>For Further Details</w:t>
            </w:r>
          </w:p>
        </w:tc>
        <w:tc>
          <w:tcPr>
            <w:tcW w:w="0" w:type="dxa"/>
            <w:vAlign w:val="bottom"/>
          </w:tcPr>
          <w:p>
            <w:pPr>
              <w:spacing w:after="0"/>
              <w:rPr>
                <w:sz w:val="1"/>
                <w:szCs w:val="1"/>
                <w:color w:val="auto"/>
              </w:rPr>
            </w:pPr>
          </w:p>
        </w:tc>
      </w:tr>
      <w:tr>
        <w:trPr>
          <w:trHeight w:val="28"/>
        </w:trPr>
        <w:tc>
          <w:tcPr>
            <w:tcW w:w="220" w:type="dxa"/>
            <w:vAlign w:val="bottom"/>
            <w:tcBorders>
              <w:bottom w:val="single" w:sz="8" w:color="006DB6"/>
            </w:tcBorders>
          </w:tcPr>
          <w:p>
            <w:pPr>
              <w:spacing w:after="0"/>
              <w:rPr>
                <w:sz w:val="2"/>
                <w:szCs w:val="2"/>
                <w:color w:val="auto"/>
              </w:rPr>
            </w:pPr>
          </w:p>
        </w:tc>
        <w:tc>
          <w:tcPr>
            <w:tcW w:w="7460" w:type="dxa"/>
            <w:vAlign w:val="bottom"/>
            <w:tcBorders>
              <w:bottom w:val="single" w:sz="8" w:color="006DB6"/>
            </w:tcBorders>
          </w:tcPr>
          <w:p>
            <w:pPr>
              <w:spacing w:after="0"/>
              <w:rPr>
                <w:sz w:val="2"/>
                <w:szCs w:val="2"/>
                <w:color w:val="auto"/>
              </w:rPr>
            </w:pPr>
          </w:p>
        </w:tc>
        <w:tc>
          <w:tcPr>
            <w:tcW w:w="1920" w:type="dxa"/>
            <w:vAlign w:val="bottom"/>
            <w:tcBorders>
              <w:bottom w:val="single" w:sz="8" w:color="006DB6"/>
            </w:tcBorders>
          </w:tcPr>
          <w:p>
            <w:pPr>
              <w:spacing w:after="0"/>
              <w:rPr>
                <w:sz w:val="2"/>
                <w:szCs w:val="2"/>
                <w:color w:val="auto"/>
              </w:rPr>
            </w:pPr>
          </w:p>
        </w:tc>
        <w:tc>
          <w:tcPr>
            <w:tcW w:w="1640" w:type="dxa"/>
            <w:vAlign w:val="bottom"/>
            <w:tcBorders>
              <w:bottom w:val="single" w:sz="8" w:color="006DB6"/>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20" w:type="dxa"/>
            <w:vAlign w:val="bottom"/>
          </w:tcPr>
          <w:p>
            <w:pPr>
              <w:ind w:left="20"/>
              <w:spacing w:after="0"/>
              <w:rPr>
                <w:sz w:val="20"/>
                <w:szCs w:val="20"/>
                <w:color w:val="auto"/>
              </w:rPr>
            </w:pPr>
            <w:r>
              <w:rPr>
                <w:rFonts w:ascii="Arial" w:cs="Arial" w:eastAsia="Arial" w:hAnsi="Arial"/>
                <w:sz w:val="14"/>
                <w:szCs w:val="14"/>
                <w:color w:val="auto"/>
              </w:rPr>
              <w:t>1.</w:t>
            </w:r>
          </w:p>
        </w:tc>
        <w:tc>
          <w:tcPr>
            <w:tcW w:w="7460" w:type="dxa"/>
            <w:vAlign w:val="bottom"/>
          </w:tcPr>
          <w:p>
            <w:pPr>
              <w:ind w:left="60"/>
              <w:spacing w:after="0"/>
              <w:rPr>
                <w:sz w:val="20"/>
                <w:szCs w:val="20"/>
                <w:color w:val="auto"/>
              </w:rPr>
            </w:pPr>
            <w:r>
              <w:rPr>
                <w:rFonts w:ascii="Arial" w:cs="Arial" w:eastAsia="Arial" w:hAnsi="Arial"/>
                <w:sz w:val="14"/>
                <w:szCs w:val="14"/>
                <w:color w:val="auto"/>
                <w:w w:val="98"/>
              </w:rPr>
              <w:t>To elect the two persons named in this proxy statement as Class I members of Civeo’s board of directors, each for a term</w:t>
            </w:r>
          </w:p>
        </w:tc>
        <w:tc>
          <w:tcPr>
            <w:tcW w:w="1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 each director nominee</w:t>
            </w:r>
          </w:p>
        </w:tc>
        <w:tc>
          <w:tcPr>
            <w:tcW w:w="1640" w:type="dxa"/>
            <w:vAlign w:val="bottom"/>
          </w:tcPr>
          <w:p>
            <w:pPr>
              <w:ind w:left="1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9</w:t>
            </w:r>
          </w:p>
        </w:tc>
        <w:tc>
          <w:tcPr>
            <w:tcW w:w="0" w:type="dxa"/>
            <w:vAlign w:val="bottom"/>
          </w:tcPr>
          <w:p>
            <w:pPr>
              <w:spacing w:after="0"/>
              <w:rPr>
                <w:sz w:val="1"/>
                <w:szCs w:val="1"/>
                <w:color w:val="auto"/>
              </w:rPr>
            </w:pPr>
          </w:p>
        </w:tc>
      </w:tr>
      <w:tr>
        <w:trPr>
          <w:trHeight w:val="154"/>
        </w:trPr>
        <w:tc>
          <w:tcPr>
            <w:tcW w:w="220" w:type="dxa"/>
            <w:vAlign w:val="bottom"/>
            <w:tcBorders>
              <w:bottom w:val="single" w:sz="8" w:color="auto"/>
            </w:tcBorders>
          </w:tcPr>
          <w:p>
            <w:pPr>
              <w:spacing w:after="0"/>
              <w:rPr>
                <w:sz w:val="13"/>
                <w:szCs w:val="13"/>
                <w:color w:val="auto"/>
              </w:rPr>
            </w:pPr>
          </w:p>
        </w:tc>
        <w:tc>
          <w:tcPr>
            <w:tcW w:w="7460" w:type="dxa"/>
            <w:vAlign w:val="bottom"/>
            <w:tcBorders>
              <w:bottom w:val="single" w:sz="8" w:color="auto"/>
            </w:tcBorders>
          </w:tcPr>
          <w:p>
            <w:pPr>
              <w:ind w:left="60"/>
              <w:spacing w:after="0" w:line="154" w:lineRule="exact"/>
              <w:rPr>
                <w:sz w:val="20"/>
                <w:szCs w:val="20"/>
                <w:color w:val="auto"/>
              </w:rPr>
            </w:pPr>
            <w:r>
              <w:rPr>
                <w:rFonts w:ascii="Arial" w:cs="Arial" w:eastAsia="Arial" w:hAnsi="Arial"/>
                <w:sz w:val="14"/>
                <w:szCs w:val="14"/>
                <w:color w:val="auto"/>
              </w:rPr>
              <w:t>of three years ending at the 2024 annual general meeting of shareholders</w:t>
            </w:r>
          </w:p>
        </w:tc>
        <w:tc>
          <w:tcPr>
            <w:tcW w:w="19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0" w:type="dxa"/>
            <w:vAlign w:val="bottom"/>
          </w:tcPr>
          <w:p>
            <w:pPr>
              <w:ind w:left="20"/>
              <w:spacing w:after="0"/>
              <w:rPr>
                <w:sz w:val="20"/>
                <w:szCs w:val="20"/>
                <w:color w:val="auto"/>
              </w:rPr>
            </w:pPr>
            <w:r>
              <w:rPr>
                <w:rFonts w:ascii="Arial" w:cs="Arial" w:eastAsia="Arial" w:hAnsi="Arial"/>
                <w:sz w:val="14"/>
                <w:szCs w:val="14"/>
                <w:color w:val="auto"/>
              </w:rPr>
              <w:t>2.</w:t>
            </w:r>
          </w:p>
        </w:tc>
        <w:tc>
          <w:tcPr>
            <w:tcW w:w="7460" w:type="dxa"/>
            <w:vAlign w:val="bottom"/>
          </w:tcPr>
          <w:p>
            <w:pPr>
              <w:ind w:left="60"/>
              <w:spacing w:after="0"/>
              <w:rPr>
                <w:sz w:val="20"/>
                <w:szCs w:val="20"/>
                <w:color w:val="auto"/>
              </w:rPr>
            </w:pPr>
            <w:r>
              <w:rPr>
                <w:rFonts w:ascii="Arial" w:cs="Arial" w:eastAsia="Arial" w:hAnsi="Arial"/>
                <w:sz w:val="14"/>
                <w:szCs w:val="14"/>
                <w:color w:val="auto"/>
              </w:rPr>
              <w:t>To approve, on an advisory basis, the compensation of Civeo’s named executive officers</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30</w:t>
            </w:r>
          </w:p>
        </w:tc>
        <w:tc>
          <w:tcPr>
            <w:tcW w:w="0" w:type="dxa"/>
            <w:vAlign w:val="bottom"/>
          </w:tcPr>
          <w:p>
            <w:pPr>
              <w:spacing w:after="0"/>
              <w:rPr>
                <w:sz w:val="1"/>
                <w:szCs w:val="1"/>
                <w:color w:val="auto"/>
              </w:rPr>
            </w:pPr>
          </w:p>
        </w:tc>
      </w:tr>
      <w:tr>
        <w:trPr>
          <w:trHeight w:val="103"/>
        </w:trPr>
        <w:tc>
          <w:tcPr>
            <w:tcW w:w="2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20" w:type="dxa"/>
            <w:vAlign w:val="bottom"/>
            <w:tcBorders>
              <w:bottom w:val="single" w:sz="8" w:color="auto"/>
            </w:tcBorders>
          </w:tcPr>
          <w:p>
            <w:pPr>
              <w:spacing w:after="0"/>
              <w:rPr>
                <w:sz w:val="9"/>
                <w:szCs w:val="9"/>
                <w:color w:val="auto"/>
              </w:rPr>
            </w:pPr>
          </w:p>
        </w:tc>
        <w:tc>
          <w:tcPr>
            <w:tcW w:w="74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20" w:type="dxa"/>
            <w:vAlign w:val="bottom"/>
          </w:tcPr>
          <w:p>
            <w:pPr>
              <w:ind w:left="20"/>
              <w:spacing w:after="0"/>
              <w:rPr>
                <w:sz w:val="20"/>
                <w:szCs w:val="20"/>
                <w:color w:val="auto"/>
              </w:rPr>
            </w:pPr>
            <w:r>
              <w:rPr>
                <w:rFonts w:ascii="Arial" w:cs="Arial" w:eastAsia="Arial" w:hAnsi="Arial"/>
                <w:sz w:val="14"/>
                <w:szCs w:val="14"/>
                <w:color w:val="auto"/>
              </w:rPr>
              <w:t>3.</w:t>
            </w:r>
          </w:p>
        </w:tc>
        <w:tc>
          <w:tcPr>
            <w:tcW w:w="7460" w:type="dxa"/>
            <w:vAlign w:val="bottom"/>
          </w:tcPr>
          <w:p>
            <w:pPr>
              <w:ind w:left="60"/>
              <w:spacing w:after="0"/>
              <w:rPr>
                <w:sz w:val="20"/>
                <w:szCs w:val="20"/>
                <w:color w:val="auto"/>
              </w:rPr>
            </w:pPr>
            <w:r>
              <w:rPr>
                <w:rFonts w:ascii="Arial" w:cs="Arial" w:eastAsia="Arial" w:hAnsi="Arial"/>
                <w:sz w:val="14"/>
                <w:szCs w:val="14"/>
                <w:color w:val="auto"/>
              </w:rPr>
              <w:t>To ratify the appointment of Ernst &amp; Young LLP as Civeo’s independent registered public accounting firm for the year</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55</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7460" w:type="dxa"/>
            <w:vAlign w:val="bottom"/>
            <w:vMerge w:val="restart"/>
          </w:tcPr>
          <w:p>
            <w:pPr>
              <w:ind w:left="60"/>
              <w:spacing w:after="0" w:line="154" w:lineRule="exact"/>
              <w:rPr>
                <w:sz w:val="20"/>
                <w:szCs w:val="20"/>
                <w:color w:val="auto"/>
              </w:rPr>
            </w:pPr>
            <w:r>
              <w:rPr>
                <w:rFonts w:ascii="Arial" w:cs="Arial" w:eastAsia="Arial" w:hAnsi="Arial"/>
                <w:sz w:val="14"/>
                <w:szCs w:val="14"/>
                <w:color w:val="auto"/>
              </w:rPr>
              <w:t>ending December 31, 2021 and until the next annual general meeting of shareholders and to authorize the directors of</w:t>
            </w:r>
          </w:p>
        </w:tc>
        <w:tc>
          <w:tcPr>
            <w:tcW w:w="19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7460" w:type="dxa"/>
            <w:vAlign w:val="bottom"/>
            <w:vMerge w:val="continue"/>
          </w:tcPr>
          <w:p>
            <w:pPr>
              <w:spacing w:after="0"/>
              <w:rPr>
                <w:sz w:val="3"/>
                <w:szCs w:val="3"/>
                <w:color w:val="auto"/>
              </w:rPr>
            </w:pPr>
          </w:p>
        </w:tc>
        <w:tc>
          <w:tcPr>
            <w:tcW w:w="19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Civeo, acting through the Audit Committee, to determine the remuneration to be paid to Ernst &amp; Young LLP for 2021</w:t>
            </w:r>
          </w:p>
        </w:tc>
        <w:tc>
          <w:tcPr>
            <w:tcW w:w="1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0" w:type="dxa"/>
            <w:vAlign w:val="bottom"/>
          </w:tcPr>
          <w:p>
            <w:pPr>
              <w:ind w:left="20"/>
              <w:spacing w:after="0"/>
              <w:rPr>
                <w:sz w:val="20"/>
                <w:szCs w:val="20"/>
                <w:color w:val="auto"/>
              </w:rPr>
            </w:pPr>
            <w:r>
              <w:rPr>
                <w:rFonts w:ascii="Arial" w:cs="Arial" w:eastAsia="Arial" w:hAnsi="Arial"/>
                <w:sz w:val="14"/>
                <w:szCs w:val="14"/>
                <w:color w:val="auto"/>
              </w:rPr>
              <w:t>4.</w:t>
            </w:r>
          </w:p>
        </w:tc>
        <w:tc>
          <w:tcPr>
            <w:tcW w:w="7460" w:type="dxa"/>
            <w:vAlign w:val="bottom"/>
          </w:tcPr>
          <w:p>
            <w:pPr>
              <w:ind w:left="60"/>
              <w:spacing w:after="0"/>
              <w:rPr>
                <w:sz w:val="20"/>
                <w:szCs w:val="20"/>
                <w:color w:val="auto"/>
              </w:rPr>
            </w:pPr>
            <w:r>
              <w:rPr>
                <w:rFonts w:ascii="Arial" w:cs="Arial" w:eastAsia="Arial" w:hAnsi="Arial"/>
                <w:sz w:val="14"/>
                <w:szCs w:val="14"/>
                <w:color w:val="auto"/>
                <w:w w:val="98"/>
              </w:rPr>
              <w:t>To recommend, on an advisory basis, whether a shareholder vote to approve executive compensation should occur every</w:t>
            </w:r>
          </w:p>
        </w:tc>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006DB6"/>
              </w:rPr>
              <w:t>ONE YEAR</w:t>
            </w:r>
            <w:r>
              <w:rPr>
                <w:rFonts w:ascii="Arial" w:cs="Arial" w:eastAsia="Arial" w:hAnsi="Arial"/>
                <w:sz w:val="14"/>
                <w:szCs w:val="14"/>
                <w:b w:val="1"/>
                <w:bCs w:val="1"/>
                <w:color w:val="auto"/>
              </w:rPr>
              <w:t>”</w:t>
            </w:r>
          </w:p>
        </w:tc>
        <w:tc>
          <w:tcPr>
            <w:tcW w:w="1640" w:type="dxa"/>
            <w:vAlign w:val="bottom"/>
            <w:vMerge w:val="restart"/>
          </w:tcPr>
          <w:p>
            <w:pPr>
              <w:ind w:left="12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FFC03C"/>
              </w:rPr>
              <w:t>58</w:t>
            </w: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Arial" w:cs="Arial" w:eastAsia="Arial" w:hAnsi="Arial"/>
                <w:sz w:val="14"/>
                <w:szCs w:val="14"/>
                <w:color w:val="auto"/>
              </w:rPr>
              <w:t>one, two or three years</w:t>
            </w:r>
          </w:p>
        </w:tc>
        <w:tc>
          <w:tcPr>
            <w:tcW w:w="19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Shareholders will also conduct any other business as may properly come before the annual general meeting or any adjournment or postponement thereof.</w:t>
      </w:r>
    </w:p>
    <w:p>
      <w:pPr>
        <w:spacing w:after="0" w:line="95"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proposals are more fully described in the proxy statement accompanying this notice. Please give your attention to all of the information in the accompanying proxy statement.</w:t>
      </w:r>
    </w:p>
    <w:p>
      <w:pPr>
        <w:spacing w:after="0" w:line="95"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online during the annual general meeting. For specific information regarding the voting of your shares, please refer to the section entitled “General Information About the Annual General Meeting,” beginning on page 61 of the accompanying proxy statement.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887095" cy="24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7095" cy="24447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LaTosha N. Fraley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229" w:lineRule="auto"/>
        <w:rPr>
          <w:sz w:val="20"/>
          <w:szCs w:val="20"/>
          <w:color w:val="auto"/>
        </w:rPr>
      </w:pPr>
      <w:r>
        <w:rPr>
          <w:rFonts w:ascii="Arial" w:cs="Arial" w:eastAsia="Arial" w:hAnsi="Arial"/>
          <w:sz w:val="14"/>
          <w:szCs w:val="14"/>
          <w:color w:val="auto"/>
        </w:rPr>
        <w:t>Houston, Texas</w:t>
      </w:r>
    </w:p>
    <w:p>
      <w:pPr>
        <w:spacing w:after="0"/>
        <w:rPr>
          <w:sz w:val="20"/>
          <w:szCs w:val="20"/>
          <w:color w:val="auto"/>
        </w:rPr>
      </w:pPr>
      <w:r>
        <w:rPr>
          <w:rFonts w:ascii="Arial" w:cs="Arial" w:eastAsia="Arial" w:hAnsi="Arial"/>
          <w:sz w:val="14"/>
          <w:szCs w:val="14"/>
          <w:color w:val="auto"/>
        </w:rPr>
        <w:t>April 8, 2021</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7139305" cy="276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276860"/>
                    </a:xfrm>
                    <a:prstGeom prst="rect">
                      <a:avLst/>
                    </a:prstGeom>
                    <a:noFill/>
                  </pic:spPr>
                </pic:pic>
              </a:graphicData>
            </a:graphic>
          </wp:anchor>
        </w:drawing>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INTERNET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You may vote your shares 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139305" cy="276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276860"/>
                    </a:xfrm>
                    <a:prstGeom prst="rect">
                      <a:avLst/>
                    </a:prstGeom>
                    <a:noFill/>
                  </pic:spPr>
                </pic:pic>
              </a:graphicData>
            </a:graphic>
          </wp:anchor>
        </w:drawing>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TELEPHONE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If you are located within the U.S., you may vote your shares by calling 1-800-690-6903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139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155575</wp:posOffset>
            </wp:positionV>
            <wp:extent cx="244475" cy="244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75" cy="244475"/>
                    </a:xfrm>
                    <a:prstGeom prst="rect">
                      <a:avLst/>
                    </a:prstGeom>
                    <a:noFill/>
                  </pic:spPr>
                </pic:pic>
              </a:graphicData>
            </a:graphic>
          </wp:anchor>
        </w:drawing>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MAIL</w:t>
      </w:r>
    </w:p>
    <w:p>
      <w:pPr>
        <w:spacing w:after="0" w:line="9" w:lineRule="exact"/>
        <w:rPr>
          <w:sz w:val="20"/>
          <w:szCs w:val="20"/>
          <w:color w:val="auto"/>
        </w:rPr>
      </w:pPr>
    </w:p>
    <w:p>
      <w:pPr>
        <w:ind w:left="880" w:right="220"/>
        <w:spacing w:after="0" w:line="236" w:lineRule="auto"/>
        <w:rPr>
          <w:sz w:val="20"/>
          <w:szCs w:val="20"/>
          <w:color w:val="auto"/>
        </w:rPr>
      </w:pPr>
      <w:r>
        <w:rPr>
          <w:rFonts w:ascii="Arial" w:cs="Arial" w:eastAsia="Arial" w:hAnsi="Arial"/>
          <w:sz w:val="14"/>
          <w:szCs w:val="14"/>
          <w:color w:val="auto"/>
        </w:rPr>
        <w:t>If you received printed copies of the proxy materials by mail, you may vote by mail. You would need to mark, sign, date and mail the enclosed proxy card in the postage-paid envelope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39305" cy="236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236220"/>
                    </a:xfrm>
                    <a:prstGeom prst="rect">
                      <a:avLst/>
                    </a:prstGeom>
                    <a:noFill/>
                  </pic:spPr>
                </pic:pic>
              </a:graphicData>
            </a:graphic>
          </wp:anchor>
        </w:drawing>
      </w:r>
    </w:p>
    <w:p>
      <w:pPr>
        <w:spacing w:after="0" w:line="122" w:lineRule="exact"/>
        <w:rPr>
          <w:sz w:val="20"/>
          <w:szCs w:val="20"/>
          <w:color w:val="auto"/>
        </w:rPr>
      </w:pPr>
    </w:p>
    <w:p>
      <w:pPr>
        <w:ind w:left="20" w:right="340"/>
        <w:spacing w:after="0" w:line="257" w:lineRule="auto"/>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MAY 19, 2021: A COPY OF THIS PROXY STATEMENT, PROXY VOTING CARD AND THE CIVEO 2020 ANNUAL REPORT ARE AVAILABLE AT WWW.PROXYVOTE.COM.</w:t>
      </w:r>
    </w:p>
    <w:p>
      <w:pPr>
        <w:sectPr>
          <w:pgSz w:w="11900" w:h="16838" w:orient="portrait"/>
          <w:cols w:equalWidth="0" w:num="1">
            <w:col w:w="11240"/>
          </w:cols>
          <w:pgMar w:left="320" w:top="9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b w:val="1"/>
          <w:bCs w:val="1"/>
          <w:color w:val="006DB6"/>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Proxy Statement Summary</w:t>
            </w:r>
          </w:p>
        </w:tc>
        <w:tc>
          <w:tcPr>
            <w:tcW w:w="8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rFonts w:ascii="Arial" w:cs="Arial" w:eastAsia="Arial" w:hAnsi="Arial"/>
                <w:sz w:val="15"/>
                <w:szCs w:val="15"/>
                <w:b w:val="1"/>
                <w:bCs w:val="1"/>
                <w:color w:val="0000FF"/>
                <w:w w:val="71"/>
              </w:rPr>
            </w:pPr>
            <w:hyperlink w:anchor="page5">
              <w:r>
                <w:rPr>
                  <w:rFonts w:ascii="Arial" w:cs="Arial" w:eastAsia="Arial" w:hAnsi="Arial"/>
                  <w:sz w:val="15"/>
                  <w:szCs w:val="15"/>
                  <w:b w:val="1"/>
                  <w:bCs w:val="1"/>
                  <w:color w:val="0000FF"/>
                  <w:w w:val="71"/>
                </w:rPr>
                <w:t>1</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Company Overview</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2</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2020 Performance Highlights</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3</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Voting Matters and Recommendations</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4</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Corporate Governance Highlights</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
              <w:r>
                <w:rPr>
                  <w:rFonts w:ascii="Arial" w:cs="Arial" w:eastAsia="Arial" w:hAnsi="Arial"/>
                  <w:sz w:val="15"/>
                  <w:szCs w:val="15"/>
                  <w:color w:val="0000FF"/>
                  <w:w w:val="71"/>
                </w:rPr>
                <w:t>5</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Independent Registered Public Accounting Firm’s Fees</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3">
              <w:r>
                <w:rPr>
                  <w:rFonts w:ascii="Arial" w:cs="Arial" w:eastAsia="Arial" w:hAnsi="Arial"/>
                  <w:sz w:val="15"/>
                  <w:szCs w:val="15"/>
                  <w:color w:val="0000FF"/>
                  <w:w w:val="71"/>
                </w:rPr>
                <w:t>8</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Corporate Governance</w:t>
            </w:r>
          </w:p>
        </w:tc>
        <w:tc>
          <w:tcPr>
            <w:tcW w:w="160" w:type="dxa"/>
            <w:vAlign w:val="bottom"/>
            <w:gridSpan w:val="2"/>
          </w:tcPr>
          <w:p>
            <w:pPr>
              <w:jc w:val="right"/>
              <w:spacing w:after="0"/>
              <w:rPr>
                <w:rFonts w:ascii="Arial" w:cs="Arial" w:eastAsia="Arial" w:hAnsi="Arial"/>
                <w:sz w:val="15"/>
                <w:szCs w:val="15"/>
                <w:b w:val="1"/>
                <w:bCs w:val="1"/>
                <w:color w:val="0000FF"/>
              </w:rPr>
            </w:pPr>
            <w:hyperlink w:anchor="page13">
              <w:r>
                <w:rPr>
                  <w:rFonts w:ascii="Arial" w:cs="Arial" w:eastAsia="Arial" w:hAnsi="Arial"/>
                  <w:sz w:val="15"/>
                  <w:szCs w:val="15"/>
                  <w:b w:val="1"/>
                  <w:bCs w:val="1"/>
                  <w:color w:val="0000FF"/>
                </w:rPr>
                <w:t>9</w:t>
              </w:r>
            </w:hyperlink>
          </w:p>
        </w:tc>
        <w:tc>
          <w:tcPr>
            <w:tcW w:w="0" w:type="dxa"/>
            <w:vAlign w:val="bottom"/>
          </w:tcPr>
          <w:p>
            <w:pPr>
              <w:spacing w:after="0"/>
              <w:rPr>
                <w:sz w:val="1"/>
                <w:szCs w:val="1"/>
                <w:color w:val="auto"/>
              </w:rPr>
            </w:pPr>
          </w:p>
        </w:tc>
      </w:tr>
      <w:tr>
        <w:trPr>
          <w:trHeight w:val="31"/>
        </w:trPr>
        <w:tc>
          <w:tcPr>
            <w:tcW w:w="156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5"/>
                <w:szCs w:val="15"/>
                <w:b w:val="1"/>
                <w:bCs w:val="1"/>
                <w:color w:val="006DB6"/>
              </w:rPr>
              <w:t>Election of Directors</w:t>
            </w: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1560" w:type="dxa"/>
            <w:vAlign w:val="bottom"/>
            <w:vMerge w:val="restart"/>
            <w:shd w:val="clear" w:color="auto" w:fill="006DB6"/>
          </w:tcPr>
          <w:p>
            <w:pPr>
              <w:ind w:left="100"/>
              <w:spacing w:after="0"/>
              <w:rPr>
                <w:sz w:val="20"/>
                <w:szCs w:val="20"/>
                <w:color w:val="auto"/>
              </w:rPr>
            </w:pPr>
            <w:r>
              <w:rPr>
                <w:rFonts w:ascii="Arial" w:cs="Arial" w:eastAsia="Arial" w:hAnsi="Arial"/>
                <w:sz w:val="15"/>
                <w:szCs w:val="15"/>
                <w:b w:val="1"/>
                <w:bCs w:val="1"/>
                <w:color w:val="FFFFFF"/>
              </w:rPr>
              <w:t>PROPOSAL 1</w:t>
            </w:r>
          </w:p>
        </w:tc>
        <w:tc>
          <w:tcPr>
            <w:tcW w:w="9500" w:type="dxa"/>
            <w:vAlign w:val="bottom"/>
            <w:vMerge w:val="continue"/>
          </w:tcPr>
          <w:p>
            <w:pPr>
              <w:spacing w:after="0"/>
              <w:rPr>
                <w:sz w:val="21"/>
                <w:szCs w:val="21"/>
                <w:color w:val="auto"/>
              </w:rPr>
            </w:pPr>
          </w:p>
        </w:tc>
        <w:tc>
          <w:tcPr>
            <w:tcW w:w="80" w:type="dxa"/>
            <w:vAlign w:val="bottom"/>
            <w:vMerge w:val="restart"/>
          </w:tcPr>
          <w:p>
            <w:pPr>
              <w:spacing w:after="0"/>
              <w:rPr>
                <w:sz w:val="21"/>
                <w:szCs w:val="21"/>
                <w:color w:val="auto"/>
              </w:rPr>
            </w:pPr>
          </w:p>
        </w:tc>
        <w:tc>
          <w:tcPr>
            <w:tcW w:w="80" w:type="dxa"/>
            <w:vAlign w:val="bottom"/>
            <w:vMerge w:val="restart"/>
          </w:tcPr>
          <w:p>
            <w:pPr>
              <w:jc w:val="right"/>
              <w:spacing w:after="0"/>
              <w:rPr>
                <w:rFonts w:ascii="Arial" w:cs="Arial" w:eastAsia="Arial" w:hAnsi="Arial"/>
                <w:sz w:val="15"/>
                <w:szCs w:val="15"/>
                <w:b w:val="1"/>
                <w:bCs w:val="1"/>
                <w:color w:val="0000FF"/>
                <w:w w:val="71"/>
              </w:rPr>
            </w:pPr>
            <w:hyperlink w:anchor="page14">
              <w:r>
                <w:rPr>
                  <w:rFonts w:ascii="Arial" w:cs="Arial" w:eastAsia="Arial" w:hAnsi="Arial"/>
                  <w:sz w:val="15"/>
                  <w:szCs w:val="15"/>
                  <w:b w:val="1"/>
                  <w:bCs w:val="1"/>
                  <w:color w:val="0000FF"/>
                  <w:w w:val="71"/>
                </w:rPr>
                <w:t>9</w:t>
              </w:r>
            </w:hyperlink>
          </w:p>
        </w:tc>
        <w:tc>
          <w:tcPr>
            <w:tcW w:w="0" w:type="dxa"/>
            <w:vAlign w:val="bottom"/>
          </w:tcPr>
          <w:p>
            <w:pPr>
              <w:spacing w:after="0"/>
              <w:rPr>
                <w:sz w:val="1"/>
                <w:szCs w:val="1"/>
                <w:color w:val="auto"/>
              </w:rPr>
            </w:pPr>
          </w:p>
        </w:tc>
      </w:tr>
      <w:tr>
        <w:trPr>
          <w:trHeight w:val="106"/>
        </w:trPr>
        <w:tc>
          <w:tcPr>
            <w:tcW w:w="1560" w:type="dxa"/>
            <w:vAlign w:val="bottom"/>
            <w:tcBorders>
              <w:bottom w:val="single" w:sz="8" w:color="006DB6"/>
            </w:tcBorders>
            <w:vMerge w:val="continue"/>
            <w:shd w:val="clear" w:color="auto" w:fill="006DB6"/>
          </w:tcPr>
          <w:p>
            <w:pPr>
              <w:spacing w:after="0"/>
              <w:rPr>
                <w:sz w:val="8"/>
                <w:szCs w:val="8"/>
                <w:color w:val="auto"/>
              </w:rPr>
            </w:pPr>
          </w:p>
        </w:tc>
        <w:tc>
          <w:tcPr>
            <w:tcW w:w="95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Borders>
              <w:bottom w:val="single" w:sz="8" w:color="0000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Board of Directors—Skills and Experience</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4">
              <w:r>
                <w:rPr>
                  <w:rFonts w:ascii="Arial" w:cs="Arial" w:eastAsia="Arial" w:hAnsi="Arial"/>
                  <w:sz w:val="15"/>
                  <w:szCs w:val="15"/>
                  <w:color w:val="0000FF"/>
                  <w:w w:val="71"/>
                </w:rPr>
                <w:t>9</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Board of Directors—Role and Responsibilities</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20">
              <w:r>
                <w:rPr>
                  <w:rFonts w:ascii="Arial" w:cs="Arial" w:eastAsia="Arial" w:hAnsi="Arial"/>
                  <w:sz w:val="15"/>
                  <w:szCs w:val="15"/>
                  <w:color w:val="0000FF"/>
                  <w:w w:val="83"/>
                </w:rPr>
                <w:t>15</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Board of Directors—Structure</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23">
              <w:r>
                <w:rPr>
                  <w:rFonts w:ascii="Arial" w:cs="Arial" w:eastAsia="Arial" w:hAnsi="Arial"/>
                  <w:sz w:val="15"/>
                  <w:szCs w:val="15"/>
                  <w:color w:val="0000FF"/>
                  <w:w w:val="83"/>
                </w:rPr>
                <w:t>19</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Board of Directors—Practices, Policies and Processes</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26">
              <w:r>
                <w:rPr>
                  <w:rFonts w:ascii="Arial" w:cs="Arial" w:eastAsia="Arial" w:hAnsi="Arial"/>
                  <w:sz w:val="15"/>
                  <w:szCs w:val="15"/>
                  <w:color w:val="0000FF"/>
                  <w:w w:val="83"/>
                </w:rPr>
                <w:t>22</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Director Compensation</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30">
              <w:r>
                <w:rPr>
                  <w:rFonts w:ascii="Arial" w:cs="Arial" w:eastAsia="Arial" w:hAnsi="Arial"/>
                  <w:sz w:val="15"/>
                  <w:szCs w:val="15"/>
                  <w:color w:val="0000FF"/>
                  <w:w w:val="83"/>
                </w:rPr>
                <w:t>26</w:t>
              </w:r>
            </w:hyperlink>
          </w:p>
        </w:tc>
        <w:tc>
          <w:tcPr>
            <w:tcW w:w="0" w:type="dxa"/>
            <w:vAlign w:val="bottom"/>
          </w:tcPr>
          <w:p>
            <w:pPr>
              <w:spacing w:after="0"/>
              <w:rPr>
                <w:sz w:val="1"/>
                <w:szCs w:val="1"/>
                <w:color w:val="auto"/>
              </w:rPr>
            </w:pPr>
          </w:p>
        </w:tc>
      </w:tr>
      <w:tr>
        <w:trPr>
          <w:trHeight w:val="211"/>
        </w:trPr>
        <w:tc>
          <w:tcPr>
            <w:tcW w:w="1560" w:type="dxa"/>
            <w:vAlign w:val="bottom"/>
          </w:tcPr>
          <w:p>
            <w:pPr>
              <w:ind w:left="20"/>
              <w:spacing w:after="0"/>
              <w:rPr>
                <w:sz w:val="20"/>
                <w:szCs w:val="20"/>
                <w:color w:val="auto"/>
              </w:rPr>
            </w:pPr>
            <w:r>
              <w:rPr>
                <w:rFonts w:ascii="Arial" w:cs="Arial" w:eastAsia="Arial" w:hAnsi="Arial"/>
                <w:sz w:val="15"/>
                <w:szCs w:val="15"/>
                <w:b w:val="1"/>
                <w:bCs w:val="1"/>
                <w:color w:val="006DB6"/>
              </w:rPr>
              <w:t>Executive Officers</w:t>
            </w:r>
          </w:p>
        </w:tc>
        <w:tc>
          <w:tcPr>
            <w:tcW w:w="95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32">
              <w:r>
                <w:rPr>
                  <w:rFonts w:ascii="Arial" w:cs="Arial" w:eastAsia="Arial" w:hAnsi="Arial"/>
                  <w:sz w:val="15"/>
                  <w:szCs w:val="15"/>
                  <w:b w:val="1"/>
                  <w:bCs w:val="1"/>
                  <w:color w:val="0000FF"/>
                  <w:w w:val="83"/>
                </w:rPr>
                <w:t>28</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Executive Compensation</w:t>
            </w: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34">
              <w:r>
                <w:rPr>
                  <w:rFonts w:ascii="Arial" w:cs="Arial" w:eastAsia="Arial" w:hAnsi="Arial"/>
                  <w:sz w:val="15"/>
                  <w:szCs w:val="15"/>
                  <w:b w:val="1"/>
                  <w:bCs w:val="1"/>
                  <w:color w:val="0000FF"/>
                  <w:w w:val="83"/>
                </w:rPr>
                <w:t>30</w:t>
              </w:r>
            </w:hyperlink>
          </w:p>
        </w:tc>
        <w:tc>
          <w:tcPr>
            <w:tcW w:w="0" w:type="dxa"/>
            <w:vAlign w:val="bottom"/>
          </w:tcPr>
          <w:p>
            <w:pPr>
              <w:spacing w:after="0"/>
              <w:rPr>
                <w:sz w:val="1"/>
                <w:szCs w:val="1"/>
                <w:color w:val="auto"/>
              </w:rPr>
            </w:pPr>
          </w:p>
        </w:tc>
      </w:tr>
      <w:tr>
        <w:trPr>
          <w:trHeight w:val="31"/>
        </w:trPr>
        <w:tc>
          <w:tcPr>
            <w:tcW w:w="156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5"/>
                <w:szCs w:val="15"/>
                <w:b w:val="1"/>
                <w:bCs w:val="1"/>
                <w:color w:val="006DB6"/>
              </w:rPr>
              <w:t>Advisory Vote to Approve Executive Compensation</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560" w:type="dxa"/>
            <w:vAlign w:val="bottom"/>
            <w:vMerge w:val="restart"/>
            <w:shd w:val="clear" w:color="auto" w:fill="006DB6"/>
          </w:tcPr>
          <w:p>
            <w:pPr>
              <w:ind w:left="100"/>
              <w:spacing w:after="0"/>
              <w:rPr>
                <w:sz w:val="20"/>
                <w:szCs w:val="20"/>
                <w:color w:val="auto"/>
              </w:rPr>
            </w:pPr>
            <w:r>
              <w:rPr>
                <w:rFonts w:ascii="Arial" w:cs="Arial" w:eastAsia="Arial" w:hAnsi="Arial"/>
                <w:sz w:val="15"/>
                <w:szCs w:val="15"/>
                <w:b w:val="1"/>
                <w:bCs w:val="1"/>
                <w:color w:val="FFFFFF"/>
              </w:rPr>
              <w:t>PROPOSAL 2</w:t>
            </w:r>
          </w:p>
        </w:tc>
        <w:tc>
          <w:tcPr>
            <w:tcW w:w="9500" w:type="dxa"/>
            <w:vAlign w:val="bottom"/>
            <w:vMerge w:val="continue"/>
          </w:tcPr>
          <w:p>
            <w:pPr>
              <w:spacing w:after="0"/>
              <w:rPr>
                <w:sz w:val="20"/>
                <w:szCs w:val="20"/>
                <w:color w:val="auto"/>
              </w:rPr>
            </w:pPr>
          </w:p>
        </w:tc>
        <w:tc>
          <w:tcPr>
            <w:tcW w:w="160" w:type="dxa"/>
            <w:vAlign w:val="bottom"/>
            <w:gridSpan w:val="2"/>
            <w:vMerge w:val="restart"/>
          </w:tcPr>
          <w:p>
            <w:pPr>
              <w:jc w:val="right"/>
              <w:spacing w:after="0"/>
              <w:rPr>
                <w:rFonts w:ascii="Arial" w:cs="Arial" w:eastAsia="Arial" w:hAnsi="Arial"/>
                <w:sz w:val="15"/>
                <w:szCs w:val="15"/>
                <w:b w:val="1"/>
                <w:bCs w:val="1"/>
                <w:color w:val="0000FF"/>
                <w:w w:val="83"/>
              </w:rPr>
            </w:pPr>
            <w:hyperlink w:anchor="page35">
              <w:r>
                <w:rPr>
                  <w:rFonts w:ascii="Arial" w:cs="Arial" w:eastAsia="Arial" w:hAnsi="Arial"/>
                  <w:sz w:val="15"/>
                  <w:szCs w:val="15"/>
                  <w:b w:val="1"/>
                  <w:bCs w:val="1"/>
                  <w:color w:val="0000FF"/>
                  <w:w w:val="83"/>
                </w:rPr>
                <w:t>30</w:t>
              </w:r>
            </w:hyperlink>
          </w:p>
        </w:tc>
        <w:tc>
          <w:tcPr>
            <w:tcW w:w="0" w:type="dxa"/>
            <w:vAlign w:val="bottom"/>
          </w:tcPr>
          <w:p>
            <w:pPr>
              <w:spacing w:after="0"/>
              <w:rPr>
                <w:sz w:val="1"/>
                <w:szCs w:val="1"/>
                <w:color w:val="auto"/>
              </w:rPr>
            </w:pPr>
          </w:p>
        </w:tc>
      </w:tr>
      <w:tr>
        <w:trPr>
          <w:trHeight w:val="93"/>
        </w:trPr>
        <w:tc>
          <w:tcPr>
            <w:tcW w:w="1560" w:type="dxa"/>
            <w:vAlign w:val="bottom"/>
            <w:tcBorders>
              <w:bottom w:val="single" w:sz="8" w:color="006DB6"/>
            </w:tcBorders>
            <w:vMerge w:val="continue"/>
            <w:shd w:val="clear" w:color="auto" w:fill="006DB6"/>
          </w:tcPr>
          <w:p>
            <w:pPr>
              <w:spacing w:after="0"/>
              <w:rPr>
                <w:sz w:val="7"/>
                <w:szCs w:val="7"/>
                <w:color w:val="auto"/>
              </w:rPr>
            </w:pPr>
          </w:p>
        </w:tc>
        <w:tc>
          <w:tcPr>
            <w:tcW w:w="9500" w:type="dxa"/>
            <w:vAlign w:val="bottom"/>
          </w:tcPr>
          <w:p>
            <w:pPr>
              <w:spacing w:after="0"/>
              <w:rPr>
                <w:sz w:val="7"/>
                <w:szCs w:val="7"/>
                <w:color w:val="auto"/>
              </w:rPr>
            </w:pPr>
          </w:p>
        </w:tc>
        <w:tc>
          <w:tcPr>
            <w:tcW w:w="16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Compensation Discussion and Analysis</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35">
              <w:r>
                <w:rPr>
                  <w:rFonts w:ascii="Arial" w:cs="Arial" w:eastAsia="Arial" w:hAnsi="Arial"/>
                  <w:sz w:val="15"/>
                  <w:szCs w:val="15"/>
                  <w:color w:val="0000FF"/>
                  <w:w w:val="83"/>
                </w:rPr>
                <w:t>31</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Compensation Committee Report</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52">
              <w:r>
                <w:rPr>
                  <w:rFonts w:ascii="Arial" w:cs="Arial" w:eastAsia="Arial" w:hAnsi="Arial"/>
                  <w:sz w:val="15"/>
                  <w:szCs w:val="15"/>
                  <w:color w:val="0000FF"/>
                  <w:w w:val="83"/>
                </w:rPr>
                <w:t>47</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Executive Compensation Tables</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52">
              <w:r>
                <w:rPr>
                  <w:rFonts w:ascii="Arial" w:cs="Arial" w:eastAsia="Arial" w:hAnsi="Arial"/>
                  <w:sz w:val="15"/>
                  <w:szCs w:val="15"/>
                  <w:color w:val="0000FF"/>
                  <w:w w:val="83"/>
                </w:rPr>
                <w:t>48</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Pay Ratio Disclosure</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58">
              <w:r>
                <w:rPr>
                  <w:rFonts w:ascii="Arial" w:cs="Arial" w:eastAsia="Arial" w:hAnsi="Arial"/>
                  <w:sz w:val="15"/>
                  <w:szCs w:val="15"/>
                  <w:color w:val="0000FF"/>
                  <w:w w:val="83"/>
                </w:rPr>
                <w:t>54</w:t>
              </w:r>
            </w:hyperlink>
          </w:p>
        </w:tc>
        <w:tc>
          <w:tcPr>
            <w:tcW w:w="0" w:type="dxa"/>
            <w:vAlign w:val="bottom"/>
          </w:tcPr>
          <w:p>
            <w:pPr>
              <w:spacing w:after="0"/>
              <w:rPr>
                <w:sz w:val="1"/>
                <w:szCs w:val="1"/>
                <w:color w:val="auto"/>
              </w:rPr>
            </w:pPr>
          </w:p>
        </w:tc>
      </w:tr>
      <w:tr>
        <w:trPr>
          <w:trHeight w:val="211"/>
        </w:trPr>
        <w:tc>
          <w:tcPr>
            <w:tcW w:w="1560" w:type="dxa"/>
            <w:vAlign w:val="bottom"/>
          </w:tcPr>
          <w:p>
            <w:pPr>
              <w:ind w:left="20"/>
              <w:spacing w:after="0"/>
              <w:rPr>
                <w:sz w:val="20"/>
                <w:szCs w:val="20"/>
                <w:color w:val="auto"/>
              </w:rPr>
            </w:pPr>
            <w:r>
              <w:rPr>
                <w:rFonts w:ascii="Arial" w:cs="Arial" w:eastAsia="Arial" w:hAnsi="Arial"/>
                <w:sz w:val="15"/>
                <w:szCs w:val="15"/>
                <w:b w:val="1"/>
                <w:bCs w:val="1"/>
                <w:color w:val="006DB6"/>
              </w:rPr>
              <w:t>Audit Matters</w:t>
            </w:r>
          </w:p>
        </w:tc>
        <w:tc>
          <w:tcPr>
            <w:tcW w:w="95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59">
              <w:r>
                <w:rPr>
                  <w:rFonts w:ascii="Arial" w:cs="Arial" w:eastAsia="Arial" w:hAnsi="Arial"/>
                  <w:sz w:val="15"/>
                  <w:szCs w:val="15"/>
                  <w:b w:val="1"/>
                  <w:bCs w:val="1"/>
                  <w:color w:val="0000FF"/>
                  <w:w w:val="83"/>
                </w:rPr>
                <w:t>55</w:t>
              </w:r>
            </w:hyperlink>
          </w:p>
        </w:tc>
        <w:tc>
          <w:tcPr>
            <w:tcW w:w="0" w:type="dxa"/>
            <w:vAlign w:val="bottom"/>
          </w:tcPr>
          <w:p>
            <w:pPr>
              <w:spacing w:after="0"/>
              <w:rPr>
                <w:sz w:val="1"/>
                <w:szCs w:val="1"/>
                <w:color w:val="auto"/>
              </w:rPr>
            </w:pPr>
          </w:p>
        </w:tc>
      </w:tr>
      <w:tr>
        <w:trPr>
          <w:trHeight w:val="31"/>
        </w:trPr>
        <w:tc>
          <w:tcPr>
            <w:tcW w:w="156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5"/>
                <w:szCs w:val="15"/>
                <w:b w:val="1"/>
                <w:bCs w:val="1"/>
                <w:color w:val="006DB6"/>
              </w:rPr>
              <w:t>Ratification of Auditors</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560" w:type="dxa"/>
            <w:vAlign w:val="bottom"/>
            <w:vMerge w:val="restart"/>
            <w:shd w:val="clear" w:color="auto" w:fill="006DB6"/>
          </w:tcPr>
          <w:p>
            <w:pPr>
              <w:ind w:left="100"/>
              <w:spacing w:after="0"/>
              <w:rPr>
                <w:sz w:val="20"/>
                <w:szCs w:val="20"/>
                <w:color w:val="auto"/>
              </w:rPr>
            </w:pPr>
            <w:r>
              <w:rPr>
                <w:rFonts w:ascii="Arial" w:cs="Arial" w:eastAsia="Arial" w:hAnsi="Arial"/>
                <w:sz w:val="15"/>
                <w:szCs w:val="15"/>
                <w:b w:val="1"/>
                <w:bCs w:val="1"/>
                <w:color w:val="FFFFFF"/>
              </w:rPr>
              <w:t>PROPOSAL 3</w:t>
            </w:r>
          </w:p>
        </w:tc>
        <w:tc>
          <w:tcPr>
            <w:tcW w:w="9500" w:type="dxa"/>
            <w:vAlign w:val="bottom"/>
            <w:vMerge w:val="continue"/>
          </w:tcPr>
          <w:p>
            <w:pPr>
              <w:spacing w:after="0"/>
              <w:rPr>
                <w:sz w:val="20"/>
                <w:szCs w:val="20"/>
                <w:color w:val="auto"/>
              </w:rPr>
            </w:pPr>
          </w:p>
        </w:tc>
        <w:tc>
          <w:tcPr>
            <w:tcW w:w="160" w:type="dxa"/>
            <w:vAlign w:val="bottom"/>
            <w:gridSpan w:val="2"/>
            <w:vMerge w:val="restart"/>
          </w:tcPr>
          <w:p>
            <w:pPr>
              <w:jc w:val="right"/>
              <w:spacing w:after="0"/>
              <w:rPr>
                <w:rFonts w:ascii="Arial" w:cs="Arial" w:eastAsia="Arial" w:hAnsi="Arial"/>
                <w:sz w:val="15"/>
                <w:szCs w:val="15"/>
                <w:b w:val="1"/>
                <w:bCs w:val="1"/>
                <w:color w:val="0000FF"/>
                <w:w w:val="83"/>
              </w:rPr>
            </w:pPr>
            <w:hyperlink w:anchor="page60">
              <w:r>
                <w:rPr>
                  <w:rFonts w:ascii="Arial" w:cs="Arial" w:eastAsia="Arial" w:hAnsi="Arial"/>
                  <w:sz w:val="15"/>
                  <w:szCs w:val="15"/>
                  <w:b w:val="1"/>
                  <w:bCs w:val="1"/>
                  <w:color w:val="0000FF"/>
                  <w:w w:val="83"/>
                </w:rPr>
                <w:t>55</w:t>
              </w:r>
            </w:hyperlink>
          </w:p>
        </w:tc>
        <w:tc>
          <w:tcPr>
            <w:tcW w:w="0" w:type="dxa"/>
            <w:vAlign w:val="bottom"/>
          </w:tcPr>
          <w:p>
            <w:pPr>
              <w:spacing w:after="0"/>
              <w:rPr>
                <w:sz w:val="1"/>
                <w:szCs w:val="1"/>
                <w:color w:val="auto"/>
              </w:rPr>
            </w:pPr>
          </w:p>
        </w:tc>
      </w:tr>
      <w:tr>
        <w:trPr>
          <w:trHeight w:val="93"/>
        </w:trPr>
        <w:tc>
          <w:tcPr>
            <w:tcW w:w="1560" w:type="dxa"/>
            <w:vAlign w:val="bottom"/>
            <w:tcBorders>
              <w:bottom w:val="single" w:sz="8" w:color="006DB6"/>
            </w:tcBorders>
            <w:vMerge w:val="continue"/>
            <w:shd w:val="clear" w:color="auto" w:fill="006DB6"/>
          </w:tcPr>
          <w:p>
            <w:pPr>
              <w:spacing w:after="0"/>
              <w:rPr>
                <w:sz w:val="7"/>
                <w:szCs w:val="7"/>
                <w:color w:val="auto"/>
              </w:rPr>
            </w:pPr>
          </w:p>
        </w:tc>
        <w:tc>
          <w:tcPr>
            <w:tcW w:w="9500" w:type="dxa"/>
            <w:vAlign w:val="bottom"/>
          </w:tcPr>
          <w:p>
            <w:pPr>
              <w:spacing w:after="0"/>
              <w:rPr>
                <w:sz w:val="7"/>
                <w:szCs w:val="7"/>
                <w:color w:val="auto"/>
              </w:rPr>
            </w:pPr>
          </w:p>
        </w:tc>
        <w:tc>
          <w:tcPr>
            <w:tcW w:w="16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Audit Fee Disclosure</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0">
              <w:r>
                <w:rPr>
                  <w:rFonts w:ascii="Arial" w:cs="Arial" w:eastAsia="Arial" w:hAnsi="Arial"/>
                  <w:sz w:val="15"/>
                  <w:szCs w:val="15"/>
                  <w:color w:val="0000FF"/>
                  <w:w w:val="83"/>
                </w:rPr>
                <w:t>55</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Pre-Approval Policy</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1">
              <w:r>
                <w:rPr>
                  <w:rFonts w:ascii="Arial" w:cs="Arial" w:eastAsia="Arial" w:hAnsi="Arial"/>
                  <w:sz w:val="15"/>
                  <w:szCs w:val="15"/>
                  <w:color w:val="0000FF"/>
                  <w:w w:val="83"/>
                </w:rPr>
                <w:t>56</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Audit Committee Report</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1">
              <w:r>
                <w:rPr>
                  <w:rFonts w:ascii="Arial" w:cs="Arial" w:eastAsia="Arial" w:hAnsi="Arial"/>
                  <w:sz w:val="15"/>
                  <w:szCs w:val="15"/>
                  <w:color w:val="0000FF"/>
                  <w:w w:val="83"/>
                </w:rPr>
                <w:t>56</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Additional Management Proposals</w:t>
            </w: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62">
              <w:r>
                <w:rPr>
                  <w:rFonts w:ascii="Arial" w:cs="Arial" w:eastAsia="Arial" w:hAnsi="Arial"/>
                  <w:sz w:val="15"/>
                  <w:szCs w:val="15"/>
                  <w:b w:val="1"/>
                  <w:bCs w:val="1"/>
                  <w:color w:val="0000FF"/>
                  <w:w w:val="83"/>
                </w:rPr>
                <w:t>58</w:t>
              </w:r>
            </w:hyperlink>
          </w:p>
        </w:tc>
        <w:tc>
          <w:tcPr>
            <w:tcW w:w="0" w:type="dxa"/>
            <w:vAlign w:val="bottom"/>
          </w:tcPr>
          <w:p>
            <w:pPr>
              <w:spacing w:after="0"/>
              <w:rPr>
                <w:sz w:val="1"/>
                <w:szCs w:val="1"/>
                <w:color w:val="auto"/>
              </w:rPr>
            </w:pPr>
          </w:p>
        </w:tc>
      </w:tr>
      <w:tr>
        <w:trPr>
          <w:trHeight w:val="31"/>
        </w:trPr>
        <w:tc>
          <w:tcPr>
            <w:tcW w:w="156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60" w:type="dxa"/>
            <w:vAlign w:val="bottom"/>
            <w:gridSpan w:val="2"/>
            <w:vMerge w:val="restart"/>
          </w:tcPr>
          <w:p>
            <w:pPr>
              <w:jc w:val="right"/>
              <w:spacing w:after="0"/>
              <w:rPr>
                <w:rFonts w:ascii="Arial" w:cs="Arial" w:eastAsia="Arial" w:hAnsi="Arial"/>
                <w:sz w:val="15"/>
                <w:szCs w:val="15"/>
                <w:b w:val="1"/>
                <w:bCs w:val="1"/>
                <w:color w:val="0000FF"/>
                <w:w w:val="83"/>
              </w:rPr>
            </w:pPr>
            <w:hyperlink w:anchor="page63">
              <w:r>
                <w:rPr>
                  <w:rFonts w:ascii="Arial" w:cs="Arial" w:eastAsia="Arial" w:hAnsi="Arial"/>
                  <w:sz w:val="15"/>
                  <w:szCs w:val="15"/>
                  <w:b w:val="1"/>
                  <w:bCs w:val="1"/>
                  <w:color w:val="0000FF"/>
                  <w:w w:val="83"/>
                </w:rPr>
                <w:t>58</w:t>
              </w:r>
            </w:hyperlink>
          </w:p>
        </w:tc>
        <w:tc>
          <w:tcPr>
            <w:tcW w:w="0" w:type="dxa"/>
            <w:vAlign w:val="bottom"/>
          </w:tcPr>
          <w:p>
            <w:pPr>
              <w:spacing w:after="0" w:line="20" w:lineRule="exact"/>
              <w:rPr>
                <w:sz w:val="1"/>
                <w:szCs w:val="1"/>
                <w:color w:val="auto"/>
              </w:rPr>
            </w:pPr>
          </w:p>
        </w:tc>
      </w:tr>
      <w:tr>
        <w:trPr>
          <w:trHeight w:val="179"/>
        </w:trPr>
        <w:tc>
          <w:tcPr>
            <w:tcW w:w="1560" w:type="dxa"/>
            <w:vAlign w:val="bottom"/>
            <w:tcBorders>
              <w:bottom w:val="single" w:sz="8" w:color="006DB6"/>
            </w:tcBorders>
            <w:shd w:val="clear" w:color="auto" w:fill="006DB6"/>
          </w:tcPr>
          <w:p>
            <w:pPr>
              <w:ind w:left="100"/>
              <w:spacing w:after="0"/>
              <w:rPr>
                <w:sz w:val="20"/>
                <w:szCs w:val="20"/>
                <w:color w:val="auto"/>
              </w:rPr>
            </w:pPr>
            <w:r>
              <w:rPr>
                <w:rFonts w:ascii="Arial" w:cs="Arial" w:eastAsia="Arial" w:hAnsi="Arial"/>
                <w:sz w:val="15"/>
                <w:szCs w:val="15"/>
                <w:b w:val="1"/>
                <w:bCs w:val="1"/>
                <w:color w:val="FFFFFF"/>
              </w:rPr>
              <w:t>PROPOSAL 4</w:t>
            </w:r>
          </w:p>
        </w:tc>
        <w:tc>
          <w:tcPr>
            <w:tcW w:w="9500" w:type="dxa"/>
            <w:vAlign w:val="bottom"/>
          </w:tcPr>
          <w:p>
            <w:pPr>
              <w:ind w:left="20"/>
              <w:spacing w:after="0"/>
              <w:rPr>
                <w:sz w:val="20"/>
                <w:szCs w:val="20"/>
                <w:color w:val="auto"/>
              </w:rPr>
            </w:pPr>
            <w:r>
              <w:rPr>
                <w:rFonts w:ascii="Arial" w:cs="Arial" w:eastAsia="Arial" w:hAnsi="Arial"/>
                <w:sz w:val="15"/>
                <w:szCs w:val="15"/>
                <w:b w:val="1"/>
                <w:bCs w:val="1"/>
                <w:color w:val="006DB6"/>
              </w:rPr>
              <w:t>Advisory Vote on the Frequency of Future Advisory Votes to Approve Named Executive Officer Compensation</w:t>
            </w:r>
          </w:p>
        </w:tc>
        <w:tc>
          <w:tcPr>
            <w:tcW w:w="16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560" w:type="dxa"/>
            <w:vAlign w:val="bottom"/>
            <w:shd w:val="clear" w:color="auto" w:fill="006DB6"/>
          </w:tcPr>
          <w:p>
            <w:pPr>
              <w:spacing w:after="0"/>
              <w:rPr>
                <w:sz w:val="6"/>
                <w:szCs w:val="6"/>
                <w:color w:val="auto"/>
              </w:rPr>
            </w:pPr>
          </w:p>
        </w:tc>
        <w:tc>
          <w:tcPr>
            <w:tcW w:w="9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Security Ownership of Management and Certain Beneficial Owners</w:t>
            </w: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63">
              <w:r>
                <w:rPr>
                  <w:rFonts w:ascii="Arial" w:cs="Arial" w:eastAsia="Arial" w:hAnsi="Arial"/>
                  <w:sz w:val="15"/>
                  <w:szCs w:val="15"/>
                  <w:b w:val="1"/>
                  <w:bCs w:val="1"/>
                  <w:color w:val="0000FF"/>
                  <w:w w:val="83"/>
                </w:rPr>
                <w:t>59</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0"/>
              <w:spacing w:after="0"/>
              <w:rPr>
                <w:sz w:val="20"/>
                <w:szCs w:val="20"/>
                <w:color w:val="auto"/>
              </w:rPr>
            </w:pPr>
            <w:r>
              <w:rPr>
                <w:rFonts w:ascii="Arial" w:cs="Arial" w:eastAsia="Arial" w:hAnsi="Arial"/>
                <w:sz w:val="15"/>
                <w:szCs w:val="15"/>
                <w:b w:val="1"/>
                <w:bCs w:val="1"/>
                <w:color w:val="006DB6"/>
              </w:rPr>
              <w:t>Additional Information</w:t>
            </w: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65">
              <w:r>
                <w:rPr>
                  <w:rFonts w:ascii="Arial" w:cs="Arial" w:eastAsia="Arial" w:hAnsi="Arial"/>
                  <w:sz w:val="15"/>
                  <w:szCs w:val="15"/>
                  <w:b w:val="1"/>
                  <w:bCs w:val="1"/>
                  <w:color w:val="0000FF"/>
                  <w:w w:val="83"/>
                </w:rPr>
                <w:t>61</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General Information about the Annual General Meeting</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6">
              <w:r>
                <w:rPr>
                  <w:rFonts w:ascii="Arial" w:cs="Arial" w:eastAsia="Arial" w:hAnsi="Arial"/>
                  <w:sz w:val="15"/>
                  <w:szCs w:val="15"/>
                  <w:color w:val="0000FF"/>
                  <w:w w:val="83"/>
                </w:rPr>
                <w:t>61</w:t>
              </w:r>
            </w:hyperlink>
          </w:p>
        </w:tc>
        <w:tc>
          <w:tcPr>
            <w:tcW w:w="0" w:type="dxa"/>
            <w:vAlign w:val="bottom"/>
          </w:tcPr>
          <w:p>
            <w:pPr>
              <w:spacing w:after="0"/>
              <w:rPr>
                <w:sz w:val="1"/>
                <w:szCs w:val="1"/>
                <w:color w:val="auto"/>
              </w:rPr>
            </w:pPr>
          </w:p>
        </w:tc>
      </w:tr>
      <w:tr>
        <w:trPr>
          <w:trHeight w:val="211"/>
        </w:trPr>
        <w:tc>
          <w:tcPr>
            <w:tcW w:w="11060" w:type="dxa"/>
            <w:vAlign w:val="bottom"/>
            <w:gridSpan w:val="2"/>
          </w:tcPr>
          <w:p>
            <w:pPr>
              <w:ind w:left="260"/>
              <w:spacing w:after="0"/>
              <w:rPr>
                <w:sz w:val="20"/>
                <w:szCs w:val="20"/>
                <w:color w:val="auto"/>
              </w:rPr>
            </w:pPr>
            <w:r>
              <w:rPr>
                <w:rFonts w:ascii="Arial" w:cs="Arial" w:eastAsia="Arial" w:hAnsi="Arial"/>
                <w:sz w:val="15"/>
                <w:szCs w:val="15"/>
                <w:color w:val="auto"/>
              </w:rPr>
              <w:t>Future Shareholder Proposals</w:t>
            </w: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9">
              <w:r>
                <w:rPr>
                  <w:rFonts w:ascii="Arial" w:cs="Arial" w:eastAsia="Arial" w:hAnsi="Arial"/>
                  <w:sz w:val="15"/>
                  <w:szCs w:val="15"/>
                  <w:color w:val="0000FF"/>
                  <w:w w:val="83"/>
                </w:rPr>
                <w:t>64</w:t>
              </w:r>
            </w:hyperlink>
          </w:p>
        </w:tc>
        <w:tc>
          <w:tcPr>
            <w:tcW w:w="0" w:type="dxa"/>
            <w:vAlign w:val="bottom"/>
          </w:tcPr>
          <w:p>
            <w:pPr>
              <w:spacing w:after="0"/>
              <w:rPr>
                <w:sz w:val="1"/>
                <w:szCs w:val="1"/>
                <w:color w:val="auto"/>
              </w:rPr>
            </w:pPr>
          </w:p>
        </w:tc>
      </w:tr>
      <w:tr>
        <w:trPr>
          <w:trHeight w:val="211"/>
        </w:trPr>
        <w:tc>
          <w:tcPr>
            <w:tcW w:w="1560" w:type="dxa"/>
            <w:vAlign w:val="bottom"/>
          </w:tcPr>
          <w:p>
            <w:pPr>
              <w:ind w:left="260"/>
              <w:spacing w:after="0"/>
              <w:rPr>
                <w:sz w:val="20"/>
                <w:szCs w:val="20"/>
                <w:color w:val="auto"/>
              </w:rPr>
            </w:pPr>
            <w:r>
              <w:rPr>
                <w:rFonts w:ascii="Arial" w:cs="Arial" w:eastAsia="Arial" w:hAnsi="Arial"/>
                <w:sz w:val="15"/>
                <w:szCs w:val="15"/>
                <w:color w:val="auto"/>
              </w:rPr>
              <w:t>Householding</w:t>
            </w:r>
          </w:p>
        </w:tc>
        <w:tc>
          <w:tcPr>
            <w:tcW w:w="95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69">
              <w:r>
                <w:rPr>
                  <w:rFonts w:ascii="Arial" w:cs="Arial" w:eastAsia="Arial" w:hAnsi="Arial"/>
                  <w:sz w:val="15"/>
                  <w:szCs w:val="15"/>
                  <w:color w:val="0000FF"/>
                  <w:w w:val="83"/>
                </w:rPr>
                <w:t>65</w:t>
              </w:r>
            </w:hyperlink>
          </w:p>
        </w:tc>
        <w:tc>
          <w:tcPr>
            <w:tcW w:w="0" w:type="dxa"/>
            <w:vAlign w:val="bottom"/>
          </w:tcPr>
          <w:p>
            <w:pPr>
              <w:spacing w:after="0"/>
              <w:rPr>
                <w:sz w:val="1"/>
                <w:szCs w:val="1"/>
                <w:color w:val="auto"/>
              </w:rPr>
            </w:pPr>
          </w:p>
        </w:tc>
      </w:tr>
      <w:tr>
        <w:trPr>
          <w:trHeight w:val="211"/>
        </w:trPr>
        <w:tc>
          <w:tcPr>
            <w:tcW w:w="1560" w:type="dxa"/>
            <w:vAlign w:val="bottom"/>
          </w:tcPr>
          <w:p>
            <w:pPr>
              <w:ind w:left="20"/>
              <w:spacing w:after="0"/>
              <w:rPr>
                <w:sz w:val="20"/>
                <w:szCs w:val="20"/>
                <w:color w:val="auto"/>
              </w:rPr>
            </w:pPr>
            <w:r>
              <w:rPr>
                <w:rFonts w:ascii="Arial" w:cs="Arial" w:eastAsia="Arial" w:hAnsi="Arial"/>
                <w:sz w:val="15"/>
                <w:szCs w:val="15"/>
                <w:b w:val="1"/>
                <w:bCs w:val="1"/>
                <w:color w:val="006DB6"/>
              </w:rPr>
              <w:t>Appendix</w:t>
            </w:r>
          </w:p>
        </w:tc>
        <w:tc>
          <w:tcPr>
            <w:tcW w:w="95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5"/>
                <w:szCs w:val="15"/>
                <w:b w:val="1"/>
                <w:bCs w:val="1"/>
                <w:color w:val="0000FF"/>
                <w:w w:val="83"/>
              </w:rPr>
            </w:pPr>
            <w:hyperlink w:anchor="page70">
              <w:r>
                <w:rPr>
                  <w:rFonts w:ascii="Arial" w:cs="Arial" w:eastAsia="Arial" w:hAnsi="Arial"/>
                  <w:sz w:val="15"/>
                  <w:szCs w:val="15"/>
                  <w:b w:val="1"/>
                  <w:bCs w:val="1"/>
                  <w:color w:val="0000FF"/>
                  <w:w w:val="83"/>
                </w:rPr>
                <w:t>66</w:t>
              </w:r>
            </w:hyperlink>
          </w:p>
        </w:tc>
        <w:tc>
          <w:tcPr>
            <w:tcW w:w="0" w:type="dxa"/>
            <w:vAlign w:val="bottom"/>
          </w:tcPr>
          <w:p>
            <w:pPr>
              <w:spacing w:after="0"/>
              <w:rPr>
                <w:sz w:val="1"/>
                <w:szCs w:val="1"/>
                <w:color w:val="auto"/>
              </w:rPr>
            </w:pPr>
          </w:p>
        </w:tc>
      </w:tr>
    </w:tbl>
    <w:p>
      <w:pPr>
        <w:sectPr>
          <w:pgSz w:w="11900" w:h="16838" w:orient="portrait"/>
          <w:cols w:equalWidth="0" w:num="1">
            <w:col w:w="11220"/>
          </w:cols>
          <w:pgMar w:left="320" w:top="917" w:right="359" w:bottom="1440" w:gutter="0" w:footer="0" w:header="0"/>
        </w:sectPr>
      </w:pPr>
    </w:p>
    <w:bookmarkStart w:id="5" w:name="page6"/>
    <w:bookmarkEnd w:id="5"/>
    <w:p>
      <w:pPr>
        <w:spacing w:after="0"/>
        <w:rPr>
          <w:sz w:val="20"/>
          <w:szCs w:val="20"/>
          <w:color w:val="auto"/>
        </w:rPr>
      </w:pPr>
      <w:r>
        <w:rPr>
          <w:rFonts w:ascii="Arial" w:cs="Arial" w:eastAsia="Arial" w:hAnsi="Arial"/>
          <w:sz w:val="43"/>
          <w:szCs w:val="43"/>
          <w:b w:val="1"/>
          <w:bCs w:val="1"/>
          <w:color w:val="006DB6"/>
        </w:rPr>
        <w:t>Proxy Statement Summary</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This proxy statement is being furnished to shareholders of Civeo Corporation (“Civeo”) in connection with the solicitation of proxies by its board of directors for use at the 2021 annual general meeting of shareholders (the “annual general meeting”), which will be virtual, conducted via live audio webcast on May 19, 2021 at 9:00 a.m., local time, due to the public health impact of the COVID-19 virus and to support the health and well-being of our employees and shareholders. You will be able to attend and participate in the annual general meeting by visiting www.virtualshareholdermeeting.com/CVEO2021, where you will be able to listen to the meeting live, submit questions, and vote. During the annual general meeting, shareholders will have the opportunity to vote on the proposals to elect the following two persons as Class I members of Civeo’s board of directors: C. Ronald Blankenship and Charles Szalkowski, each for a term of three years ending at the 2024 annual general meeting of shareholders or until their successors are duly elected and qualified (the “Director Proposal”); to approve, on an advisory basis, the compensation of Civeo's named executive officers (the"Say-on-Pay Proposal"); to ratify the appointment of Ernst &amp; Young LLP as Civeo’s independent registered public accounting firm for the year ending December 31, 2021 and until the next annual general meeting of shareholders and to authorize the directors, acting through the Audit Committee, to determine the remuneration to be paid to Ernst &amp; Young LLP for 2021 (the “Auditor Proposal”); to recommend, on an advisory basis, whether a stockholder vote to approve executive compensation should occur every one, two or three years (the "Say-When-on-Pay Proposal"); and to conduct any other business as may properly come before the annual general meeting or any adjournment or postponement thereof. The approximate date of first mailing of this proxy statement, the accompanying proxy and Civeo’s 2020 annual report is April 8, 2021.</w:t>
      </w:r>
    </w:p>
    <w:p>
      <w:pPr>
        <w:spacing w:after="0" w:line="78"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Only shareholders of record at the close of business on March 24, 2021 are entitled to notice of and to vote during the annual general meeting or at any adjournment or postponement thereof that may take place. On March 24, 2021, we had 14,292,135 common shares outstanding and entitled to vote. Each common share is entitled to one vote for each Class I director nominee and one vote for each other item to be voted on at the annual general meeting. The presence of shareholders, by voting online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spacing w:after="0" w:line="9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In this proxy statement, we sometimes refer to Civeo and its subsidiaries as “we,” “us,” “our,” or “Civeo.” Unless otherwise indicated, all references in this proxy statement to “dollars” or “$” are to U.S. dollars. Our principal executive offices are located at Three Allen Center, 333 Clay Street, Suite 4980, Houston, Texas 77002.</w:t>
      </w:r>
    </w:p>
    <w:p>
      <w:pPr>
        <w:spacing w:after="0" w:line="78"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To assist you in reviewing the proposals to be considered at the annual general meeting, we call your attention to the following summary, which includes information about our fiscal 2020 financial performance. For more information, please review our 2020 Annual Report on Form 10-K and the other sections of this proxy statement.</w:t>
      </w:r>
    </w:p>
    <w:p>
      <w:pPr>
        <w:spacing w:after="0" w:line="262"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On November 19, 2020, we effected a reverse share split where each 12 issued and outstanding common shares were converted into one common share. Our common shares began trading on a reverse split-adjusted basis on November 19, 2020. This proxy statement has been adjusted where applicable to give effect to the reverse share split.</w:t>
      </w:r>
    </w:p>
    <w:p>
      <w:pPr>
        <w:spacing w:after="0" w:line="315"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60" w:type="dxa"/>
            <w:vAlign w:val="bottom"/>
          </w:tcPr>
          <w:p>
            <w:pPr>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bl>
    <w:p>
      <w:pPr>
        <w:sectPr>
          <w:pgSz w:w="11900" w:h="16838" w:orient="portrait"/>
          <w:cols w:equalWidth="0" w:num="1">
            <w:col w:w="11220"/>
          </w:cols>
          <w:pgMar w:left="320" w:top="712" w:right="35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Company Overview</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383"/>
        </w:trPr>
        <w:tc>
          <w:tcPr>
            <w:tcW w:w="3680" w:type="dxa"/>
            <w:vAlign w:val="bottom"/>
            <w:tcBorders>
              <w:right w:val="single" w:sz="8" w:color="auto"/>
            </w:tcBorders>
          </w:tcPr>
          <w:p>
            <w:pPr>
              <w:spacing w:after="0"/>
              <w:rPr>
                <w:sz w:val="20"/>
                <w:szCs w:val="20"/>
                <w:color w:val="auto"/>
              </w:rPr>
            </w:pPr>
            <w:r>
              <w:rPr>
                <w:rFonts w:ascii="Arial" w:cs="Arial" w:eastAsia="Arial" w:hAnsi="Arial"/>
                <w:sz w:val="27"/>
                <w:szCs w:val="27"/>
                <w:b w:val="1"/>
                <w:bCs w:val="1"/>
                <w:color w:val="006DB6"/>
              </w:rPr>
              <w:t>Who We Are</w:t>
            </w:r>
          </w:p>
        </w:tc>
        <w:tc>
          <w:tcPr>
            <w:tcW w:w="4080" w:type="dxa"/>
            <w:vAlign w:val="bottom"/>
          </w:tcPr>
          <w:p>
            <w:pPr>
              <w:ind w:left="280"/>
              <w:spacing w:after="0"/>
              <w:rPr>
                <w:sz w:val="20"/>
                <w:szCs w:val="20"/>
                <w:color w:val="auto"/>
              </w:rPr>
            </w:pPr>
            <w:r>
              <w:rPr>
                <w:rFonts w:ascii="Arial" w:cs="Arial" w:eastAsia="Arial" w:hAnsi="Arial"/>
                <w:sz w:val="27"/>
                <w:szCs w:val="27"/>
                <w:b w:val="1"/>
                <w:bCs w:val="1"/>
                <w:color w:val="006DB6"/>
              </w:rPr>
              <w:t>Where We Operate</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BUSINESS</w:t>
            </w:r>
          </w:p>
        </w:tc>
        <w:tc>
          <w:tcPr>
            <w:tcW w:w="4080" w:type="dxa"/>
            <w:vAlign w:val="bottom"/>
          </w:tcPr>
          <w:p>
            <w:pPr>
              <w:ind w:left="280"/>
              <w:spacing w:after="0"/>
              <w:rPr>
                <w:sz w:val="20"/>
                <w:szCs w:val="20"/>
                <w:color w:val="auto"/>
              </w:rPr>
            </w:pPr>
            <w:r>
              <w:rPr>
                <w:rFonts w:ascii="Arial" w:cs="Arial" w:eastAsia="Arial" w:hAnsi="Arial"/>
                <w:sz w:val="15"/>
                <w:szCs w:val="15"/>
                <w:b w:val="1"/>
                <w:bCs w:val="1"/>
                <w:color w:val="auto"/>
              </w:rPr>
              <w:t>CANADA – 51% OF 2020 REVENUE</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We are a leading provider of a full suite of</w:t>
            </w: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16 lodges with over 19,000 rooms</w:t>
            </w:r>
          </w:p>
        </w:tc>
        <w:tc>
          <w:tcPr>
            <w:tcW w:w="0" w:type="dxa"/>
            <w:vAlign w:val="bottom"/>
          </w:tcPr>
          <w:p>
            <w:pPr>
              <w:spacing w:after="0"/>
              <w:rPr>
                <w:sz w:val="1"/>
                <w:szCs w:val="1"/>
                <w:color w:val="auto"/>
              </w:rPr>
            </w:pPr>
          </w:p>
        </w:tc>
      </w:tr>
      <w:tr>
        <w:trPr>
          <w:trHeight w:val="179"/>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hospitality services, including lodging, food</w:t>
            </w:r>
          </w:p>
        </w:tc>
        <w:tc>
          <w:tcPr>
            <w:tcW w:w="7520" w:type="dxa"/>
            <w:vAlign w:val="bottom"/>
            <w:gridSpan w:val="2"/>
            <w:vMerge w:val="restart"/>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Primary driver is oil sands production and activity</w:t>
            </w:r>
          </w:p>
        </w:tc>
        <w:tc>
          <w:tcPr>
            <w:tcW w:w="0" w:type="dxa"/>
            <w:vAlign w:val="bottom"/>
          </w:tcPr>
          <w:p>
            <w:pPr>
              <w:spacing w:after="0"/>
              <w:rPr>
                <w:sz w:val="1"/>
                <w:szCs w:val="1"/>
                <w:color w:val="auto"/>
              </w:rPr>
            </w:pPr>
          </w:p>
        </w:tc>
      </w:tr>
      <w:tr>
        <w:trPr>
          <w:trHeight w:val="70"/>
        </w:trPr>
        <w:tc>
          <w:tcPr>
            <w:tcW w:w="36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services, housekeeping and maintenance of</w:t>
            </w:r>
          </w:p>
        </w:tc>
        <w:tc>
          <w:tcPr>
            <w:tcW w:w="7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680" w:type="dxa"/>
            <w:vAlign w:val="bottom"/>
            <w:tcBorders>
              <w:right w:val="single" w:sz="8" w:color="auto"/>
            </w:tcBorders>
            <w:vMerge w:val="continue"/>
          </w:tcPr>
          <w:p>
            <w:pPr>
              <w:spacing w:after="0"/>
              <w:rPr>
                <w:sz w:val="9"/>
                <w:szCs w:val="9"/>
                <w:color w:val="auto"/>
              </w:rPr>
            </w:pPr>
          </w:p>
        </w:tc>
        <w:tc>
          <w:tcPr>
            <w:tcW w:w="7520" w:type="dxa"/>
            <w:vAlign w:val="bottom"/>
            <w:gridSpan w:val="2"/>
            <w:vMerge w:val="restart"/>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Growth from LNG Canada project moving forward</w:t>
            </w:r>
          </w:p>
        </w:tc>
        <w:tc>
          <w:tcPr>
            <w:tcW w:w="0" w:type="dxa"/>
            <w:vAlign w:val="bottom"/>
          </w:tcPr>
          <w:p>
            <w:pPr>
              <w:spacing w:after="0"/>
              <w:rPr>
                <w:sz w:val="1"/>
                <w:szCs w:val="1"/>
                <w:color w:val="auto"/>
              </w:rPr>
            </w:pPr>
          </w:p>
        </w:tc>
      </w:tr>
      <w:tr>
        <w:trPr>
          <w:trHeight w:val="141"/>
        </w:trPr>
        <w:tc>
          <w:tcPr>
            <w:tcW w:w="3680" w:type="dxa"/>
            <w:vAlign w:val="bottom"/>
            <w:tcBorders>
              <w:right w:val="single" w:sz="8" w:color="auto"/>
            </w:tcBorders>
          </w:tcPr>
          <w:p>
            <w:pPr>
              <w:spacing w:after="0" w:line="141" w:lineRule="exact"/>
              <w:rPr>
                <w:sz w:val="20"/>
                <w:szCs w:val="20"/>
                <w:color w:val="auto"/>
              </w:rPr>
            </w:pPr>
            <w:r>
              <w:rPr>
                <w:rFonts w:ascii="Arial" w:cs="Arial" w:eastAsia="Arial" w:hAnsi="Arial"/>
                <w:sz w:val="15"/>
                <w:szCs w:val="15"/>
                <w:color w:val="auto"/>
              </w:rPr>
              <w:t>accommodations facilities that we or our</w:t>
            </w:r>
          </w:p>
        </w:tc>
        <w:tc>
          <w:tcPr>
            <w:tcW w:w="7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customers own</w:t>
            </w:r>
          </w:p>
        </w:tc>
        <w:tc>
          <w:tcPr>
            <w:tcW w:w="4080" w:type="dxa"/>
            <w:vAlign w:val="bottom"/>
          </w:tcPr>
          <w:p>
            <w:pPr>
              <w:spacing w:after="0"/>
              <w:rPr>
                <w:sz w:val="19"/>
                <w:szCs w:val="19"/>
                <w:color w:val="auto"/>
              </w:rPr>
            </w:pPr>
          </w:p>
        </w:tc>
        <w:tc>
          <w:tcPr>
            <w:tcW w:w="3440" w:type="dxa"/>
            <w:vAlign w:val="bottom"/>
          </w:tcPr>
          <w:p>
            <w:pPr>
              <w:ind w:left="80"/>
              <w:spacing w:after="0"/>
              <w:rPr>
                <w:sz w:val="20"/>
                <w:szCs w:val="20"/>
                <w:color w:val="auto"/>
              </w:rPr>
            </w:pPr>
            <w:r>
              <w:rPr>
                <w:rFonts w:ascii="Arial" w:cs="Arial" w:eastAsia="Arial" w:hAnsi="Arial"/>
                <w:sz w:val="15"/>
                <w:szCs w:val="15"/>
                <w:color w:val="auto"/>
              </w:rPr>
              <w:t>in British Columbia</w:t>
            </w:r>
          </w:p>
        </w:tc>
        <w:tc>
          <w:tcPr>
            <w:tcW w:w="0" w:type="dxa"/>
            <w:vAlign w:val="bottom"/>
          </w:tcPr>
          <w:p>
            <w:pPr>
              <w:spacing w:after="0"/>
              <w:rPr>
                <w:sz w:val="1"/>
                <w:szCs w:val="1"/>
                <w:color w:val="auto"/>
              </w:rPr>
            </w:pPr>
          </w:p>
        </w:tc>
      </w:tr>
      <w:tr>
        <w:trPr>
          <w:trHeight w:val="282"/>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MARKETS</w:t>
            </w:r>
          </w:p>
        </w:tc>
        <w:tc>
          <w:tcPr>
            <w:tcW w:w="4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We serve natural resource producers in some of</w:t>
            </w:r>
          </w:p>
        </w:tc>
        <w:tc>
          <w:tcPr>
            <w:tcW w:w="4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world’s most active oil, met coal, LNG and</w:t>
            </w:r>
          </w:p>
        </w:tc>
        <w:tc>
          <w:tcPr>
            <w:tcW w:w="40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iron ore producing regions in Canada, Australia</w:t>
            </w:r>
          </w:p>
        </w:tc>
        <w:tc>
          <w:tcPr>
            <w:tcW w:w="40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AUSTRALIA – 44% OF 2020 REVENUE</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and the U.S.</w:t>
            </w:r>
          </w:p>
        </w:tc>
        <w:tc>
          <w:tcPr>
            <w:tcW w:w="40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GROSS PROFIT BY ACTIVITY DRIVER</w:t>
            </w: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9 villages with over 9,000 rooms</w:t>
            </w:r>
          </w:p>
        </w:tc>
        <w:tc>
          <w:tcPr>
            <w:tcW w:w="0" w:type="dxa"/>
            <w:vAlign w:val="bottom"/>
          </w:tcPr>
          <w:p>
            <w:pPr>
              <w:spacing w:after="0"/>
              <w:rPr>
                <w:sz w:val="1"/>
                <w:szCs w:val="1"/>
                <w:color w:val="auto"/>
              </w:rPr>
            </w:pPr>
          </w:p>
        </w:tc>
      </w:tr>
      <w:tr>
        <w:trPr>
          <w:trHeight w:val="218"/>
        </w:trPr>
        <w:tc>
          <w:tcPr>
            <w:tcW w:w="3680" w:type="dxa"/>
            <w:vAlign w:val="bottom"/>
            <w:tcBorders>
              <w:right w:val="single" w:sz="8" w:color="auto"/>
            </w:tcBorders>
          </w:tcPr>
          <w:p>
            <w:pPr>
              <w:spacing w:after="0"/>
              <w:rPr>
                <w:sz w:val="18"/>
                <w:szCs w:val="18"/>
                <w:color w:val="auto"/>
              </w:rPr>
            </w:pP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Primary driver is met coal production and activity</w:t>
            </w:r>
          </w:p>
        </w:tc>
        <w:tc>
          <w:tcPr>
            <w:tcW w:w="0" w:type="dxa"/>
            <w:vAlign w:val="bottom"/>
          </w:tcPr>
          <w:p>
            <w:pPr>
              <w:spacing w:after="0"/>
              <w:rPr>
                <w:sz w:val="1"/>
                <w:szCs w:val="1"/>
                <w:color w:val="auto"/>
              </w:rPr>
            </w:pPr>
          </w:p>
        </w:tc>
      </w:tr>
      <w:tr>
        <w:trPr>
          <w:trHeight w:val="251"/>
        </w:trPr>
        <w:tc>
          <w:tcPr>
            <w:tcW w:w="3680" w:type="dxa"/>
            <w:vAlign w:val="bottom"/>
            <w:tcBorders>
              <w:right w:val="single" w:sz="8" w:color="auto"/>
            </w:tcBorders>
          </w:tcPr>
          <w:p>
            <w:pPr>
              <w:spacing w:after="0"/>
              <w:rPr>
                <w:sz w:val="21"/>
                <w:szCs w:val="21"/>
                <w:color w:val="auto"/>
              </w:rPr>
            </w:pP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Growing presence in Western Australia managing</w:t>
            </w:r>
          </w:p>
        </w:tc>
        <w:tc>
          <w:tcPr>
            <w:tcW w:w="0" w:type="dxa"/>
            <w:vAlign w:val="bottom"/>
          </w:tcPr>
          <w:p>
            <w:pPr>
              <w:spacing w:after="0"/>
              <w:rPr>
                <w:sz w:val="1"/>
                <w:szCs w:val="1"/>
                <w:color w:val="auto"/>
              </w:rPr>
            </w:pPr>
          </w:p>
        </w:tc>
      </w:tr>
      <w:tr>
        <w:trPr>
          <w:trHeight w:val="185"/>
        </w:trPr>
        <w:tc>
          <w:tcPr>
            <w:tcW w:w="3680" w:type="dxa"/>
            <w:vAlign w:val="bottom"/>
            <w:tcBorders>
              <w:right w:val="single" w:sz="8" w:color="auto"/>
            </w:tcBorders>
          </w:tcPr>
          <w:p>
            <w:pPr>
              <w:spacing w:after="0"/>
              <w:rPr>
                <w:sz w:val="16"/>
                <w:szCs w:val="16"/>
                <w:color w:val="auto"/>
              </w:rPr>
            </w:pPr>
          </w:p>
        </w:tc>
        <w:tc>
          <w:tcPr>
            <w:tcW w:w="408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Arial" w:cs="Arial" w:eastAsia="Arial" w:hAnsi="Arial"/>
                <w:sz w:val="15"/>
                <w:szCs w:val="15"/>
                <w:color w:val="auto"/>
              </w:rPr>
              <w:t>customer assets</w:t>
            </w:r>
          </w:p>
        </w:tc>
        <w:tc>
          <w:tcPr>
            <w:tcW w:w="0" w:type="dxa"/>
            <w:vAlign w:val="bottom"/>
          </w:tcPr>
          <w:p>
            <w:pPr>
              <w:spacing w:after="0"/>
              <w:rPr>
                <w:sz w:val="1"/>
                <w:szCs w:val="1"/>
                <w:color w:val="auto"/>
              </w:rPr>
            </w:pPr>
          </w:p>
        </w:tc>
      </w:tr>
      <w:tr>
        <w:trPr>
          <w:trHeight w:val="238"/>
        </w:trPr>
        <w:tc>
          <w:tcPr>
            <w:tcW w:w="3680" w:type="dxa"/>
            <w:vAlign w:val="bottom"/>
            <w:tcBorders>
              <w:right w:val="single" w:sz="8" w:color="auto"/>
            </w:tcBorders>
          </w:tcPr>
          <w:p>
            <w:pPr>
              <w:spacing w:after="0"/>
              <w:rPr>
                <w:sz w:val="20"/>
                <w:szCs w:val="20"/>
                <w:color w:val="auto"/>
              </w:rPr>
            </w:pP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Also serve iron ore, gold, lithium, and LNG</w:t>
            </w:r>
          </w:p>
        </w:tc>
        <w:tc>
          <w:tcPr>
            <w:tcW w:w="0" w:type="dxa"/>
            <w:vAlign w:val="bottom"/>
          </w:tcPr>
          <w:p>
            <w:pPr>
              <w:spacing w:after="0"/>
              <w:rPr>
                <w:sz w:val="1"/>
                <w:szCs w:val="1"/>
                <w:color w:val="auto"/>
              </w:rPr>
            </w:pPr>
          </w:p>
        </w:tc>
      </w:tr>
      <w:tr>
        <w:trPr>
          <w:trHeight w:val="185"/>
        </w:trPr>
        <w:tc>
          <w:tcPr>
            <w:tcW w:w="3680" w:type="dxa"/>
            <w:vAlign w:val="bottom"/>
            <w:tcBorders>
              <w:right w:val="single" w:sz="8" w:color="auto"/>
            </w:tcBorders>
          </w:tcPr>
          <w:p>
            <w:pPr>
              <w:spacing w:after="0"/>
              <w:rPr>
                <w:sz w:val="16"/>
                <w:szCs w:val="16"/>
                <w:color w:val="auto"/>
              </w:rPr>
            </w:pPr>
          </w:p>
        </w:tc>
        <w:tc>
          <w:tcPr>
            <w:tcW w:w="408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Arial" w:cs="Arial" w:eastAsia="Arial" w:hAnsi="Arial"/>
                <w:sz w:val="15"/>
                <w:szCs w:val="15"/>
                <w:color w:val="auto"/>
              </w:rPr>
              <w:t>projects</w:t>
            </w:r>
          </w:p>
        </w:tc>
        <w:tc>
          <w:tcPr>
            <w:tcW w:w="0" w:type="dxa"/>
            <w:vAlign w:val="bottom"/>
          </w:tcPr>
          <w:p>
            <w:pPr>
              <w:spacing w:after="0"/>
              <w:rPr>
                <w:sz w:val="1"/>
                <w:szCs w:val="1"/>
                <w:color w:val="auto"/>
              </w:rPr>
            </w:pPr>
          </w:p>
        </w:tc>
      </w:tr>
      <w:tr>
        <w:trPr>
          <w:trHeight w:val="538"/>
        </w:trPr>
        <w:tc>
          <w:tcPr>
            <w:tcW w:w="3680" w:type="dxa"/>
            <w:vAlign w:val="bottom"/>
            <w:tcBorders>
              <w:right w:val="single" w:sz="8" w:color="auto"/>
            </w:tcBorders>
          </w:tcPr>
          <w:p>
            <w:pPr>
              <w:spacing w:after="0"/>
              <w:rPr>
                <w:sz w:val="24"/>
                <w:szCs w:val="24"/>
                <w:color w:val="auto"/>
              </w:rPr>
            </w:pPr>
          </w:p>
        </w:tc>
        <w:tc>
          <w:tcPr>
            <w:tcW w:w="4080" w:type="dxa"/>
            <w:vAlign w:val="bottom"/>
          </w:tcPr>
          <w:p>
            <w:pPr>
              <w:ind w:left="280"/>
              <w:spacing w:after="0"/>
              <w:rPr>
                <w:sz w:val="20"/>
                <w:szCs w:val="20"/>
                <w:color w:val="auto"/>
              </w:rPr>
            </w:pPr>
            <w:r>
              <w:rPr>
                <w:rFonts w:ascii="Arial" w:cs="Arial" w:eastAsia="Arial" w:hAnsi="Arial"/>
                <w:sz w:val="15"/>
                <w:szCs w:val="15"/>
                <w:b w:val="1"/>
                <w:bCs w:val="1"/>
                <w:color w:val="auto"/>
              </w:rPr>
              <w:t>USA – 5% OF 2020 REVENUE</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80" w:type="dxa"/>
            <w:vAlign w:val="bottom"/>
            <w:tcBorders>
              <w:right w:val="single" w:sz="8" w:color="auto"/>
            </w:tcBorders>
          </w:tcPr>
          <w:p>
            <w:pPr>
              <w:spacing w:after="0"/>
              <w:rPr>
                <w:sz w:val="24"/>
                <w:szCs w:val="24"/>
                <w:color w:val="auto"/>
              </w:rPr>
            </w:pPr>
          </w:p>
        </w:tc>
        <w:tc>
          <w:tcPr>
            <w:tcW w:w="4080" w:type="dxa"/>
            <w:vAlign w:val="bottom"/>
          </w:tcPr>
          <w:p>
            <w:pPr>
              <w:ind w:left="3980"/>
              <w:spacing w:after="0"/>
              <w:rPr>
                <w:sz w:val="20"/>
                <w:szCs w:val="20"/>
                <w:color w:val="auto"/>
              </w:rPr>
            </w:pPr>
            <w:r>
              <w:rPr>
                <w:rFonts w:ascii="Arial" w:cs="Arial" w:eastAsia="Arial" w:hAnsi="Arial"/>
                <w:sz w:val="15"/>
                <w:szCs w:val="15"/>
                <w:color w:val="006DB6"/>
              </w:rPr>
              <w:t>•</w:t>
            </w:r>
          </w:p>
        </w:tc>
        <w:tc>
          <w:tcPr>
            <w:tcW w:w="3440" w:type="dxa"/>
            <w:vAlign w:val="bottom"/>
          </w:tcPr>
          <w:p>
            <w:pPr>
              <w:ind w:left="40"/>
              <w:spacing w:after="0"/>
              <w:rPr>
                <w:sz w:val="20"/>
                <w:szCs w:val="20"/>
                <w:color w:val="auto"/>
              </w:rPr>
            </w:pPr>
            <w:r>
              <w:rPr>
                <w:rFonts w:ascii="Arial" w:cs="Arial" w:eastAsia="Arial" w:hAnsi="Arial"/>
                <w:sz w:val="15"/>
                <w:szCs w:val="15"/>
                <w:color w:val="auto"/>
              </w:rPr>
              <w:t>3 lodges with over 900 rooms</w:t>
            </w:r>
          </w:p>
        </w:tc>
        <w:tc>
          <w:tcPr>
            <w:tcW w:w="0" w:type="dxa"/>
            <w:vAlign w:val="bottom"/>
          </w:tcPr>
          <w:p>
            <w:pPr>
              <w:spacing w:after="0"/>
              <w:rPr>
                <w:sz w:val="1"/>
                <w:szCs w:val="1"/>
                <w:color w:val="auto"/>
              </w:rPr>
            </w:pPr>
          </w:p>
        </w:tc>
      </w:tr>
      <w:tr>
        <w:trPr>
          <w:trHeight w:val="258"/>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Global steel demand drives demand for met</w:t>
            </w:r>
          </w:p>
        </w:tc>
        <w:tc>
          <w:tcPr>
            <w:tcW w:w="4080" w:type="dxa"/>
            <w:vAlign w:val="bottom"/>
          </w:tcPr>
          <w:p>
            <w:pPr>
              <w:ind w:left="3980"/>
              <w:spacing w:after="0"/>
              <w:rPr>
                <w:sz w:val="20"/>
                <w:szCs w:val="20"/>
                <w:color w:val="auto"/>
              </w:rPr>
            </w:pPr>
            <w:r>
              <w:rPr>
                <w:rFonts w:ascii="Arial" w:cs="Arial" w:eastAsia="Arial" w:hAnsi="Arial"/>
                <w:sz w:val="15"/>
                <w:szCs w:val="15"/>
                <w:color w:val="006DB6"/>
              </w:rPr>
              <w:t>•</w:t>
            </w:r>
          </w:p>
        </w:tc>
        <w:tc>
          <w:tcPr>
            <w:tcW w:w="3440" w:type="dxa"/>
            <w:vAlign w:val="bottom"/>
          </w:tcPr>
          <w:p>
            <w:pPr>
              <w:ind w:left="40"/>
              <w:spacing w:after="0"/>
              <w:rPr>
                <w:sz w:val="20"/>
                <w:szCs w:val="20"/>
                <w:color w:val="auto"/>
              </w:rPr>
            </w:pPr>
            <w:r>
              <w:rPr>
                <w:rFonts w:ascii="Arial" w:cs="Arial" w:eastAsia="Arial" w:hAnsi="Arial"/>
                <w:sz w:val="15"/>
                <w:szCs w:val="15"/>
                <w:color w:val="auto"/>
              </w:rPr>
              <w:t>Wellsite services units</w:t>
            </w:r>
          </w:p>
        </w:tc>
        <w:tc>
          <w:tcPr>
            <w:tcW w:w="0" w:type="dxa"/>
            <w:vAlign w:val="bottom"/>
          </w:tcPr>
          <w:p>
            <w:pPr>
              <w:spacing w:after="0"/>
              <w:rPr>
                <w:sz w:val="1"/>
                <w:szCs w:val="1"/>
                <w:color w:val="auto"/>
              </w:rPr>
            </w:pPr>
          </w:p>
        </w:tc>
      </w:tr>
      <w:tr>
        <w:trPr>
          <w:trHeight w:val="196"/>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coal and iron ore, which are projects we</w:t>
            </w:r>
          </w:p>
        </w:tc>
        <w:tc>
          <w:tcPr>
            <w:tcW w:w="7520" w:type="dxa"/>
            <w:vAlign w:val="bottom"/>
            <w:gridSpan w:val="2"/>
          </w:tcPr>
          <w:p>
            <w:pPr>
              <w:ind w:left="39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Primary driver is oil shale play development</w:t>
            </w:r>
          </w:p>
        </w:tc>
        <w:tc>
          <w:tcPr>
            <w:tcW w:w="0" w:type="dxa"/>
            <w:vAlign w:val="bottom"/>
          </w:tcPr>
          <w:p>
            <w:pPr>
              <w:spacing w:after="0"/>
              <w:rPr>
                <w:sz w:val="1"/>
                <w:szCs w:val="1"/>
                <w:color w:val="auto"/>
              </w:rPr>
            </w:pPr>
          </w:p>
        </w:tc>
      </w:tr>
      <w:tr>
        <w:trPr>
          <w:trHeight w:val="203"/>
        </w:trPr>
        <w:tc>
          <w:tcPr>
            <w:tcW w:w="36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serve in Australia.</w:t>
            </w:r>
          </w:p>
        </w:tc>
        <w:tc>
          <w:tcPr>
            <w:tcW w:w="40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3680" w:type="dxa"/>
            <w:vAlign w:val="bottom"/>
            <w:tcBorders>
              <w:right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-3394075</wp:posOffset>
            </wp:positionV>
            <wp:extent cx="4501515" cy="2596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1515" cy="259651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154940</wp:posOffset>
            </wp:positionV>
            <wp:extent cx="374650" cy="187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220"/>
          </w:cols>
          <w:pgMar w:left="320" w:top="226"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2020 Performance Highlights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Despite continuing headwinds faced by the energy sector throughout 2020, we successfully completed a number of significant financial and operational objectives.</w:t>
      </w:r>
    </w:p>
    <w:p>
      <w:pPr>
        <w:spacing w:after="0"/>
        <w:rPr>
          <w:sz w:val="20"/>
          <w:szCs w:val="20"/>
          <w:color w:val="auto"/>
        </w:rPr>
      </w:pPr>
      <w:r>
        <w:rPr>
          <w:rFonts w:ascii="Arial" w:cs="Arial" w:eastAsia="Arial" w:hAnsi="Arial"/>
          <w:sz w:val="15"/>
          <w:szCs w:val="15"/>
          <w:color w:val="auto"/>
        </w:rPr>
        <w:t>On the financial front, we continued to strengthen our balance sheet and reduce our leverage. In particular, during 2020 we achieved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2795" cy="439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795" cy="43942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12" w:lineRule="exact"/>
        <w:rPr>
          <w:sz w:val="20"/>
          <w:szCs w:val="20"/>
          <w:color w:val="auto"/>
        </w:rPr>
      </w:pPr>
    </w:p>
    <w:p>
      <w:pPr>
        <w:ind w:left="20"/>
        <w:spacing w:after="0" w:line="267" w:lineRule="auto"/>
        <w:rPr>
          <w:sz w:val="20"/>
          <w:szCs w:val="20"/>
          <w:color w:val="auto"/>
        </w:rPr>
      </w:pPr>
      <w:r>
        <w:rPr>
          <w:rFonts w:ascii="Arial" w:cs="Arial" w:eastAsia="Arial" w:hAnsi="Arial"/>
          <w:sz w:val="15"/>
          <w:szCs w:val="15"/>
          <w:color w:val="auto"/>
        </w:rPr>
        <w:t>Reduced total debt by $108 million from December 31, 2019 to December 31,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Decreased our leverage ratio to 2.11 times at December 31, 2020, from 2.98 times at December 31, 2019</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60"/>
        <w:spacing w:after="0" w:line="267" w:lineRule="auto"/>
        <w:rPr>
          <w:sz w:val="20"/>
          <w:szCs w:val="20"/>
          <w:color w:val="auto"/>
        </w:rPr>
      </w:pPr>
      <w:r>
        <w:rPr>
          <w:rFonts w:ascii="Arial" w:cs="Arial" w:eastAsia="Arial" w:hAnsi="Arial"/>
          <w:sz w:val="15"/>
          <w:szCs w:val="15"/>
          <w:color w:val="auto"/>
        </w:rPr>
        <w:t>Generated strong free cash flow of $111 million during the year</w:t>
      </w:r>
    </w:p>
    <w:p>
      <w:pPr>
        <w:spacing w:after="0" w:line="319" w:lineRule="exact"/>
        <w:rPr>
          <w:sz w:val="20"/>
          <w:szCs w:val="20"/>
          <w:color w:val="auto"/>
        </w:rPr>
      </w:pPr>
    </w:p>
    <w:p>
      <w:pPr>
        <w:sectPr>
          <w:pgSz w:w="11900" w:h="16838" w:orient="portrait"/>
          <w:cols w:equalWidth="0" w:num="3">
            <w:col w:w="3480" w:space="300"/>
            <w:col w:w="3160" w:space="720"/>
            <w:col w:w="35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5480" w:type="dxa"/>
            <w:vAlign w:val="bottom"/>
            <w:shd w:val="clear" w:color="auto" w:fill="E8EEF7"/>
          </w:tcPr>
          <w:p>
            <w:pPr>
              <w:ind w:left="20"/>
              <w:spacing w:after="0"/>
              <w:rPr>
                <w:sz w:val="20"/>
                <w:szCs w:val="20"/>
                <w:color w:val="auto"/>
              </w:rPr>
            </w:pPr>
            <w:r>
              <w:rPr>
                <w:rFonts w:ascii="Arial" w:cs="Arial" w:eastAsia="Arial" w:hAnsi="Arial"/>
                <w:sz w:val="15"/>
                <w:szCs w:val="15"/>
                <w:color w:val="auto"/>
              </w:rPr>
              <w:t>Extended maturity of current credit agreement to May 30, 2023</w:t>
            </w:r>
          </w:p>
        </w:tc>
        <w:tc>
          <w:tcPr>
            <w:tcW w:w="22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Achieved relative total shareholder returns in the top quartile compared to our</w:t>
            </w:r>
          </w:p>
        </w:tc>
      </w:tr>
      <w:tr>
        <w:trPr>
          <w:trHeight w:val="185"/>
        </w:trPr>
        <w:tc>
          <w:tcPr>
            <w:tcW w:w="5480" w:type="dxa"/>
            <w:vAlign w:val="bottom"/>
            <w:shd w:val="clear" w:color="auto" w:fill="E8EEF7"/>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compensation peer group</w:t>
            </w:r>
          </w:p>
        </w:tc>
      </w:tr>
      <w:tr>
        <w:trPr>
          <w:trHeight w:val="69"/>
        </w:trPr>
        <w:tc>
          <w:tcPr>
            <w:tcW w:w="5480" w:type="dxa"/>
            <w:vAlign w:val="bottom"/>
            <w:shd w:val="clear" w:color="auto" w:fill="E8EEF7"/>
          </w:tcPr>
          <w:p>
            <w:pPr>
              <w:spacing w:after="0"/>
              <w:rPr>
                <w:sz w:val="6"/>
                <w:szCs w:val="6"/>
                <w:color w:val="auto"/>
              </w:rPr>
            </w:pPr>
          </w:p>
        </w:tc>
        <w:tc>
          <w:tcPr>
            <w:tcW w:w="22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279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2795" cy="3257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p>
      <w:pPr>
        <w:spacing w:after="0" w:line="212" w:lineRule="exact"/>
        <w:rPr>
          <w:sz w:val="20"/>
          <w:szCs w:val="20"/>
          <w:color w:val="auto"/>
        </w:rPr>
      </w:pPr>
    </w:p>
    <w:p>
      <w:pPr>
        <w:ind w:left="20"/>
        <w:spacing w:after="0" w:line="267" w:lineRule="auto"/>
        <w:rPr>
          <w:sz w:val="20"/>
          <w:szCs w:val="20"/>
          <w:color w:val="auto"/>
        </w:rPr>
      </w:pPr>
      <w:r>
        <w:rPr>
          <w:rFonts w:ascii="Arial" w:cs="Arial" w:eastAsia="Arial" w:hAnsi="Arial"/>
          <w:sz w:val="15"/>
          <w:szCs w:val="15"/>
          <w:color w:val="auto"/>
        </w:rPr>
        <w:t>Executed on the Coastal Gaslink Pipeline ("CGL") contract, on-time and on-budget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349250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92500" cy="325755"/>
                    </a:xfrm>
                    <a:prstGeom prst="rect">
                      <a:avLst/>
                    </a:prstGeom>
                    <a:noFill/>
                  </pic:spPr>
                </pic:pic>
              </a:graphicData>
            </a:graphic>
          </wp:anchor>
        </w:drawing>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Room nights increased by 15% in Australia in 2020</w:t>
      </w:r>
    </w:p>
    <w:p>
      <w:pPr>
        <w:spacing w:after="0" w:line="399" w:lineRule="exact"/>
        <w:rPr>
          <w:sz w:val="20"/>
          <w:szCs w:val="20"/>
          <w:color w:val="auto"/>
        </w:rPr>
      </w:pPr>
    </w:p>
    <w:p>
      <w:pPr>
        <w:jc w:val="center"/>
        <w:ind w:left="2980"/>
        <w:spacing w:after="0"/>
        <w:rPr>
          <w:sz w:val="20"/>
          <w:szCs w:val="20"/>
          <w:color w:val="auto"/>
        </w:rPr>
      </w:pPr>
      <w:r>
        <w:rPr>
          <w:rFonts w:ascii="Arial" w:cs="Arial" w:eastAsia="Arial" w:hAnsi="Arial"/>
          <w:sz w:val="15"/>
          <w:szCs w:val="15"/>
          <w:b w:val="1"/>
          <w:bCs w:val="1"/>
          <w:color w:val="auto"/>
        </w:rPr>
        <w:t>ADJUSTED EBITDA</w:t>
      </w:r>
    </w:p>
    <w:p>
      <w:pPr>
        <w:spacing w:after="0" w:line="25" w:lineRule="exact"/>
        <w:rPr>
          <w:sz w:val="20"/>
          <w:szCs w:val="20"/>
          <w:color w:val="auto"/>
        </w:rPr>
      </w:pPr>
    </w:p>
    <w:p>
      <w:pPr>
        <w:jc w:val="center"/>
        <w:ind w:left="2980"/>
        <w:spacing w:after="0"/>
        <w:rPr>
          <w:sz w:val="20"/>
          <w:szCs w:val="20"/>
          <w:color w:val="auto"/>
        </w:rPr>
      </w:pPr>
      <w:r>
        <w:rPr>
          <w:rFonts w:ascii="Arial" w:cs="Arial" w:eastAsia="Arial" w:hAnsi="Arial"/>
          <w:sz w:val="15"/>
          <w:szCs w:val="15"/>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60325</wp:posOffset>
            </wp:positionV>
            <wp:extent cx="1383665" cy="1579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3665" cy="1579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Increased integrated services revenues by A$87 million with contract renewals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88900</wp:posOffset>
            </wp:positionV>
            <wp:extent cx="350012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00120" cy="325755"/>
                    </a:xfrm>
                    <a:prstGeom prst="rect">
                      <a:avLst/>
                    </a:prstGeom>
                    <a:noFill/>
                  </pic:spPr>
                </pic:pic>
              </a:graphicData>
            </a:graphic>
          </wp:anchor>
        </w:drawing>
      </w:r>
    </w:p>
    <w:p>
      <w:pPr>
        <w:spacing w:after="0" w:line="199" w:lineRule="exact"/>
        <w:rPr>
          <w:sz w:val="20"/>
          <w:szCs w:val="20"/>
          <w:color w:val="auto"/>
        </w:rPr>
      </w:pPr>
    </w:p>
    <w:p>
      <w:pPr>
        <w:ind w:right="400"/>
        <w:spacing w:after="0" w:line="267" w:lineRule="auto"/>
        <w:rPr>
          <w:sz w:val="20"/>
          <w:szCs w:val="20"/>
          <w:color w:val="auto"/>
        </w:rPr>
      </w:pPr>
      <w:r>
        <w:rPr>
          <w:rFonts w:ascii="Arial" w:cs="Arial" w:eastAsia="Arial" w:hAnsi="Arial"/>
          <w:sz w:val="15"/>
          <w:szCs w:val="15"/>
          <w:color w:val="auto"/>
        </w:rPr>
        <w:t>Continued strong safety performance across all regions, resulting in a 2020 Global TRIR of 0.45</w:t>
      </w:r>
    </w:p>
    <w:p>
      <w:pPr>
        <w:spacing w:after="0" w:line="188" w:lineRule="exact"/>
        <w:rPr>
          <w:sz w:val="20"/>
          <w:szCs w:val="20"/>
          <w:color w:val="auto"/>
        </w:rPr>
      </w:pPr>
    </w:p>
    <w:p>
      <w:pPr>
        <w:jc w:val="center"/>
        <w:ind w:right="2580"/>
        <w:spacing w:after="0"/>
        <w:rPr>
          <w:sz w:val="20"/>
          <w:szCs w:val="20"/>
          <w:color w:val="auto"/>
        </w:rPr>
      </w:pPr>
      <w:r>
        <w:rPr>
          <w:rFonts w:ascii="Arial" w:cs="Arial" w:eastAsia="Arial" w:hAnsi="Arial"/>
          <w:sz w:val="15"/>
          <w:szCs w:val="15"/>
          <w:b w:val="1"/>
          <w:bCs w:val="1"/>
          <w:color w:val="auto"/>
        </w:rPr>
        <w:t>TOTAL RECORDABLE</w:t>
      </w:r>
    </w:p>
    <w:p>
      <w:pPr>
        <w:spacing w:after="0" w:line="25" w:lineRule="exact"/>
        <w:rPr>
          <w:sz w:val="20"/>
          <w:szCs w:val="20"/>
          <w:color w:val="auto"/>
        </w:rPr>
      </w:pPr>
    </w:p>
    <w:p>
      <w:pPr>
        <w:jc w:val="center"/>
        <w:ind w:right="2580"/>
        <w:spacing w:after="0"/>
        <w:rPr>
          <w:sz w:val="20"/>
          <w:szCs w:val="20"/>
          <w:color w:val="auto"/>
        </w:rPr>
      </w:pPr>
      <w:r>
        <w:rPr>
          <w:rFonts w:ascii="Arial" w:cs="Arial" w:eastAsia="Arial" w:hAnsi="Arial"/>
          <w:sz w:val="15"/>
          <w:szCs w:val="15"/>
          <w:b w:val="1"/>
          <w:bCs w:val="1"/>
          <w:color w:val="auto"/>
        </w:rPr>
        <w:t>INCIDENT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60325</wp:posOffset>
            </wp:positionV>
            <wp:extent cx="1383665" cy="1579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3665" cy="1579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560"/>
            <w:col w:w="552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Note: Please see the Appendix for a reconciliation of Adjusted EBITDA to GAAP.</w:t>
      </w:r>
    </w:p>
    <w:p>
      <w:pPr>
        <w:spacing w:after="0" w:line="14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CIVEO'S RELATIVE OUTPERFORMANCE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amount Civeo's TSR outperformed the Oilfield Service 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43815</wp:posOffset>
            </wp:positionV>
            <wp:extent cx="2287270" cy="1766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727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0"/>
        <w:spacing w:after="0" w:line="267" w:lineRule="auto"/>
        <w:rPr>
          <w:sz w:val="20"/>
          <w:szCs w:val="20"/>
          <w:color w:val="auto"/>
        </w:rPr>
      </w:pPr>
      <w:r>
        <w:rPr>
          <w:rFonts w:ascii="Arial" w:cs="Arial" w:eastAsia="Arial" w:hAnsi="Arial"/>
          <w:sz w:val="15"/>
          <w:szCs w:val="15"/>
          <w:color w:val="auto"/>
        </w:rPr>
        <w:t>Note: Please see details of the peer groups over these time periods on page 37. Although TSR was negative for Civeo, the PHLX Oil Service Index and the 2020 Peer Group, Civeo outperformed the broad index and peer group over the one, three and five year periods.</w:t>
      </w:r>
    </w:p>
    <w:p>
      <w:pPr>
        <w:spacing w:after="0" w:line="30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60" w:type="dxa"/>
            <w:vAlign w:val="bottom"/>
          </w:tcPr>
          <w:p>
            <w:pPr>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bl>
    <w:p>
      <w:pPr>
        <w:sectPr>
          <w:pgSz w:w="11900" w:h="16838" w:orient="portrait"/>
          <w:cols w:equalWidth="0" w:num="1">
            <w:col w:w="11240"/>
          </w:cols>
          <w:pgMar w:left="320" w:top="12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Voting Matters and Recommendations</w:t>
      </w:r>
    </w:p>
    <w:p>
      <w:pPr>
        <w:spacing w:after="0" w:line="346"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Below is a summary of the proposals on which you are being asked to vote. Please review the complete information regarding these proposals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39305" cy="862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86296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PROPOSAL 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6DB6"/>
        </w:rPr>
        <w:t>Election of Directors</w:t>
      </w:r>
    </w:p>
    <w:p>
      <w:pPr>
        <w:spacing w:after="0" w:line="313" w:lineRule="exact"/>
        <w:rPr>
          <w:sz w:val="20"/>
          <w:szCs w:val="20"/>
          <w:color w:val="auto"/>
        </w:rPr>
      </w:pPr>
    </w:p>
    <w:p>
      <w:pPr>
        <w:ind w:left="20"/>
        <w:spacing w:after="0"/>
        <w:rPr>
          <w:sz w:val="20"/>
          <w:szCs w:val="20"/>
          <w:color w:val="auto"/>
        </w:rPr>
      </w:pPr>
      <w:r>
        <w:rPr>
          <w:sz w:val="1"/>
          <w:szCs w:val="1"/>
          <w:color w:val="auto"/>
        </w:rPr>
        <w:drawing>
          <wp:inline distT="0" distB="0" distL="0" distR="0">
            <wp:extent cx="89535" cy="57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535" cy="57150"/>
                    </a:xfrm>
                    <a:prstGeom prst="rect">
                      <a:avLst/>
                    </a:prstGeom>
                    <a:noFill/>
                    <a:ln>
                      <a:noFill/>
                    </a:ln>
                  </pic:spPr>
                </pic:pic>
              </a:graphicData>
            </a:graphic>
          </wp:inline>
        </w:drawing>
      </w:r>
      <w:r>
        <w:rPr>
          <w:rFonts w:ascii="Arial" w:cs="Arial" w:eastAsia="Arial" w:hAnsi="Arial"/>
          <w:sz w:val="15"/>
          <w:szCs w:val="15"/>
          <w:color w:val="auto"/>
        </w:rPr>
        <w:t xml:space="preserve"> The board of directors recommends a vote </w:t>
      </w:r>
      <w:r>
        <w:rPr>
          <w:rFonts w:ascii="Arial" w:cs="Arial" w:eastAsia="Arial" w:hAnsi="Arial"/>
          <w:sz w:val="15"/>
          <w:szCs w:val="15"/>
          <w:b w:val="1"/>
          <w:bCs w:val="1"/>
          <w:color w:val="006DB6"/>
        </w:rPr>
        <w:t>FOR</w:t>
      </w:r>
      <w:r>
        <w:rPr>
          <w:rFonts w:ascii="Arial" w:cs="Arial" w:eastAsia="Arial" w:hAnsi="Arial"/>
          <w:sz w:val="15"/>
          <w:szCs w:val="15"/>
          <w:color w:val="auto"/>
        </w:rPr>
        <w:t xml:space="preserve"> each of the two Class I director nominees.                                     </w:t>
      </w:r>
      <w:r>
        <w:rPr>
          <w:sz w:val="1"/>
          <w:szCs w:val="1"/>
          <w:color w:val="auto"/>
        </w:rPr>
        <w:drawing>
          <wp:inline distT="0" distB="0" distL="0" distR="0">
            <wp:extent cx="40640" cy="48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 cy="48895"/>
                    </a:xfrm>
                    <a:prstGeom prst="rect">
                      <a:avLst/>
                    </a:prstGeom>
                    <a:noFill/>
                    <a:ln>
                      <a:noFill/>
                    </a:ln>
                  </pic:spPr>
                </pic:pic>
              </a:graphicData>
            </a:graphic>
          </wp:inline>
        </w:drawing>
      </w:r>
      <w:r>
        <w:rPr>
          <w:rFonts w:ascii="Arial" w:cs="Arial" w:eastAsia="Arial" w:hAnsi="Arial"/>
          <w:sz w:val="15"/>
          <w:szCs w:val="15"/>
          <w:color w:val="auto"/>
        </w:rPr>
        <w:t xml:space="preserve"> See page </w:t>
      </w:r>
      <w:r>
        <w:rPr>
          <w:rFonts w:ascii="Arial" w:cs="Arial" w:eastAsia="Arial" w:hAnsi="Arial"/>
          <w:sz w:val="15"/>
          <w:szCs w:val="15"/>
          <w:b w:val="1"/>
          <w:bCs w:val="1"/>
          <w:color w:val="FFC03C"/>
        </w:rPr>
        <w:t>9</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provides summary information about our board of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jc w:val="center"/>
              <w:ind w:left="7"/>
              <w:spacing w:after="0"/>
              <w:rPr>
                <w:sz w:val="20"/>
                <w:szCs w:val="20"/>
                <w:color w:val="auto"/>
              </w:rPr>
            </w:pPr>
            <w:r>
              <w:rPr>
                <w:rFonts w:ascii="Arial" w:cs="Arial" w:eastAsia="Arial" w:hAnsi="Arial"/>
                <w:sz w:val="14"/>
                <w:szCs w:val="14"/>
                <w:b w:val="1"/>
                <w:bCs w:val="1"/>
                <w:color w:val="706F6F"/>
                <w:w w:val="96"/>
              </w:rPr>
              <w:t>Director</w:t>
            </w:r>
          </w:p>
        </w:tc>
        <w:tc>
          <w:tcPr>
            <w:tcW w:w="180" w:type="dxa"/>
            <w:vAlign w:val="bottom"/>
            <w:tcBorders>
              <w:bottom w:val="single" w:sz="8" w:color="006DB6"/>
            </w:tcBorders>
          </w:tcPr>
          <w:p>
            <w:pPr>
              <w:spacing w:after="0"/>
              <w:rPr>
                <w:sz w:val="17"/>
                <w:szCs w:val="17"/>
                <w:color w:val="auto"/>
              </w:rPr>
            </w:pPr>
          </w:p>
        </w:tc>
        <w:tc>
          <w:tcPr>
            <w:tcW w:w="340" w:type="dxa"/>
            <w:vAlign w:val="bottom"/>
            <w:tcBorders>
              <w:bottom w:val="single" w:sz="8" w:color="006DB6"/>
            </w:tcBorders>
          </w:tcPr>
          <w:p>
            <w:pPr>
              <w:spacing w:after="0"/>
              <w:rPr>
                <w:sz w:val="17"/>
                <w:szCs w:val="17"/>
                <w:color w:val="auto"/>
              </w:rPr>
            </w:pPr>
          </w:p>
        </w:tc>
        <w:tc>
          <w:tcPr>
            <w:tcW w:w="1720" w:type="dxa"/>
            <w:vAlign w:val="bottom"/>
            <w:tcBorders>
              <w:bottom w:val="single" w:sz="8" w:color="006DB6"/>
            </w:tcBorders>
            <w:gridSpan w:val="2"/>
          </w:tcPr>
          <w:p>
            <w:pPr>
              <w:ind w:left="80"/>
              <w:spacing w:after="0"/>
              <w:rPr>
                <w:sz w:val="20"/>
                <w:szCs w:val="20"/>
                <w:color w:val="auto"/>
              </w:rPr>
            </w:pPr>
            <w:r>
              <w:rPr>
                <w:rFonts w:ascii="Arial" w:cs="Arial" w:eastAsia="Arial" w:hAnsi="Arial"/>
                <w:sz w:val="14"/>
                <w:szCs w:val="14"/>
                <w:b w:val="1"/>
                <w:bCs w:val="1"/>
                <w:color w:val="706F6F"/>
              </w:rPr>
              <w:t>Committee Membership</w:t>
            </w:r>
          </w:p>
        </w:tc>
        <w:tc>
          <w:tcPr>
            <w:tcW w:w="520" w:type="dxa"/>
            <w:vAlign w:val="bottom"/>
            <w:tcBorders>
              <w:bottom w:val="single" w:sz="8" w:color="006DB6"/>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40" w:type="dxa"/>
            <w:vAlign w:val="bottom"/>
            <w:tcBorders>
              <w:bottom w:val="single" w:sz="8" w:color="006DB6"/>
            </w:tcBorders>
            <w:gridSpan w:val="3"/>
          </w:tcPr>
          <w:p>
            <w:pPr>
              <w:ind w:left="20"/>
              <w:spacing w:after="0"/>
              <w:rPr>
                <w:sz w:val="20"/>
                <w:szCs w:val="20"/>
                <w:color w:val="auto"/>
              </w:rPr>
            </w:pPr>
            <w:r>
              <w:rPr>
                <w:rFonts w:ascii="Arial" w:cs="Arial" w:eastAsia="Arial" w:hAnsi="Arial"/>
                <w:sz w:val="14"/>
                <w:szCs w:val="14"/>
                <w:b w:val="1"/>
                <w:bCs w:val="1"/>
                <w:color w:val="706F6F"/>
              </w:rPr>
              <w:t>Name and Primary Occupation</w:t>
            </w:r>
          </w:p>
        </w:tc>
        <w:tc>
          <w:tcPr>
            <w:tcW w:w="880" w:type="dxa"/>
            <w:vAlign w:val="bottom"/>
            <w:tcBorders>
              <w:bottom w:val="single" w:sz="8" w:color="006DB6"/>
            </w:tcBorders>
          </w:tcPr>
          <w:p>
            <w:pPr>
              <w:jc w:val="right"/>
              <w:ind w:right="25"/>
              <w:spacing w:after="0"/>
              <w:rPr>
                <w:sz w:val="20"/>
                <w:szCs w:val="20"/>
                <w:color w:val="auto"/>
              </w:rPr>
            </w:pPr>
            <w:r>
              <w:rPr>
                <w:rFonts w:ascii="Arial" w:cs="Arial" w:eastAsia="Arial" w:hAnsi="Arial"/>
                <w:sz w:val="14"/>
                <w:szCs w:val="14"/>
                <w:b w:val="1"/>
                <w:bCs w:val="1"/>
                <w:color w:val="706F6F"/>
              </w:rPr>
              <w:t>Age</w:t>
            </w:r>
          </w:p>
        </w:tc>
        <w:tc>
          <w:tcPr>
            <w:tcW w:w="1140" w:type="dxa"/>
            <w:vAlign w:val="bottom"/>
            <w:tcBorders>
              <w:bottom w:val="single" w:sz="8" w:color="006DB6"/>
            </w:tcBorders>
            <w:gridSpan w:val="2"/>
          </w:tcPr>
          <w:p>
            <w:pPr>
              <w:jc w:val="center"/>
              <w:ind w:right="100"/>
              <w:spacing w:after="0"/>
              <w:rPr>
                <w:sz w:val="20"/>
                <w:szCs w:val="20"/>
                <w:color w:val="auto"/>
              </w:rPr>
            </w:pPr>
            <w:r>
              <w:rPr>
                <w:rFonts w:ascii="Arial" w:cs="Arial" w:eastAsia="Arial" w:hAnsi="Arial"/>
                <w:sz w:val="14"/>
                <w:szCs w:val="14"/>
                <w:b w:val="1"/>
                <w:bCs w:val="1"/>
                <w:color w:val="706F6F"/>
                <w:w w:val="96"/>
              </w:rPr>
              <w:t>Since</w:t>
            </w:r>
          </w:p>
        </w:tc>
        <w:tc>
          <w:tcPr>
            <w:tcW w:w="340" w:type="dxa"/>
            <w:vAlign w:val="bottom"/>
            <w:tcBorders>
              <w:bottom w:val="single" w:sz="8" w:color="006DB6"/>
            </w:tcBorders>
          </w:tcPr>
          <w:p>
            <w:pPr>
              <w:ind w:left="60"/>
              <w:spacing w:after="0"/>
              <w:rPr>
                <w:sz w:val="20"/>
                <w:szCs w:val="20"/>
                <w:color w:val="auto"/>
              </w:rPr>
            </w:pPr>
            <w:r>
              <w:rPr>
                <w:rFonts w:ascii="Arial" w:cs="Arial" w:eastAsia="Arial" w:hAnsi="Arial"/>
                <w:sz w:val="14"/>
                <w:szCs w:val="14"/>
                <w:b w:val="1"/>
                <w:bCs w:val="1"/>
                <w:color w:val="706F6F"/>
              </w:rPr>
              <w:t>AC</w:t>
            </w:r>
          </w:p>
        </w:tc>
        <w:tc>
          <w:tcPr>
            <w:tcW w:w="800" w:type="dxa"/>
            <w:vAlign w:val="bottom"/>
            <w:tcBorders>
              <w:bottom w:val="single" w:sz="8" w:color="006DB6"/>
            </w:tcBorders>
          </w:tcPr>
          <w:p>
            <w:pPr>
              <w:ind w:left="420"/>
              <w:spacing w:after="0"/>
              <w:rPr>
                <w:sz w:val="20"/>
                <w:szCs w:val="20"/>
                <w:color w:val="auto"/>
              </w:rPr>
            </w:pPr>
            <w:r>
              <w:rPr>
                <w:rFonts w:ascii="Arial" w:cs="Arial" w:eastAsia="Arial" w:hAnsi="Arial"/>
                <w:sz w:val="14"/>
                <w:szCs w:val="14"/>
                <w:b w:val="1"/>
                <w:bCs w:val="1"/>
                <w:color w:val="706F6F"/>
              </w:rPr>
              <w:t>CC</w:t>
            </w:r>
          </w:p>
        </w:tc>
        <w:tc>
          <w:tcPr>
            <w:tcW w:w="920" w:type="dxa"/>
            <w:vAlign w:val="bottom"/>
            <w:tcBorders>
              <w:bottom w:val="single" w:sz="8" w:color="006DB6"/>
            </w:tcBorders>
          </w:tcPr>
          <w:p>
            <w:pPr>
              <w:ind w:left="200"/>
              <w:spacing w:after="0"/>
              <w:rPr>
                <w:sz w:val="20"/>
                <w:szCs w:val="20"/>
                <w:color w:val="auto"/>
              </w:rPr>
            </w:pPr>
            <w:r>
              <w:rPr>
                <w:rFonts w:ascii="Arial" w:cs="Arial" w:eastAsia="Arial" w:hAnsi="Arial"/>
                <w:sz w:val="14"/>
                <w:szCs w:val="14"/>
                <w:b w:val="1"/>
                <w:bCs w:val="1"/>
                <w:color w:val="706F6F"/>
              </w:rPr>
              <w:t>NCGC</w:t>
            </w:r>
          </w:p>
        </w:tc>
        <w:tc>
          <w:tcPr>
            <w:tcW w:w="520" w:type="dxa"/>
            <w:vAlign w:val="bottom"/>
            <w:tcBorders>
              <w:bottom w:val="single" w:sz="8" w:color="006DB6"/>
            </w:tcBorders>
          </w:tcPr>
          <w:p>
            <w:pPr>
              <w:ind w:left="60"/>
              <w:spacing w:after="0"/>
              <w:rPr>
                <w:sz w:val="20"/>
                <w:szCs w:val="20"/>
                <w:color w:val="auto"/>
              </w:rPr>
            </w:pPr>
            <w:r>
              <w:rPr>
                <w:rFonts w:ascii="Arial" w:cs="Arial" w:eastAsia="Arial" w:hAnsi="Arial"/>
                <w:sz w:val="14"/>
                <w:szCs w:val="14"/>
                <w:b w:val="1"/>
                <w:bCs w:val="1"/>
                <w:color w:val="706F6F"/>
              </w:rPr>
              <w:t>FIC</w:t>
            </w:r>
          </w:p>
        </w:tc>
        <w:tc>
          <w:tcPr>
            <w:tcW w:w="0" w:type="dxa"/>
            <w:vAlign w:val="bottom"/>
          </w:tcPr>
          <w:p>
            <w:pPr>
              <w:spacing w:after="0"/>
              <w:rPr>
                <w:sz w:val="1"/>
                <w:szCs w:val="1"/>
                <w:color w:val="auto"/>
              </w:rPr>
            </w:pPr>
          </w:p>
        </w:tc>
      </w:tr>
      <w:tr>
        <w:trPr>
          <w:trHeight w:val="213"/>
        </w:trPr>
        <w:tc>
          <w:tcPr>
            <w:tcW w:w="6640" w:type="dxa"/>
            <w:vAlign w:val="bottom"/>
            <w:gridSpan w:val="3"/>
            <w:shd w:val="clear" w:color="auto" w:fill="E8EEF7"/>
          </w:tcPr>
          <w:p>
            <w:pPr>
              <w:ind w:left="20"/>
              <w:spacing w:after="0"/>
              <w:rPr>
                <w:sz w:val="20"/>
                <w:szCs w:val="20"/>
                <w:color w:val="auto"/>
              </w:rPr>
            </w:pPr>
            <w:r>
              <w:rPr>
                <w:rFonts w:ascii="Arial" w:cs="Arial" w:eastAsia="Arial" w:hAnsi="Arial"/>
                <w:sz w:val="15"/>
                <w:szCs w:val="15"/>
                <w:b w:val="1"/>
                <w:bCs w:val="1"/>
                <w:color w:val="auto"/>
              </w:rPr>
              <w:t>Class I Directors Whose Terms Expire at the 2021 Annual Meeting of Shareholders</w:t>
            </w:r>
          </w:p>
        </w:tc>
        <w:tc>
          <w:tcPr>
            <w:tcW w:w="880" w:type="dxa"/>
            <w:vAlign w:val="bottom"/>
            <w:shd w:val="clear" w:color="auto" w:fill="E8EEF7"/>
          </w:tcPr>
          <w:p>
            <w:pPr>
              <w:spacing w:after="0"/>
              <w:rPr>
                <w:sz w:val="18"/>
                <w:szCs w:val="18"/>
                <w:color w:val="auto"/>
              </w:rPr>
            </w:pPr>
          </w:p>
        </w:tc>
        <w:tc>
          <w:tcPr>
            <w:tcW w:w="960" w:type="dxa"/>
            <w:vAlign w:val="bottom"/>
            <w:shd w:val="clear" w:color="auto" w:fill="E8EEF7"/>
          </w:tcPr>
          <w:p>
            <w:pPr>
              <w:spacing w:after="0"/>
              <w:rPr>
                <w:sz w:val="18"/>
                <w:szCs w:val="18"/>
                <w:color w:val="auto"/>
              </w:rPr>
            </w:pPr>
          </w:p>
        </w:tc>
        <w:tc>
          <w:tcPr>
            <w:tcW w:w="180" w:type="dxa"/>
            <w:vAlign w:val="bottom"/>
            <w:shd w:val="clear" w:color="auto" w:fill="E8EEF7"/>
          </w:tcPr>
          <w:p>
            <w:pPr>
              <w:spacing w:after="0"/>
              <w:rPr>
                <w:sz w:val="18"/>
                <w:szCs w:val="18"/>
                <w:color w:val="auto"/>
              </w:rPr>
            </w:pPr>
          </w:p>
        </w:tc>
        <w:tc>
          <w:tcPr>
            <w:tcW w:w="340" w:type="dxa"/>
            <w:vAlign w:val="bottom"/>
            <w:shd w:val="clear" w:color="auto" w:fill="E8EEF7"/>
          </w:tcPr>
          <w:p>
            <w:pPr>
              <w:spacing w:after="0"/>
              <w:rPr>
                <w:sz w:val="18"/>
                <w:szCs w:val="18"/>
                <w:color w:val="auto"/>
              </w:rPr>
            </w:pPr>
          </w:p>
        </w:tc>
        <w:tc>
          <w:tcPr>
            <w:tcW w:w="800" w:type="dxa"/>
            <w:vAlign w:val="bottom"/>
            <w:shd w:val="clear" w:color="auto" w:fill="E8EEF7"/>
          </w:tcPr>
          <w:p>
            <w:pPr>
              <w:spacing w:after="0"/>
              <w:rPr>
                <w:sz w:val="18"/>
                <w:szCs w:val="18"/>
                <w:color w:val="auto"/>
              </w:rPr>
            </w:pPr>
          </w:p>
        </w:tc>
        <w:tc>
          <w:tcPr>
            <w:tcW w:w="920" w:type="dxa"/>
            <w:vAlign w:val="bottom"/>
            <w:shd w:val="clear" w:color="auto" w:fill="E8EEF7"/>
          </w:tcPr>
          <w:p>
            <w:pPr>
              <w:spacing w:after="0"/>
              <w:rPr>
                <w:sz w:val="18"/>
                <w:szCs w:val="18"/>
                <w:color w:val="auto"/>
              </w:rPr>
            </w:pPr>
          </w:p>
        </w:tc>
        <w:tc>
          <w:tcPr>
            <w:tcW w:w="520" w:type="dxa"/>
            <w:vAlign w:val="bottom"/>
            <w:shd w:val="clear" w:color="auto" w:fill="E8EEF7"/>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40" w:type="dxa"/>
            <w:vAlign w:val="bottom"/>
            <w:shd w:val="clear" w:color="auto" w:fill="E8EEF7"/>
          </w:tcPr>
          <w:p>
            <w:pPr>
              <w:spacing w:after="0"/>
              <w:rPr>
                <w:sz w:val="24"/>
                <w:szCs w:val="24"/>
                <w:color w:val="auto"/>
              </w:rPr>
            </w:pPr>
          </w:p>
        </w:tc>
        <w:tc>
          <w:tcPr>
            <w:tcW w:w="180" w:type="dxa"/>
            <w:vAlign w:val="bottom"/>
            <w:shd w:val="clear" w:color="auto" w:fill="E8EEF7"/>
          </w:tcPr>
          <w:p>
            <w:pPr>
              <w:spacing w:after="0"/>
              <w:rPr>
                <w:sz w:val="24"/>
                <w:szCs w:val="24"/>
                <w:color w:val="auto"/>
              </w:rPr>
            </w:pPr>
          </w:p>
        </w:tc>
        <w:tc>
          <w:tcPr>
            <w:tcW w:w="5920" w:type="dxa"/>
            <w:vAlign w:val="bottom"/>
            <w:shd w:val="clear" w:color="auto" w:fill="E8EEF7"/>
          </w:tcPr>
          <w:p>
            <w:pPr>
              <w:ind w:left="20"/>
              <w:spacing w:after="0"/>
              <w:rPr>
                <w:sz w:val="20"/>
                <w:szCs w:val="20"/>
                <w:color w:val="auto"/>
              </w:rPr>
            </w:pPr>
            <w:r>
              <w:rPr>
                <w:rFonts w:ascii="Arial" w:cs="Arial" w:eastAsia="Arial" w:hAnsi="Arial"/>
                <w:sz w:val="15"/>
                <w:szCs w:val="15"/>
                <w:b w:val="1"/>
                <w:bCs w:val="1"/>
                <w:color w:val="006DB6"/>
              </w:rPr>
              <w:t xml:space="preserve">C. Ronald Blankenship </w:t>
            </w:r>
            <w:r>
              <w:rPr>
                <w:rFonts w:ascii="Arial" w:cs="Arial" w:eastAsia="Arial" w:hAnsi="Arial"/>
                <w:sz w:val="15"/>
                <w:szCs w:val="15"/>
                <w:b w:val="1"/>
                <w:bCs w:val="1"/>
                <w:color w:val="706F6F"/>
              </w:rPr>
              <w:t>Independent</w:t>
            </w:r>
          </w:p>
        </w:tc>
        <w:tc>
          <w:tcPr>
            <w:tcW w:w="880" w:type="dxa"/>
            <w:vAlign w:val="bottom"/>
            <w:vMerge w:val="restart"/>
            <w:shd w:val="clear" w:color="auto" w:fill="E8EEF7"/>
          </w:tcPr>
          <w:p>
            <w:pPr>
              <w:jc w:val="right"/>
              <w:ind w:right="85"/>
              <w:spacing w:after="0"/>
              <w:rPr>
                <w:sz w:val="20"/>
                <w:szCs w:val="20"/>
                <w:color w:val="auto"/>
              </w:rPr>
            </w:pPr>
            <w:r>
              <w:rPr>
                <w:rFonts w:ascii="Arial" w:cs="Arial" w:eastAsia="Arial" w:hAnsi="Arial"/>
                <w:sz w:val="15"/>
                <w:szCs w:val="15"/>
                <w:color w:val="auto"/>
              </w:rPr>
              <w:t>71</w:t>
            </w:r>
          </w:p>
        </w:tc>
        <w:tc>
          <w:tcPr>
            <w:tcW w:w="960" w:type="dxa"/>
            <w:vAlign w:val="bottom"/>
            <w:vMerge w:val="restart"/>
            <w:shd w:val="clear" w:color="auto" w:fill="E8EEF7"/>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shd w:val="clear" w:color="auto" w:fill="E8EEF7"/>
          </w:tcPr>
          <w:p>
            <w:pPr>
              <w:spacing w:after="0"/>
              <w:rPr>
                <w:sz w:val="24"/>
                <w:szCs w:val="24"/>
                <w:color w:val="auto"/>
              </w:rPr>
            </w:pPr>
          </w:p>
        </w:tc>
        <w:tc>
          <w:tcPr>
            <w:tcW w:w="340" w:type="dxa"/>
            <w:vAlign w:val="bottom"/>
            <w:shd w:val="clear" w:color="auto" w:fill="E8EEF7"/>
          </w:tcPr>
          <w:p>
            <w:pPr>
              <w:spacing w:after="0"/>
              <w:rPr>
                <w:sz w:val="24"/>
                <w:szCs w:val="24"/>
                <w:color w:val="auto"/>
              </w:rPr>
            </w:pPr>
          </w:p>
        </w:tc>
        <w:tc>
          <w:tcPr>
            <w:tcW w:w="800" w:type="dxa"/>
            <w:vAlign w:val="bottom"/>
            <w:shd w:val="clear" w:color="auto" w:fill="E8EEF7"/>
          </w:tcPr>
          <w:p>
            <w:pPr>
              <w:spacing w:after="0"/>
              <w:rPr>
                <w:sz w:val="24"/>
                <w:szCs w:val="24"/>
                <w:color w:val="auto"/>
              </w:rPr>
            </w:pPr>
          </w:p>
        </w:tc>
        <w:tc>
          <w:tcPr>
            <w:tcW w:w="920" w:type="dxa"/>
            <w:vAlign w:val="bottom"/>
            <w:shd w:val="clear" w:color="auto" w:fill="E8EEF7"/>
          </w:tcPr>
          <w:p>
            <w:pPr>
              <w:spacing w:after="0"/>
              <w:rPr>
                <w:sz w:val="24"/>
                <w:szCs w:val="24"/>
                <w:color w:val="auto"/>
              </w:rPr>
            </w:pPr>
          </w:p>
        </w:tc>
        <w:tc>
          <w:tcPr>
            <w:tcW w:w="520" w:type="dxa"/>
            <w:vAlign w:val="bottom"/>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shd w:val="clear" w:color="auto" w:fill="E8EEF7"/>
          </w:tcPr>
          <w:p>
            <w:pPr>
              <w:spacing w:after="0"/>
              <w:rPr>
                <w:sz w:val="8"/>
                <w:szCs w:val="8"/>
                <w:color w:val="auto"/>
              </w:rPr>
            </w:pPr>
          </w:p>
        </w:tc>
        <w:tc>
          <w:tcPr>
            <w:tcW w:w="180" w:type="dxa"/>
            <w:vAlign w:val="bottom"/>
            <w:shd w:val="clear" w:color="auto" w:fill="E8EEF7"/>
          </w:tcPr>
          <w:p>
            <w:pPr>
              <w:spacing w:after="0"/>
              <w:rPr>
                <w:sz w:val="8"/>
                <w:szCs w:val="8"/>
                <w:color w:val="auto"/>
              </w:rPr>
            </w:pPr>
          </w:p>
        </w:tc>
        <w:tc>
          <w:tcPr>
            <w:tcW w:w="5920" w:type="dxa"/>
            <w:vAlign w:val="bottom"/>
            <w:vMerge w:val="restart"/>
            <w:shd w:val="clear" w:color="auto" w:fill="E8EEF7"/>
          </w:tcPr>
          <w:p>
            <w:pPr>
              <w:ind w:left="20"/>
              <w:spacing w:after="0"/>
              <w:rPr>
                <w:sz w:val="20"/>
                <w:szCs w:val="20"/>
                <w:color w:val="auto"/>
              </w:rPr>
            </w:pPr>
            <w:r>
              <w:rPr>
                <w:rFonts w:ascii="Arial" w:cs="Arial" w:eastAsia="Arial" w:hAnsi="Arial"/>
                <w:sz w:val="15"/>
                <w:szCs w:val="15"/>
                <w:color w:val="auto"/>
              </w:rPr>
              <w:t>Former President and Chief Executive Officer, Verde Realty</w:t>
            </w:r>
          </w:p>
        </w:tc>
        <w:tc>
          <w:tcPr>
            <w:tcW w:w="880" w:type="dxa"/>
            <w:vAlign w:val="bottom"/>
            <w:vMerge w:val="continue"/>
            <w:shd w:val="clear" w:color="auto" w:fill="E8EEF7"/>
          </w:tcPr>
          <w:p>
            <w:pPr>
              <w:spacing w:after="0"/>
              <w:rPr>
                <w:sz w:val="8"/>
                <w:szCs w:val="8"/>
                <w:color w:val="auto"/>
              </w:rPr>
            </w:pPr>
          </w:p>
        </w:tc>
        <w:tc>
          <w:tcPr>
            <w:tcW w:w="960" w:type="dxa"/>
            <w:vAlign w:val="bottom"/>
            <w:vMerge w:val="continue"/>
            <w:shd w:val="clear" w:color="auto" w:fill="E8EEF7"/>
          </w:tcPr>
          <w:p>
            <w:pPr>
              <w:spacing w:after="0"/>
              <w:rPr>
                <w:sz w:val="8"/>
                <w:szCs w:val="8"/>
                <w:color w:val="auto"/>
              </w:rPr>
            </w:pPr>
          </w:p>
        </w:tc>
        <w:tc>
          <w:tcPr>
            <w:tcW w:w="180" w:type="dxa"/>
            <w:vAlign w:val="bottom"/>
            <w:shd w:val="clear" w:color="auto" w:fill="E8EEF7"/>
          </w:tcPr>
          <w:p>
            <w:pPr>
              <w:spacing w:after="0"/>
              <w:rPr>
                <w:sz w:val="8"/>
                <w:szCs w:val="8"/>
                <w:color w:val="auto"/>
              </w:rPr>
            </w:pPr>
          </w:p>
        </w:tc>
        <w:tc>
          <w:tcPr>
            <w:tcW w:w="340" w:type="dxa"/>
            <w:vAlign w:val="bottom"/>
            <w:shd w:val="clear" w:color="auto" w:fill="E8EEF7"/>
          </w:tcPr>
          <w:p>
            <w:pPr>
              <w:spacing w:after="0"/>
              <w:rPr>
                <w:sz w:val="8"/>
                <w:szCs w:val="8"/>
                <w:color w:val="auto"/>
              </w:rPr>
            </w:pPr>
          </w:p>
        </w:tc>
        <w:tc>
          <w:tcPr>
            <w:tcW w:w="800" w:type="dxa"/>
            <w:vAlign w:val="bottom"/>
            <w:shd w:val="clear" w:color="auto" w:fill="E8EEF7"/>
          </w:tcPr>
          <w:p>
            <w:pPr>
              <w:spacing w:after="0"/>
              <w:rPr>
                <w:sz w:val="8"/>
                <w:szCs w:val="8"/>
                <w:color w:val="auto"/>
              </w:rPr>
            </w:pPr>
          </w:p>
        </w:tc>
        <w:tc>
          <w:tcPr>
            <w:tcW w:w="920" w:type="dxa"/>
            <w:vAlign w:val="bottom"/>
            <w:shd w:val="clear" w:color="auto" w:fill="E8EEF7"/>
          </w:tcPr>
          <w:p>
            <w:pPr>
              <w:spacing w:after="0"/>
              <w:rPr>
                <w:sz w:val="8"/>
                <w:szCs w:val="8"/>
                <w:color w:val="auto"/>
              </w:rPr>
            </w:pPr>
          </w:p>
        </w:tc>
        <w:tc>
          <w:tcPr>
            <w:tcW w:w="520" w:type="dxa"/>
            <w:vAlign w:val="bottom"/>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shd w:val="clear" w:color="auto" w:fill="E8EEF7"/>
          </w:tcPr>
          <w:p>
            <w:pPr>
              <w:spacing w:after="0"/>
              <w:rPr>
                <w:sz w:val="7"/>
                <w:szCs w:val="7"/>
                <w:color w:val="auto"/>
              </w:rPr>
            </w:pPr>
          </w:p>
        </w:tc>
        <w:tc>
          <w:tcPr>
            <w:tcW w:w="180" w:type="dxa"/>
            <w:vAlign w:val="bottom"/>
            <w:shd w:val="clear" w:color="auto" w:fill="E8EEF7"/>
          </w:tcPr>
          <w:p>
            <w:pPr>
              <w:spacing w:after="0"/>
              <w:rPr>
                <w:sz w:val="7"/>
                <w:szCs w:val="7"/>
                <w:color w:val="auto"/>
              </w:rPr>
            </w:pPr>
          </w:p>
        </w:tc>
        <w:tc>
          <w:tcPr>
            <w:tcW w:w="5920" w:type="dxa"/>
            <w:vAlign w:val="bottom"/>
            <w:vMerge w:val="continue"/>
            <w:shd w:val="clear" w:color="auto" w:fill="E8EEF7"/>
          </w:tcPr>
          <w:p>
            <w:pPr>
              <w:spacing w:after="0"/>
              <w:rPr>
                <w:sz w:val="7"/>
                <w:szCs w:val="7"/>
                <w:color w:val="auto"/>
              </w:rPr>
            </w:pPr>
          </w:p>
        </w:tc>
        <w:tc>
          <w:tcPr>
            <w:tcW w:w="880" w:type="dxa"/>
            <w:vAlign w:val="bottom"/>
            <w:shd w:val="clear" w:color="auto" w:fill="E8EEF7"/>
          </w:tcPr>
          <w:p>
            <w:pPr>
              <w:spacing w:after="0"/>
              <w:rPr>
                <w:sz w:val="7"/>
                <w:szCs w:val="7"/>
                <w:color w:val="auto"/>
              </w:rPr>
            </w:pPr>
          </w:p>
        </w:tc>
        <w:tc>
          <w:tcPr>
            <w:tcW w:w="960" w:type="dxa"/>
            <w:vAlign w:val="bottom"/>
            <w:shd w:val="clear" w:color="auto" w:fill="E8EEF7"/>
          </w:tcPr>
          <w:p>
            <w:pPr>
              <w:spacing w:after="0"/>
              <w:rPr>
                <w:sz w:val="7"/>
                <w:szCs w:val="7"/>
                <w:color w:val="auto"/>
              </w:rPr>
            </w:pPr>
          </w:p>
        </w:tc>
        <w:tc>
          <w:tcPr>
            <w:tcW w:w="180" w:type="dxa"/>
            <w:vAlign w:val="bottom"/>
            <w:shd w:val="clear" w:color="auto" w:fill="E8EEF7"/>
          </w:tcPr>
          <w:p>
            <w:pPr>
              <w:spacing w:after="0"/>
              <w:rPr>
                <w:sz w:val="7"/>
                <w:szCs w:val="7"/>
                <w:color w:val="auto"/>
              </w:rPr>
            </w:pPr>
          </w:p>
        </w:tc>
        <w:tc>
          <w:tcPr>
            <w:tcW w:w="340" w:type="dxa"/>
            <w:vAlign w:val="bottom"/>
            <w:shd w:val="clear" w:color="auto" w:fill="E8EEF7"/>
          </w:tcPr>
          <w:p>
            <w:pPr>
              <w:spacing w:after="0"/>
              <w:rPr>
                <w:sz w:val="7"/>
                <w:szCs w:val="7"/>
                <w:color w:val="auto"/>
              </w:rPr>
            </w:pPr>
          </w:p>
        </w:tc>
        <w:tc>
          <w:tcPr>
            <w:tcW w:w="800" w:type="dxa"/>
            <w:vAlign w:val="bottom"/>
            <w:shd w:val="clear" w:color="auto" w:fill="E8EEF7"/>
          </w:tcPr>
          <w:p>
            <w:pPr>
              <w:spacing w:after="0"/>
              <w:rPr>
                <w:sz w:val="7"/>
                <w:szCs w:val="7"/>
                <w:color w:val="auto"/>
              </w:rPr>
            </w:pPr>
          </w:p>
        </w:tc>
        <w:tc>
          <w:tcPr>
            <w:tcW w:w="920" w:type="dxa"/>
            <w:vAlign w:val="bottom"/>
            <w:shd w:val="clear" w:color="auto" w:fill="E8EEF7"/>
          </w:tcPr>
          <w:p>
            <w:pPr>
              <w:spacing w:after="0"/>
              <w:rPr>
                <w:sz w:val="7"/>
                <w:szCs w:val="7"/>
                <w:color w:val="auto"/>
              </w:rPr>
            </w:pPr>
          </w:p>
        </w:tc>
        <w:tc>
          <w:tcPr>
            <w:tcW w:w="520" w:type="dxa"/>
            <w:vAlign w:val="bottom"/>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bottom w:val="single" w:sz="8" w:color="auto"/>
            </w:tcBorders>
            <w:shd w:val="clear" w:color="auto" w:fill="E8EEF7"/>
          </w:tcPr>
          <w:p>
            <w:pPr>
              <w:spacing w:after="0"/>
              <w:rPr>
                <w:sz w:val="9"/>
                <w:szCs w:val="9"/>
                <w:color w:val="auto"/>
              </w:rPr>
            </w:pPr>
          </w:p>
        </w:tc>
        <w:tc>
          <w:tcPr>
            <w:tcW w:w="180" w:type="dxa"/>
            <w:vAlign w:val="bottom"/>
            <w:tcBorders>
              <w:bottom w:val="single" w:sz="8" w:color="auto"/>
            </w:tcBorders>
            <w:shd w:val="clear" w:color="auto" w:fill="E8EEF7"/>
          </w:tcPr>
          <w:p>
            <w:pPr>
              <w:spacing w:after="0"/>
              <w:rPr>
                <w:sz w:val="9"/>
                <w:szCs w:val="9"/>
                <w:color w:val="auto"/>
              </w:rPr>
            </w:pPr>
          </w:p>
        </w:tc>
        <w:tc>
          <w:tcPr>
            <w:tcW w:w="5920" w:type="dxa"/>
            <w:vAlign w:val="bottom"/>
            <w:tcBorders>
              <w:bottom w:val="single" w:sz="8" w:color="auto"/>
            </w:tcBorders>
            <w:shd w:val="clear" w:color="auto" w:fill="E8EEF7"/>
          </w:tcPr>
          <w:p>
            <w:pPr>
              <w:spacing w:after="0"/>
              <w:rPr>
                <w:sz w:val="9"/>
                <w:szCs w:val="9"/>
                <w:color w:val="auto"/>
              </w:rPr>
            </w:pPr>
          </w:p>
        </w:tc>
        <w:tc>
          <w:tcPr>
            <w:tcW w:w="880" w:type="dxa"/>
            <w:vAlign w:val="bottom"/>
            <w:tcBorders>
              <w:bottom w:val="single" w:sz="8" w:color="auto"/>
            </w:tcBorders>
            <w:shd w:val="clear" w:color="auto" w:fill="E8EEF7"/>
          </w:tcPr>
          <w:p>
            <w:pPr>
              <w:spacing w:after="0"/>
              <w:rPr>
                <w:sz w:val="9"/>
                <w:szCs w:val="9"/>
                <w:color w:val="auto"/>
              </w:rPr>
            </w:pPr>
          </w:p>
        </w:tc>
        <w:tc>
          <w:tcPr>
            <w:tcW w:w="960" w:type="dxa"/>
            <w:vAlign w:val="bottom"/>
            <w:tcBorders>
              <w:bottom w:val="single" w:sz="8" w:color="auto"/>
            </w:tcBorders>
            <w:shd w:val="clear" w:color="auto" w:fill="E8EEF7"/>
          </w:tcPr>
          <w:p>
            <w:pPr>
              <w:spacing w:after="0"/>
              <w:rPr>
                <w:sz w:val="9"/>
                <w:szCs w:val="9"/>
                <w:color w:val="auto"/>
              </w:rPr>
            </w:pPr>
          </w:p>
        </w:tc>
        <w:tc>
          <w:tcPr>
            <w:tcW w:w="180" w:type="dxa"/>
            <w:vAlign w:val="bottom"/>
            <w:tcBorders>
              <w:bottom w:val="single" w:sz="8" w:color="auto"/>
            </w:tcBorders>
            <w:shd w:val="clear" w:color="auto" w:fill="E8EEF7"/>
          </w:tcPr>
          <w:p>
            <w:pPr>
              <w:spacing w:after="0"/>
              <w:rPr>
                <w:sz w:val="9"/>
                <w:szCs w:val="9"/>
                <w:color w:val="auto"/>
              </w:rPr>
            </w:pPr>
          </w:p>
        </w:tc>
        <w:tc>
          <w:tcPr>
            <w:tcW w:w="340" w:type="dxa"/>
            <w:vAlign w:val="bottom"/>
            <w:tcBorders>
              <w:bottom w:val="single" w:sz="8" w:color="auto"/>
            </w:tcBorders>
            <w:shd w:val="clear" w:color="auto" w:fill="E8EEF7"/>
          </w:tcPr>
          <w:p>
            <w:pPr>
              <w:spacing w:after="0"/>
              <w:rPr>
                <w:sz w:val="9"/>
                <w:szCs w:val="9"/>
                <w:color w:val="auto"/>
              </w:rPr>
            </w:pPr>
          </w:p>
        </w:tc>
        <w:tc>
          <w:tcPr>
            <w:tcW w:w="800" w:type="dxa"/>
            <w:vAlign w:val="bottom"/>
            <w:tcBorders>
              <w:bottom w:val="single" w:sz="8" w:color="auto"/>
            </w:tcBorders>
            <w:shd w:val="clear" w:color="auto" w:fill="E8EEF7"/>
          </w:tcPr>
          <w:p>
            <w:pPr>
              <w:spacing w:after="0"/>
              <w:rPr>
                <w:sz w:val="9"/>
                <w:szCs w:val="9"/>
                <w:color w:val="auto"/>
              </w:rPr>
            </w:pPr>
          </w:p>
        </w:tc>
        <w:tc>
          <w:tcPr>
            <w:tcW w:w="920" w:type="dxa"/>
            <w:vAlign w:val="bottom"/>
            <w:tcBorders>
              <w:bottom w:val="single" w:sz="8" w:color="auto"/>
            </w:tcBorders>
            <w:shd w:val="clear" w:color="auto" w:fill="E8EEF7"/>
          </w:tcPr>
          <w:p>
            <w:pPr>
              <w:spacing w:after="0"/>
              <w:rPr>
                <w:sz w:val="9"/>
                <w:szCs w:val="9"/>
                <w:color w:val="auto"/>
              </w:rPr>
            </w:pPr>
          </w:p>
        </w:tc>
        <w:tc>
          <w:tcPr>
            <w:tcW w:w="520" w:type="dxa"/>
            <w:vAlign w:val="bottom"/>
            <w:tcBorders>
              <w:bottom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540" w:type="dxa"/>
            <w:vAlign w:val="bottom"/>
            <w:shd w:val="clear" w:color="auto" w:fill="E8EEF7"/>
          </w:tcPr>
          <w:p>
            <w:pPr>
              <w:spacing w:after="0"/>
              <w:rPr>
                <w:sz w:val="24"/>
                <w:szCs w:val="24"/>
                <w:color w:val="auto"/>
              </w:rPr>
            </w:pPr>
          </w:p>
        </w:tc>
        <w:tc>
          <w:tcPr>
            <w:tcW w:w="180" w:type="dxa"/>
            <w:vAlign w:val="bottom"/>
            <w:shd w:val="clear" w:color="auto" w:fill="E8EEF7"/>
          </w:tcPr>
          <w:p>
            <w:pPr>
              <w:spacing w:after="0"/>
              <w:rPr>
                <w:sz w:val="24"/>
                <w:szCs w:val="24"/>
                <w:color w:val="auto"/>
              </w:rPr>
            </w:pPr>
          </w:p>
        </w:tc>
        <w:tc>
          <w:tcPr>
            <w:tcW w:w="5920" w:type="dxa"/>
            <w:vAlign w:val="bottom"/>
            <w:shd w:val="clear" w:color="auto" w:fill="E8EEF7"/>
          </w:tcPr>
          <w:p>
            <w:pPr>
              <w:ind w:left="20"/>
              <w:spacing w:after="0"/>
              <w:rPr>
                <w:sz w:val="20"/>
                <w:szCs w:val="20"/>
                <w:color w:val="auto"/>
              </w:rPr>
            </w:pPr>
            <w:r>
              <w:rPr>
                <w:rFonts w:ascii="Arial" w:cs="Arial" w:eastAsia="Arial" w:hAnsi="Arial"/>
                <w:sz w:val="15"/>
                <w:szCs w:val="15"/>
                <w:b w:val="1"/>
                <w:bCs w:val="1"/>
                <w:color w:val="006DB6"/>
              </w:rPr>
              <w:t xml:space="preserve">Charles Szalkowski </w:t>
            </w:r>
            <w:r>
              <w:rPr>
                <w:rFonts w:ascii="Arial" w:cs="Arial" w:eastAsia="Arial" w:hAnsi="Arial"/>
                <w:sz w:val="15"/>
                <w:szCs w:val="15"/>
                <w:b w:val="1"/>
                <w:bCs w:val="1"/>
                <w:color w:val="706F6F"/>
              </w:rPr>
              <w:t>Independent</w:t>
            </w:r>
          </w:p>
        </w:tc>
        <w:tc>
          <w:tcPr>
            <w:tcW w:w="880" w:type="dxa"/>
            <w:vAlign w:val="bottom"/>
            <w:vMerge w:val="restart"/>
            <w:shd w:val="clear" w:color="auto" w:fill="E8EEF7"/>
          </w:tcPr>
          <w:p>
            <w:pPr>
              <w:jc w:val="right"/>
              <w:ind w:right="85"/>
              <w:spacing w:after="0"/>
              <w:rPr>
                <w:sz w:val="20"/>
                <w:szCs w:val="20"/>
                <w:color w:val="auto"/>
              </w:rPr>
            </w:pPr>
            <w:r>
              <w:rPr>
                <w:rFonts w:ascii="Arial" w:cs="Arial" w:eastAsia="Arial" w:hAnsi="Arial"/>
                <w:sz w:val="15"/>
                <w:szCs w:val="15"/>
                <w:color w:val="auto"/>
              </w:rPr>
              <w:t>72</w:t>
            </w:r>
          </w:p>
        </w:tc>
        <w:tc>
          <w:tcPr>
            <w:tcW w:w="960" w:type="dxa"/>
            <w:vAlign w:val="bottom"/>
            <w:vMerge w:val="restart"/>
            <w:shd w:val="clear" w:color="auto" w:fill="E8EEF7"/>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shd w:val="clear" w:color="auto" w:fill="E8EEF7"/>
          </w:tcPr>
          <w:p>
            <w:pPr>
              <w:spacing w:after="0"/>
              <w:rPr>
                <w:sz w:val="24"/>
                <w:szCs w:val="24"/>
                <w:color w:val="auto"/>
              </w:rPr>
            </w:pPr>
          </w:p>
        </w:tc>
        <w:tc>
          <w:tcPr>
            <w:tcW w:w="340" w:type="dxa"/>
            <w:vAlign w:val="bottom"/>
            <w:shd w:val="clear" w:color="auto" w:fill="E8EEF7"/>
          </w:tcPr>
          <w:p>
            <w:pPr>
              <w:spacing w:after="0"/>
              <w:rPr>
                <w:sz w:val="24"/>
                <w:szCs w:val="24"/>
                <w:color w:val="auto"/>
              </w:rPr>
            </w:pPr>
          </w:p>
        </w:tc>
        <w:tc>
          <w:tcPr>
            <w:tcW w:w="800" w:type="dxa"/>
            <w:vAlign w:val="bottom"/>
            <w:shd w:val="clear" w:color="auto" w:fill="E8EEF7"/>
          </w:tcPr>
          <w:p>
            <w:pPr>
              <w:spacing w:after="0"/>
              <w:rPr>
                <w:sz w:val="24"/>
                <w:szCs w:val="24"/>
                <w:color w:val="auto"/>
              </w:rPr>
            </w:pPr>
          </w:p>
        </w:tc>
        <w:tc>
          <w:tcPr>
            <w:tcW w:w="920" w:type="dxa"/>
            <w:vAlign w:val="bottom"/>
            <w:shd w:val="clear" w:color="auto" w:fill="E8EEF7"/>
          </w:tcPr>
          <w:p>
            <w:pPr>
              <w:spacing w:after="0"/>
              <w:rPr>
                <w:sz w:val="24"/>
                <w:szCs w:val="24"/>
                <w:color w:val="auto"/>
              </w:rPr>
            </w:pPr>
          </w:p>
        </w:tc>
        <w:tc>
          <w:tcPr>
            <w:tcW w:w="520" w:type="dxa"/>
            <w:vAlign w:val="bottom"/>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shd w:val="clear" w:color="auto" w:fill="E8EEF7"/>
          </w:tcPr>
          <w:p>
            <w:pPr>
              <w:spacing w:after="0"/>
              <w:rPr>
                <w:sz w:val="8"/>
                <w:szCs w:val="8"/>
                <w:color w:val="auto"/>
              </w:rPr>
            </w:pPr>
          </w:p>
        </w:tc>
        <w:tc>
          <w:tcPr>
            <w:tcW w:w="180" w:type="dxa"/>
            <w:vAlign w:val="bottom"/>
            <w:shd w:val="clear" w:color="auto" w:fill="E8EEF7"/>
          </w:tcPr>
          <w:p>
            <w:pPr>
              <w:spacing w:after="0"/>
              <w:rPr>
                <w:sz w:val="8"/>
                <w:szCs w:val="8"/>
                <w:color w:val="auto"/>
              </w:rPr>
            </w:pPr>
          </w:p>
        </w:tc>
        <w:tc>
          <w:tcPr>
            <w:tcW w:w="5920" w:type="dxa"/>
            <w:vAlign w:val="bottom"/>
            <w:vMerge w:val="restart"/>
            <w:shd w:val="clear" w:color="auto" w:fill="E8EEF7"/>
          </w:tcPr>
          <w:p>
            <w:pPr>
              <w:ind w:left="20"/>
              <w:spacing w:after="0"/>
              <w:rPr>
                <w:sz w:val="20"/>
                <w:szCs w:val="20"/>
                <w:color w:val="auto"/>
              </w:rPr>
            </w:pPr>
            <w:r>
              <w:rPr>
                <w:rFonts w:ascii="Arial" w:cs="Arial" w:eastAsia="Arial" w:hAnsi="Arial"/>
                <w:sz w:val="15"/>
                <w:szCs w:val="15"/>
                <w:color w:val="auto"/>
              </w:rPr>
              <w:t>Former Partner and General Counsel, Baker Botts L.L.P.</w:t>
            </w:r>
          </w:p>
        </w:tc>
        <w:tc>
          <w:tcPr>
            <w:tcW w:w="880" w:type="dxa"/>
            <w:vAlign w:val="bottom"/>
            <w:vMerge w:val="continue"/>
            <w:shd w:val="clear" w:color="auto" w:fill="E8EEF7"/>
          </w:tcPr>
          <w:p>
            <w:pPr>
              <w:spacing w:after="0"/>
              <w:rPr>
                <w:sz w:val="8"/>
                <w:szCs w:val="8"/>
                <w:color w:val="auto"/>
              </w:rPr>
            </w:pPr>
          </w:p>
        </w:tc>
        <w:tc>
          <w:tcPr>
            <w:tcW w:w="960" w:type="dxa"/>
            <w:vAlign w:val="bottom"/>
            <w:vMerge w:val="continue"/>
            <w:shd w:val="clear" w:color="auto" w:fill="E8EEF7"/>
          </w:tcPr>
          <w:p>
            <w:pPr>
              <w:spacing w:after="0"/>
              <w:rPr>
                <w:sz w:val="8"/>
                <w:szCs w:val="8"/>
                <w:color w:val="auto"/>
              </w:rPr>
            </w:pPr>
          </w:p>
        </w:tc>
        <w:tc>
          <w:tcPr>
            <w:tcW w:w="180" w:type="dxa"/>
            <w:vAlign w:val="bottom"/>
            <w:shd w:val="clear" w:color="auto" w:fill="E8EEF7"/>
          </w:tcPr>
          <w:p>
            <w:pPr>
              <w:spacing w:after="0"/>
              <w:rPr>
                <w:sz w:val="8"/>
                <w:szCs w:val="8"/>
                <w:color w:val="auto"/>
              </w:rPr>
            </w:pPr>
          </w:p>
        </w:tc>
        <w:tc>
          <w:tcPr>
            <w:tcW w:w="340" w:type="dxa"/>
            <w:vAlign w:val="bottom"/>
            <w:shd w:val="clear" w:color="auto" w:fill="E8EEF7"/>
          </w:tcPr>
          <w:p>
            <w:pPr>
              <w:spacing w:after="0"/>
              <w:rPr>
                <w:sz w:val="8"/>
                <w:szCs w:val="8"/>
                <w:color w:val="auto"/>
              </w:rPr>
            </w:pPr>
          </w:p>
        </w:tc>
        <w:tc>
          <w:tcPr>
            <w:tcW w:w="800" w:type="dxa"/>
            <w:vAlign w:val="bottom"/>
            <w:shd w:val="clear" w:color="auto" w:fill="E8EEF7"/>
          </w:tcPr>
          <w:p>
            <w:pPr>
              <w:spacing w:after="0"/>
              <w:rPr>
                <w:sz w:val="8"/>
                <w:szCs w:val="8"/>
                <w:color w:val="auto"/>
              </w:rPr>
            </w:pPr>
          </w:p>
        </w:tc>
        <w:tc>
          <w:tcPr>
            <w:tcW w:w="920" w:type="dxa"/>
            <w:vAlign w:val="bottom"/>
            <w:shd w:val="clear" w:color="auto" w:fill="E8EEF7"/>
          </w:tcPr>
          <w:p>
            <w:pPr>
              <w:spacing w:after="0"/>
              <w:rPr>
                <w:sz w:val="8"/>
                <w:szCs w:val="8"/>
                <w:color w:val="auto"/>
              </w:rPr>
            </w:pPr>
          </w:p>
        </w:tc>
        <w:tc>
          <w:tcPr>
            <w:tcW w:w="520" w:type="dxa"/>
            <w:vAlign w:val="bottom"/>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shd w:val="clear" w:color="auto" w:fill="E8EEF7"/>
          </w:tcPr>
          <w:p>
            <w:pPr>
              <w:spacing w:after="0"/>
              <w:rPr>
                <w:sz w:val="7"/>
                <w:szCs w:val="7"/>
                <w:color w:val="auto"/>
              </w:rPr>
            </w:pPr>
          </w:p>
        </w:tc>
        <w:tc>
          <w:tcPr>
            <w:tcW w:w="180" w:type="dxa"/>
            <w:vAlign w:val="bottom"/>
            <w:shd w:val="clear" w:color="auto" w:fill="E8EEF7"/>
          </w:tcPr>
          <w:p>
            <w:pPr>
              <w:spacing w:after="0"/>
              <w:rPr>
                <w:sz w:val="7"/>
                <w:szCs w:val="7"/>
                <w:color w:val="auto"/>
              </w:rPr>
            </w:pPr>
          </w:p>
        </w:tc>
        <w:tc>
          <w:tcPr>
            <w:tcW w:w="5920" w:type="dxa"/>
            <w:vAlign w:val="bottom"/>
            <w:vMerge w:val="continue"/>
            <w:shd w:val="clear" w:color="auto" w:fill="E8EEF7"/>
          </w:tcPr>
          <w:p>
            <w:pPr>
              <w:spacing w:after="0"/>
              <w:rPr>
                <w:sz w:val="7"/>
                <w:szCs w:val="7"/>
                <w:color w:val="auto"/>
              </w:rPr>
            </w:pPr>
          </w:p>
        </w:tc>
        <w:tc>
          <w:tcPr>
            <w:tcW w:w="880" w:type="dxa"/>
            <w:vAlign w:val="bottom"/>
            <w:shd w:val="clear" w:color="auto" w:fill="E8EEF7"/>
          </w:tcPr>
          <w:p>
            <w:pPr>
              <w:spacing w:after="0"/>
              <w:rPr>
                <w:sz w:val="7"/>
                <w:szCs w:val="7"/>
                <w:color w:val="auto"/>
              </w:rPr>
            </w:pPr>
          </w:p>
        </w:tc>
        <w:tc>
          <w:tcPr>
            <w:tcW w:w="960" w:type="dxa"/>
            <w:vAlign w:val="bottom"/>
            <w:shd w:val="clear" w:color="auto" w:fill="E8EEF7"/>
          </w:tcPr>
          <w:p>
            <w:pPr>
              <w:spacing w:after="0"/>
              <w:rPr>
                <w:sz w:val="7"/>
                <w:szCs w:val="7"/>
                <w:color w:val="auto"/>
              </w:rPr>
            </w:pPr>
          </w:p>
        </w:tc>
        <w:tc>
          <w:tcPr>
            <w:tcW w:w="180" w:type="dxa"/>
            <w:vAlign w:val="bottom"/>
            <w:shd w:val="clear" w:color="auto" w:fill="E8EEF7"/>
          </w:tcPr>
          <w:p>
            <w:pPr>
              <w:spacing w:after="0"/>
              <w:rPr>
                <w:sz w:val="7"/>
                <w:szCs w:val="7"/>
                <w:color w:val="auto"/>
              </w:rPr>
            </w:pPr>
          </w:p>
        </w:tc>
        <w:tc>
          <w:tcPr>
            <w:tcW w:w="340" w:type="dxa"/>
            <w:vAlign w:val="bottom"/>
            <w:shd w:val="clear" w:color="auto" w:fill="E8EEF7"/>
          </w:tcPr>
          <w:p>
            <w:pPr>
              <w:spacing w:after="0"/>
              <w:rPr>
                <w:sz w:val="7"/>
                <w:szCs w:val="7"/>
                <w:color w:val="auto"/>
              </w:rPr>
            </w:pPr>
          </w:p>
        </w:tc>
        <w:tc>
          <w:tcPr>
            <w:tcW w:w="800" w:type="dxa"/>
            <w:vAlign w:val="bottom"/>
            <w:shd w:val="clear" w:color="auto" w:fill="E8EEF7"/>
          </w:tcPr>
          <w:p>
            <w:pPr>
              <w:spacing w:after="0"/>
              <w:rPr>
                <w:sz w:val="7"/>
                <w:szCs w:val="7"/>
                <w:color w:val="auto"/>
              </w:rPr>
            </w:pPr>
          </w:p>
        </w:tc>
        <w:tc>
          <w:tcPr>
            <w:tcW w:w="920" w:type="dxa"/>
            <w:vAlign w:val="bottom"/>
            <w:shd w:val="clear" w:color="auto" w:fill="E8EEF7"/>
          </w:tcPr>
          <w:p>
            <w:pPr>
              <w:spacing w:after="0"/>
              <w:rPr>
                <w:sz w:val="7"/>
                <w:szCs w:val="7"/>
                <w:color w:val="auto"/>
              </w:rPr>
            </w:pPr>
          </w:p>
        </w:tc>
        <w:tc>
          <w:tcPr>
            <w:tcW w:w="520" w:type="dxa"/>
            <w:vAlign w:val="bottom"/>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gridSpan w:val="2"/>
            <w:shd w:val="clear" w:color="auto" w:fill="E8EEF7"/>
          </w:tcPr>
          <w:p>
            <w:pPr>
              <w:spacing w:after="0"/>
              <w:rPr>
                <w:sz w:val="9"/>
                <w:szCs w:val="9"/>
                <w:color w:val="auto"/>
              </w:rPr>
            </w:pPr>
          </w:p>
        </w:tc>
        <w:tc>
          <w:tcPr>
            <w:tcW w:w="5920" w:type="dxa"/>
            <w:vAlign w:val="bottom"/>
            <w:tcBorders>
              <w:bottom w:val="single" w:sz="8" w:color="auto"/>
            </w:tcBorders>
            <w:shd w:val="clear" w:color="auto" w:fill="E8EEF7"/>
          </w:tcPr>
          <w:p>
            <w:pPr>
              <w:spacing w:after="0"/>
              <w:rPr>
                <w:sz w:val="9"/>
                <w:szCs w:val="9"/>
                <w:color w:val="auto"/>
              </w:rPr>
            </w:pPr>
          </w:p>
        </w:tc>
        <w:tc>
          <w:tcPr>
            <w:tcW w:w="880" w:type="dxa"/>
            <w:vAlign w:val="bottom"/>
            <w:tcBorders>
              <w:bottom w:val="single" w:sz="8" w:color="auto"/>
            </w:tcBorders>
            <w:shd w:val="clear" w:color="auto" w:fill="E8EEF7"/>
          </w:tcPr>
          <w:p>
            <w:pPr>
              <w:spacing w:after="0"/>
              <w:rPr>
                <w:sz w:val="9"/>
                <w:szCs w:val="9"/>
                <w:color w:val="auto"/>
              </w:rPr>
            </w:pPr>
          </w:p>
        </w:tc>
        <w:tc>
          <w:tcPr>
            <w:tcW w:w="960" w:type="dxa"/>
            <w:vAlign w:val="bottom"/>
            <w:tcBorders>
              <w:bottom w:val="single" w:sz="8" w:color="auto"/>
            </w:tcBorders>
            <w:shd w:val="clear" w:color="auto" w:fill="E8EEF7"/>
          </w:tcPr>
          <w:p>
            <w:pPr>
              <w:spacing w:after="0"/>
              <w:rPr>
                <w:sz w:val="9"/>
                <w:szCs w:val="9"/>
                <w:color w:val="auto"/>
              </w:rPr>
            </w:pPr>
          </w:p>
        </w:tc>
        <w:tc>
          <w:tcPr>
            <w:tcW w:w="180" w:type="dxa"/>
            <w:vAlign w:val="bottom"/>
            <w:tcBorders>
              <w:bottom w:val="single" w:sz="8" w:color="auto"/>
            </w:tcBorders>
            <w:shd w:val="clear" w:color="auto" w:fill="E8EEF7"/>
          </w:tcPr>
          <w:p>
            <w:pPr>
              <w:spacing w:after="0"/>
              <w:rPr>
                <w:sz w:val="9"/>
                <w:szCs w:val="9"/>
                <w:color w:val="auto"/>
              </w:rPr>
            </w:pPr>
          </w:p>
        </w:tc>
        <w:tc>
          <w:tcPr>
            <w:tcW w:w="340" w:type="dxa"/>
            <w:vAlign w:val="bottom"/>
            <w:tcBorders>
              <w:bottom w:val="single" w:sz="8" w:color="auto"/>
            </w:tcBorders>
            <w:shd w:val="clear" w:color="auto" w:fill="E8EEF7"/>
          </w:tcPr>
          <w:p>
            <w:pPr>
              <w:spacing w:after="0"/>
              <w:rPr>
                <w:sz w:val="9"/>
                <w:szCs w:val="9"/>
                <w:color w:val="auto"/>
              </w:rPr>
            </w:pPr>
          </w:p>
        </w:tc>
        <w:tc>
          <w:tcPr>
            <w:tcW w:w="800" w:type="dxa"/>
            <w:vAlign w:val="bottom"/>
            <w:tcBorders>
              <w:bottom w:val="single" w:sz="8" w:color="auto"/>
            </w:tcBorders>
            <w:shd w:val="clear" w:color="auto" w:fill="E8EEF7"/>
          </w:tcPr>
          <w:p>
            <w:pPr>
              <w:spacing w:after="0"/>
              <w:rPr>
                <w:sz w:val="9"/>
                <w:szCs w:val="9"/>
                <w:color w:val="auto"/>
              </w:rPr>
            </w:pPr>
          </w:p>
        </w:tc>
        <w:tc>
          <w:tcPr>
            <w:tcW w:w="920" w:type="dxa"/>
            <w:vAlign w:val="bottom"/>
            <w:tcBorders>
              <w:bottom w:val="single" w:sz="8" w:color="auto"/>
            </w:tcBorders>
            <w:shd w:val="clear" w:color="auto" w:fill="E8EEF7"/>
          </w:tcPr>
          <w:p>
            <w:pPr>
              <w:spacing w:after="0"/>
              <w:rPr>
                <w:sz w:val="9"/>
                <w:szCs w:val="9"/>
                <w:color w:val="auto"/>
              </w:rPr>
            </w:pPr>
          </w:p>
        </w:tc>
        <w:tc>
          <w:tcPr>
            <w:tcW w:w="520" w:type="dxa"/>
            <w:vAlign w:val="bottom"/>
            <w:tcBorders>
              <w:bottom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6640" w:type="dxa"/>
            <w:vAlign w:val="bottom"/>
            <w:gridSpan w:val="3"/>
          </w:tcPr>
          <w:p>
            <w:pPr>
              <w:ind w:left="20"/>
              <w:spacing w:after="0"/>
              <w:rPr>
                <w:sz w:val="20"/>
                <w:szCs w:val="20"/>
                <w:color w:val="auto"/>
              </w:rPr>
            </w:pPr>
            <w:r>
              <w:rPr>
                <w:rFonts w:ascii="Arial" w:cs="Arial" w:eastAsia="Arial" w:hAnsi="Arial"/>
                <w:sz w:val="15"/>
                <w:szCs w:val="15"/>
                <w:b w:val="1"/>
                <w:bCs w:val="1"/>
                <w:color w:val="auto"/>
              </w:rPr>
              <w:t>Class II Directors Whose Terms Expire at the 2022 Annual Meeting of Shareholders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5"/>
                <w:szCs w:val="15"/>
                <w:b w:val="1"/>
                <w:bCs w:val="1"/>
                <w:color w:val="006DB6"/>
              </w:rPr>
              <w:t xml:space="preserve">Richard A. Navarre </w:t>
            </w:r>
            <w:r>
              <w:rPr>
                <w:rFonts w:ascii="Arial" w:cs="Arial" w:eastAsia="Arial" w:hAnsi="Arial"/>
                <w:sz w:val="15"/>
                <w:szCs w:val="15"/>
                <w:b w:val="1"/>
                <w:bCs w:val="1"/>
                <w:color w:val="706F6F"/>
              </w:rPr>
              <w:t>Independent</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vMerge w:val="restart"/>
          </w:tcPr>
          <w:p>
            <w:pPr>
              <w:ind w:left="20"/>
              <w:spacing w:after="0"/>
              <w:rPr>
                <w:sz w:val="20"/>
                <w:szCs w:val="20"/>
                <w:color w:val="auto"/>
              </w:rPr>
            </w:pPr>
            <w:r>
              <w:rPr>
                <w:rFonts w:ascii="Arial" w:cs="Arial" w:eastAsia="Arial" w:hAnsi="Arial"/>
                <w:sz w:val="15"/>
                <w:szCs w:val="15"/>
                <w:color w:val="auto"/>
              </w:rPr>
              <w:t>President and Chief Executive Officer, Covia Corporation</w:t>
            </w:r>
          </w:p>
        </w:tc>
        <w:tc>
          <w:tcPr>
            <w:tcW w:w="880" w:type="dxa"/>
            <w:vAlign w:val="bottom"/>
          </w:tcPr>
          <w:p>
            <w:pPr>
              <w:jc w:val="right"/>
              <w:ind w:right="85"/>
              <w:spacing w:after="0"/>
              <w:rPr>
                <w:sz w:val="20"/>
                <w:szCs w:val="20"/>
                <w:color w:val="auto"/>
              </w:rPr>
            </w:pPr>
            <w:r>
              <w:rPr>
                <w:rFonts w:ascii="Arial" w:cs="Arial" w:eastAsia="Arial" w:hAnsi="Arial"/>
                <w:sz w:val="15"/>
                <w:szCs w:val="15"/>
                <w:color w:val="auto"/>
              </w:rPr>
              <w:t>60</w:t>
            </w:r>
          </w:p>
        </w:tc>
        <w:tc>
          <w:tcPr>
            <w:tcW w:w="960" w:type="dxa"/>
            <w:vAlign w:val="bottom"/>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5"/>
                <w:szCs w:val="15"/>
                <w:b w:val="1"/>
                <w:bCs w:val="1"/>
                <w:color w:val="006DB6"/>
              </w:rPr>
              <w:t xml:space="preserve">Martin A. Lambert </w:t>
            </w:r>
            <w:r>
              <w:rPr>
                <w:rFonts w:ascii="Arial" w:cs="Arial" w:eastAsia="Arial" w:hAnsi="Arial"/>
                <w:sz w:val="15"/>
                <w:szCs w:val="15"/>
                <w:b w:val="1"/>
                <w:bCs w:val="1"/>
                <w:color w:val="706F6F"/>
              </w:rPr>
              <w:t>Independent</w:t>
            </w:r>
          </w:p>
        </w:tc>
        <w:tc>
          <w:tcPr>
            <w:tcW w:w="880" w:type="dxa"/>
            <w:vAlign w:val="bottom"/>
            <w:vMerge w:val="restart"/>
          </w:tcPr>
          <w:p>
            <w:pPr>
              <w:jc w:val="right"/>
              <w:ind w:right="85"/>
              <w:spacing w:after="0"/>
              <w:rPr>
                <w:sz w:val="20"/>
                <w:szCs w:val="20"/>
                <w:color w:val="auto"/>
              </w:rPr>
            </w:pPr>
            <w:r>
              <w:rPr>
                <w:rFonts w:ascii="Arial" w:cs="Arial" w:eastAsia="Arial" w:hAnsi="Arial"/>
                <w:sz w:val="15"/>
                <w:szCs w:val="15"/>
                <w:color w:val="auto"/>
              </w:rPr>
              <w:t>65</w:t>
            </w:r>
          </w:p>
        </w:tc>
        <w:tc>
          <w:tcPr>
            <w:tcW w:w="960" w:type="dxa"/>
            <w:vAlign w:val="bottom"/>
            <w:vMerge w:val="restart"/>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920" w:type="dxa"/>
            <w:vAlign w:val="bottom"/>
            <w:vMerge w:val="restart"/>
          </w:tcPr>
          <w:p>
            <w:pPr>
              <w:ind w:left="20"/>
              <w:spacing w:after="0"/>
              <w:rPr>
                <w:sz w:val="20"/>
                <w:szCs w:val="20"/>
                <w:color w:val="auto"/>
              </w:rPr>
            </w:pPr>
            <w:r>
              <w:rPr>
                <w:rFonts w:ascii="Arial" w:cs="Arial" w:eastAsia="Arial" w:hAnsi="Arial"/>
                <w:sz w:val="15"/>
                <w:szCs w:val="15"/>
                <w:color w:val="auto"/>
              </w:rPr>
              <w:t>Former Chief Executive Officer, Swan Hills Synfuels LP</w:t>
            </w: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9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5"/>
                <w:szCs w:val="15"/>
                <w:b w:val="1"/>
                <w:bCs w:val="1"/>
                <w:color w:val="006DB6"/>
              </w:rPr>
              <w:t xml:space="preserve">Constance B. Moore </w:t>
            </w:r>
            <w:r>
              <w:rPr>
                <w:rFonts w:ascii="Arial" w:cs="Arial" w:eastAsia="Arial" w:hAnsi="Arial"/>
                <w:sz w:val="15"/>
                <w:szCs w:val="15"/>
                <w:b w:val="1"/>
                <w:bCs w:val="1"/>
                <w:color w:val="706F6F"/>
              </w:rPr>
              <w:t>Independent</w:t>
            </w:r>
          </w:p>
        </w:tc>
        <w:tc>
          <w:tcPr>
            <w:tcW w:w="880" w:type="dxa"/>
            <w:vAlign w:val="bottom"/>
            <w:vMerge w:val="restart"/>
          </w:tcPr>
          <w:p>
            <w:pPr>
              <w:jc w:val="right"/>
              <w:ind w:right="85"/>
              <w:spacing w:after="0"/>
              <w:rPr>
                <w:sz w:val="20"/>
                <w:szCs w:val="20"/>
                <w:color w:val="auto"/>
              </w:rPr>
            </w:pPr>
            <w:r>
              <w:rPr>
                <w:rFonts w:ascii="Arial" w:cs="Arial" w:eastAsia="Arial" w:hAnsi="Arial"/>
                <w:sz w:val="15"/>
                <w:szCs w:val="15"/>
                <w:color w:val="auto"/>
              </w:rPr>
              <w:t>65</w:t>
            </w:r>
          </w:p>
        </w:tc>
        <w:tc>
          <w:tcPr>
            <w:tcW w:w="960" w:type="dxa"/>
            <w:vAlign w:val="bottom"/>
            <w:vMerge w:val="restart"/>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920" w:type="dxa"/>
            <w:vAlign w:val="bottom"/>
            <w:vMerge w:val="restart"/>
          </w:tcPr>
          <w:p>
            <w:pPr>
              <w:ind w:left="20"/>
              <w:spacing w:after="0"/>
              <w:rPr>
                <w:sz w:val="20"/>
                <w:szCs w:val="20"/>
                <w:color w:val="auto"/>
              </w:rPr>
            </w:pPr>
            <w:r>
              <w:rPr>
                <w:rFonts w:ascii="Arial" w:cs="Arial" w:eastAsia="Arial" w:hAnsi="Arial"/>
                <w:sz w:val="15"/>
                <w:szCs w:val="15"/>
                <w:color w:val="auto"/>
              </w:rPr>
              <w:t>Former President and Chief Executive Officer, BRE Properties, Inc.</w:t>
            </w: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640" w:type="dxa"/>
            <w:vAlign w:val="bottom"/>
            <w:tcBorders>
              <w:bottom w:val="single" w:sz="8" w:color="auto"/>
            </w:tcBorders>
            <w:gridSpan w:val="3"/>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6640" w:type="dxa"/>
            <w:vAlign w:val="bottom"/>
            <w:gridSpan w:val="3"/>
          </w:tcPr>
          <w:p>
            <w:pPr>
              <w:ind w:left="20"/>
              <w:spacing w:after="0"/>
              <w:rPr>
                <w:sz w:val="20"/>
                <w:szCs w:val="20"/>
                <w:color w:val="auto"/>
              </w:rPr>
            </w:pPr>
            <w:r>
              <w:rPr>
                <w:rFonts w:ascii="Arial" w:cs="Arial" w:eastAsia="Arial" w:hAnsi="Arial"/>
                <w:sz w:val="15"/>
                <w:szCs w:val="15"/>
                <w:b w:val="1"/>
                <w:bCs w:val="1"/>
                <w:color w:val="auto"/>
              </w:rPr>
              <w:t>Class III Directors Whose Terms Expire at the 2023 Annual Meeting of Shareholders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5"/>
                <w:szCs w:val="15"/>
                <w:b w:val="1"/>
                <w:bCs w:val="1"/>
                <w:color w:val="006DB6"/>
              </w:rPr>
              <w:t>Bradley J. Dodson</w:t>
            </w:r>
          </w:p>
        </w:tc>
        <w:tc>
          <w:tcPr>
            <w:tcW w:w="880" w:type="dxa"/>
            <w:vAlign w:val="bottom"/>
            <w:vMerge w:val="restart"/>
          </w:tcPr>
          <w:p>
            <w:pPr>
              <w:jc w:val="right"/>
              <w:ind w:right="85"/>
              <w:spacing w:after="0"/>
              <w:rPr>
                <w:sz w:val="20"/>
                <w:szCs w:val="20"/>
                <w:color w:val="auto"/>
              </w:rPr>
            </w:pPr>
            <w:r>
              <w:rPr>
                <w:rFonts w:ascii="Arial" w:cs="Arial" w:eastAsia="Arial" w:hAnsi="Arial"/>
                <w:sz w:val="15"/>
                <w:szCs w:val="15"/>
                <w:color w:val="auto"/>
              </w:rPr>
              <w:t>47</w:t>
            </w:r>
          </w:p>
        </w:tc>
        <w:tc>
          <w:tcPr>
            <w:tcW w:w="960" w:type="dxa"/>
            <w:vAlign w:val="bottom"/>
            <w:vMerge w:val="restart"/>
          </w:tcPr>
          <w:p>
            <w:pPr>
              <w:jc w:val="center"/>
              <w:ind w:left="7"/>
              <w:spacing w:after="0"/>
              <w:rPr>
                <w:sz w:val="20"/>
                <w:szCs w:val="20"/>
                <w:color w:val="auto"/>
              </w:rPr>
            </w:pPr>
            <w:r>
              <w:rPr>
                <w:rFonts w:ascii="Arial" w:cs="Arial" w:eastAsia="Arial" w:hAnsi="Arial"/>
                <w:sz w:val="15"/>
                <w:szCs w:val="15"/>
                <w:color w:val="auto"/>
              </w:rPr>
              <w:t>2014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920" w:type="dxa"/>
            <w:vAlign w:val="bottom"/>
            <w:vMerge w:val="restart"/>
          </w:tcPr>
          <w:p>
            <w:pPr>
              <w:ind w:left="20"/>
              <w:spacing w:after="0"/>
              <w:rPr>
                <w:sz w:val="20"/>
                <w:szCs w:val="20"/>
                <w:color w:val="auto"/>
              </w:rPr>
            </w:pPr>
            <w:r>
              <w:rPr>
                <w:rFonts w:ascii="Arial" w:cs="Arial" w:eastAsia="Arial" w:hAnsi="Arial"/>
                <w:sz w:val="15"/>
                <w:szCs w:val="15"/>
                <w:color w:val="auto"/>
              </w:rPr>
              <w:t>President and Chief Executive Officer, Civeo Corporation</w:t>
            </w: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9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5"/>
                <w:szCs w:val="15"/>
                <w:b w:val="1"/>
                <w:bCs w:val="1"/>
                <w:color w:val="006DB6"/>
              </w:rPr>
              <w:t xml:space="preserve">Timothy O. Wall </w:t>
            </w:r>
            <w:r>
              <w:rPr>
                <w:rFonts w:ascii="Arial" w:cs="Arial" w:eastAsia="Arial" w:hAnsi="Arial"/>
                <w:sz w:val="15"/>
                <w:szCs w:val="15"/>
                <w:b w:val="1"/>
                <w:bCs w:val="1"/>
                <w:color w:val="706F6F"/>
              </w:rPr>
              <w:t>Independent</w:t>
            </w:r>
          </w:p>
        </w:tc>
        <w:tc>
          <w:tcPr>
            <w:tcW w:w="880" w:type="dxa"/>
            <w:vAlign w:val="bottom"/>
            <w:vMerge w:val="restart"/>
          </w:tcPr>
          <w:p>
            <w:pPr>
              <w:jc w:val="right"/>
              <w:ind w:right="85"/>
              <w:spacing w:after="0"/>
              <w:rPr>
                <w:sz w:val="20"/>
                <w:szCs w:val="20"/>
                <w:color w:val="auto"/>
              </w:rPr>
            </w:pPr>
            <w:r>
              <w:rPr>
                <w:rFonts w:ascii="Arial" w:cs="Arial" w:eastAsia="Arial" w:hAnsi="Arial"/>
                <w:sz w:val="15"/>
                <w:szCs w:val="15"/>
                <w:color w:val="auto"/>
              </w:rPr>
              <w:t>59</w:t>
            </w:r>
          </w:p>
        </w:tc>
        <w:tc>
          <w:tcPr>
            <w:tcW w:w="960" w:type="dxa"/>
            <w:vAlign w:val="bottom"/>
            <w:vMerge w:val="restart"/>
          </w:tcPr>
          <w:p>
            <w:pPr>
              <w:jc w:val="center"/>
              <w:ind w:left="7"/>
              <w:spacing w:after="0"/>
              <w:rPr>
                <w:sz w:val="20"/>
                <w:szCs w:val="20"/>
                <w:color w:val="auto"/>
              </w:rPr>
            </w:pPr>
            <w:r>
              <w:rPr>
                <w:rFonts w:ascii="Arial" w:cs="Arial" w:eastAsia="Arial" w:hAnsi="Arial"/>
                <w:sz w:val="15"/>
                <w:szCs w:val="15"/>
                <w:color w:val="auto"/>
              </w:rPr>
              <w:t>2017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920" w:type="dxa"/>
            <w:vAlign w:val="bottom"/>
            <w:vMerge w:val="restart"/>
          </w:tcPr>
          <w:p>
            <w:pPr>
              <w:ind w:left="20"/>
              <w:spacing w:after="0"/>
              <w:rPr>
                <w:sz w:val="20"/>
                <w:szCs w:val="20"/>
                <w:color w:val="auto"/>
              </w:rPr>
            </w:pPr>
            <w:r>
              <w:rPr>
                <w:rFonts w:ascii="Arial" w:cs="Arial" w:eastAsia="Arial" w:hAnsi="Arial"/>
                <w:sz w:val="15"/>
                <w:szCs w:val="15"/>
                <w:color w:val="auto"/>
              </w:rPr>
              <w:t>Former President, Kitimat LNG Upstream Operations</w:t>
            </w: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bottom w:val="single" w:sz="8" w:color="auto"/>
            </w:tcBorders>
          </w:tcPr>
          <w:p>
            <w:pPr>
              <w:spacing w:after="0"/>
              <w:rPr>
                <w:sz w:val="9"/>
                <w:szCs w:val="9"/>
                <w:color w:val="auto"/>
              </w:rPr>
            </w:pPr>
          </w:p>
        </w:tc>
        <w:tc>
          <w:tcPr>
            <w:tcW w:w="610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AC</w:t>
            </w:r>
          </w:p>
        </w:tc>
        <w:tc>
          <w:tcPr>
            <w:tcW w:w="6100" w:type="dxa"/>
            <w:vAlign w:val="bottom"/>
            <w:gridSpan w:val="2"/>
          </w:tcPr>
          <w:p>
            <w:pPr>
              <w:ind w:left="100"/>
              <w:spacing w:after="0"/>
              <w:rPr>
                <w:sz w:val="20"/>
                <w:szCs w:val="20"/>
                <w:color w:val="auto"/>
              </w:rPr>
            </w:pPr>
            <w:r>
              <w:rPr>
                <w:rFonts w:ascii="Arial" w:cs="Arial" w:eastAsia="Arial" w:hAnsi="Arial"/>
                <w:sz w:val="14"/>
                <w:szCs w:val="14"/>
                <w:color w:val="auto"/>
              </w:rPr>
              <w:t>Audit Committee</w:t>
            </w:r>
          </w:p>
        </w:tc>
        <w:tc>
          <w:tcPr>
            <w:tcW w:w="8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Chair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CC</w:t>
            </w:r>
          </w:p>
        </w:tc>
        <w:tc>
          <w:tcPr>
            <w:tcW w:w="6100" w:type="dxa"/>
            <w:vAlign w:val="bottom"/>
            <w:gridSpan w:val="2"/>
          </w:tcPr>
          <w:p>
            <w:pPr>
              <w:ind w:left="100"/>
              <w:spacing w:after="0"/>
              <w:rPr>
                <w:sz w:val="20"/>
                <w:szCs w:val="20"/>
                <w:color w:val="auto"/>
              </w:rPr>
            </w:pPr>
            <w:r>
              <w:rPr>
                <w:rFonts w:ascii="Arial" w:cs="Arial" w:eastAsia="Arial" w:hAnsi="Arial"/>
                <w:sz w:val="14"/>
                <w:szCs w:val="14"/>
                <w:color w:val="auto"/>
              </w:rPr>
              <w:t>Compensation Committee</w:t>
            </w:r>
          </w:p>
        </w:tc>
        <w:tc>
          <w:tcPr>
            <w:tcW w:w="8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Member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NCGC</w:t>
            </w:r>
          </w:p>
        </w:tc>
        <w:tc>
          <w:tcPr>
            <w:tcW w:w="6100" w:type="dxa"/>
            <w:vAlign w:val="bottom"/>
            <w:gridSpan w:val="2"/>
          </w:tcPr>
          <w:p>
            <w:pPr>
              <w:ind w:left="100"/>
              <w:spacing w:after="0"/>
              <w:rPr>
                <w:sz w:val="20"/>
                <w:szCs w:val="20"/>
                <w:color w:val="auto"/>
              </w:rPr>
            </w:pPr>
            <w:r>
              <w:rPr>
                <w:rFonts w:ascii="Arial" w:cs="Arial" w:eastAsia="Arial" w:hAnsi="Arial"/>
                <w:sz w:val="14"/>
                <w:szCs w:val="14"/>
                <w:color w:val="auto"/>
              </w:rPr>
              <w:t>Nominating and Corporate Governance Committee</w:t>
            </w:r>
          </w:p>
        </w:tc>
        <w:tc>
          <w:tcPr>
            <w:tcW w:w="880" w:type="dxa"/>
            <w:vAlign w:val="bottom"/>
          </w:tcPr>
          <w:p>
            <w:pPr>
              <w:jc w:val="right"/>
              <w:ind w:right="65"/>
              <w:spacing w:after="0"/>
              <w:rPr>
                <w:sz w:val="20"/>
                <w:szCs w:val="20"/>
                <w:color w:val="auto"/>
              </w:rPr>
            </w:pPr>
            <w:r>
              <w:rPr>
                <w:rFonts w:ascii="Arial" w:cs="Arial" w:eastAsia="Arial" w:hAnsi="Arial"/>
                <w:sz w:val="14"/>
                <w:szCs w:val="14"/>
                <w:b w:val="1"/>
                <w:bCs w:val="1"/>
                <w:color w:val="auto"/>
              </w:rPr>
              <w:t>F</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Financial Expert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FIC</w:t>
            </w:r>
          </w:p>
        </w:tc>
        <w:tc>
          <w:tcPr>
            <w:tcW w:w="6100" w:type="dxa"/>
            <w:vAlign w:val="bottom"/>
            <w:gridSpan w:val="2"/>
          </w:tcPr>
          <w:p>
            <w:pPr>
              <w:ind w:left="100"/>
              <w:spacing w:after="0"/>
              <w:rPr>
                <w:sz w:val="20"/>
                <w:szCs w:val="20"/>
                <w:color w:val="auto"/>
              </w:rPr>
            </w:pPr>
            <w:r>
              <w:rPr>
                <w:rFonts w:ascii="Arial" w:cs="Arial" w:eastAsia="Arial" w:hAnsi="Arial"/>
                <w:sz w:val="14"/>
                <w:szCs w:val="14"/>
                <w:color w:val="auto"/>
              </w:rPr>
              <w:t>Finance and Investment Committee</w:t>
            </w:r>
          </w:p>
        </w:tc>
        <w:tc>
          <w:tcPr>
            <w:tcW w:w="8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color w:val="auto"/>
              </w:rPr>
              <w:t>Chair of the Board</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3"/>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-4453255</wp:posOffset>
            </wp:positionV>
            <wp:extent cx="309245" cy="309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-4347210</wp:posOffset>
            </wp:positionV>
            <wp:extent cx="97790" cy="97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-4347210</wp:posOffset>
            </wp:positionV>
            <wp:extent cx="97790" cy="97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-4347210</wp:posOffset>
            </wp:positionV>
            <wp:extent cx="97790" cy="97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-4078605</wp:posOffset>
            </wp:positionV>
            <wp:extent cx="309245" cy="309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-3973195</wp:posOffset>
            </wp:positionV>
            <wp:extent cx="97790" cy="97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-3973195</wp:posOffset>
            </wp:positionV>
            <wp:extent cx="97790" cy="97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-3468370</wp:posOffset>
            </wp:positionV>
            <wp:extent cx="309245" cy="309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1979930</wp:posOffset>
            </wp:positionH>
            <wp:positionV relativeFrom="paragraph">
              <wp:posOffset>-3524885</wp:posOffset>
            </wp:positionV>
            <wp:extent cx="121920" cy="130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-3362325</wp:posOffset>
            </wp:positionV>
            <wp:extent cx="97790" cy="97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-2995930</wp:posOffset>
            </wp:positionV>
            <wp:extent cx="309245" cy="309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-2890520</wp:posOffset>
            </wp:positionV>
            <wp:extent cx="97790" cy="97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-2890520</wp:posOffset>
            </wp:positionV>
            <wp:extent cx="97790" cy="97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-2621280</wp:posOffset>
            </wp:positionV>
            <wp:extent cx="309245" cy="309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-2515870</wp:posOffset>
            </wp:positionV>
            <wp:extent cx="97790" cy="97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-2515870</wp:posOffset>
            </wp:positionV>
            <wp:extent cx="97790" cy="9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-2100580</wp:posOffset>
            </wp:positionV>
            <wp:extent cx="309245" cy="309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-1725930</wp:posOffset>
            </wp:positionV>
            <wp:extent cx="309245" cy="309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245" cy="309245"/>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-1620520</wp:posOffset>
            </wp:positionV>
            <wp:extent cx="97790" cy="97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-1620520</wp:posOffset>
            </wp:positionV>
            <wp:extent cx="97790" cy="97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-1270000</wp:posOffset>
            </wp:positionV>
            <wp:extent cx="97790" cy="97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-1083310</wp:posOffset>
            </wp:positionV>
            <wp:extent cx="97790" cy="97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-732790</wp:posOffset>
            </wp:positionV>
            <wp:extent cx="121920" cy="130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-236220</wp:posOffset>
            </wp:positionV>
            <wp:extent cx="374650" cy="187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ind w:left="9280"/>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Board of Directors Snapshot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INDEPENDENCE</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TENURE</w:t>
            </w: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AGE</w:t>
            </w:r>
          </w:p>
        </w:tc>
        <w:tc>
          <w:tcPr>
            <w:tcW w:w="2780" w:type="dxa"/>
            <w:vAlign w:val="bottom"/>
          </w:tcPr>
          <w:p>
            <w:pPr>
              <w:ind w:left="80"/>
              <w:spacing w:after="0"/>
              <w:rPr>
                <w:sz w:val="20"/>
                <w:szCs w:val="20"/>
                <w:color w:val="auto"/>
              </w:rPr>
            </w:pPr>
            <w:r>
              <w:rPr>
                <w:rFonts w:ascii="Arial" w:cs="Arial" w:eastAsia="Arial" w:hAnsi="Arial"/>
                <w:sz w:val="15"/>
                <w:szCs w:val="15"/>
                <w:b w:val="1"/>
                <w:bCs w:val="1"/>
                <w:color w:val="auto"/>
              </w:rPr>
              <w:t>DIVERSITY</w:t>
            </w:r>
          </w:p>
        </w:tc>
        <w:tc>
          <w:tcPr>
            <w:tcW w:w="0" w:type="dxa"/>
            <w:vAlign w:val="bottom"/>
          </w:tcPr>
          <w:p>
            <w:pPr>
              <w:spacing w:after="0"/>
              <w:rPr>
                <w:sz w:val="1"/>
                <w:szCs w:val="1"/>
                <w:color w:val="auto"/>
              </w:rPr>
            </w:pPr>
          </w:p>
        </w:tc>
      </w:tr>
      <w:tr>
        <w:trPr>
          <w:trHeight w:val="643"/>
        </w:trPr>
        <w:tc>
          <w:tcPr>
            <w:tcW w:w="28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 xml:space="preserve">0-5 years: </w:t>
            </w:r>
            <w:r>
              <w:rPr>
                <w:rFonts w:ascii="Arial" w:cs="Arial" w:eastAsia="Arial" w:hAnsi="Arial"/>
                <w:sz w:val="15"/>
                <w:szCs w:val="15"/>
                <w:b w:val="1"/>
                <w:bCs w:val="1"/>
                <w:color w:val="FFC03C"/>
              </w:rPr>
              <w:t>1</w:t>
            </w: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&lt;50 years: </w:t>
            </w:r>
            <w:r>
              <w:rPr>
                <w:rFonts w:ascii="Arial" w:cs="Arial" w:eastAsia="Arial" w:hAnsi="Arial"/>
                <w:sz w:val="15"/>
                <w:szCs w:val="15"/>
                <w:b w:val="1"/>
                <w:bCs w:val="1"/>
                <w:color w:val="FFC03C"/>
              </w:rPr>
              <w:t>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8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1"/>
        </w:trPr>
        <w:tc>
          <w:tcPr>
            <w:tcW w:w="28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xml:space="preserve">5-10 years: </w:t>
            </w:r>
            <w:r>
              <w:rPr>
                <w:rFonts w:ascii="Arial" w:cs="Arial" w:eastAsia="Arial" w:hAnsi="Arial"/>
                <w:sz w:val="15"/>
                <w:szCs w:val="15"/>
                <w:b w:val="1"/>
                <w:bCs w:val="1"/>
                <w:color w:val="006DB6"/>
              </w:rPr>
              <w:t>6</w:t>
            </w: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50-60 years: </w:t>
            </w:r>
            <w:r>
              <w:rPr>
                <w:rFonts w:ascii="Arial" w:cs="Arial" w:eastAsia="Arial" w:hAnsi="Arial"/>
                <w:sz w:val="15"/>
                <w:szCs w:val="15"/>
                <w:b w:val="1"/>
                <w:bCs w:val="1"/>
                <w:color w:val="006DB6"/>
              </w:rPr>
              <w:t>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4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vMerge w:val="continue"/>
          </w:tcPr>
          <w:p>
            <w:pPr>
              <w:spacing w:after="0"/>
              <w:rPr>
                <w:sz w:val="6"/>
                <w:szCs w:val="6"/>
                <w:color w:val="auto"/>
              </w:rPr>
            </w:pPr>
          </w:p>
        </w:tc>
        <w:tc>
          <w:tcPr>
            <w:tcW w:w="2800" w:type="dxa"/>
            <w:vAlign w:val="bottom"/>
            <w:tcBorders>
              <w:right w:val="single" w:sz="8" w:color="auto"/>
            </w:tcBorders>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0"/>
        </w:trPr>
        <w:tc>
          <w:tcPr>
            <w:tcW w:w="28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FFC03C"/>
              </w:rPr>
              <w:t xml:space="preserve">6 </w:t>
            </w:r>
            <w:r>
              <w:rPr>
                <w:rFonts w:ascii="Arial" w:cs="Arial" w:eastAsia="Arial" w:hAnsi="Arial"/>
                <w:sz w:val="15"/>
                <w:szCs w:val="15"/>
                <w:color w:val="000000"/>
              </w:rPr>
              <w:t>Independent</w:t>
            </w: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61-70 years: </w:t>
            </w:r>
            <w:r>
              <w:rPr>
                <w:rFonts w:ascii="Arial" w:cs="Arial" w:eastAsia="Arial" w:hAnsi="Arial"/>
                <w:sz w:val="15"/>
                <w:szCs w:val="15"/>
                <w:b w:val="1"/>
                <w:bCs w:val="1"/>
                <w:color w:val="706F6F"/>
              </w:rPr>
              <w:t>2</w:t>
            </w:r>
          </w:p>
        </w:tc>
        <w:tc>
          <w:tcPr>
            <w:tcW w:w="2780" w:type="dxa"/>
            <w:vAlign w:val="bottom"/>
          </w:tcPr>
          <w:p>
            <w:pPr>
              <w:spacing w:after="0"/>
              <w:rPr>
                <w:sz w:val="20"/>
                <w:szCs w:val="20"/>
                <w:color w:val="auto"/>
              </w:rPr>
            </w:pPr>
            <w:r>
              <w:rPr>
                <w:rFonts w:ascii="Arial" w:cs="Arial" w:eastAsia="Arial" w:hAnsi="Arial"/>
                <w:sz w:val="15"/>
                <w:szCs w:val="15"/>
                <w:b w:val="1"/>
                <w:bCs w:val="1"/>
                <w:color w:val="FFC03C"/>
              </w:rPr>
              <w:t xml:space="preserve">1 </w:t>
            </w:r>
            <w:r>
              <w:rPr>
                <w:rFonts w:ascii="Arial" w:cs="Arial" w:eastAsia="Arial" w:hAnsi="Arial"/>
                <w:sz w:val="15"/>
                <w:szCs w:val="15"/>
                <w:color w:val="000000"/>
              </w:rPr>
              <w:t>Female</w:t>
            </w:r>
          </w:p>
        </w:tc>
        <w:tc>
          <w:tcPr>
            <w:tcW w:w="0" w:type="dxa"/>
            <w:vAlign w:val="bottom"/>
          </w:tcPr>
          <w:p>
            <w:pPr>
              <w:spacing w:after="0"/>
              <w:rPr>
                <w:sz w:val="1"/>
                <w:szCs w:val="1"/>
                <w:color w:val="auto"/>
              </w:rPr>
            </w:pPr>
          </w:p>
        </w:tc>
      </w:tr>
      <w:tr>
        <w:trPr>
          <w:trHeight w:val="641"/>
        </w:trPr>
        <w:tc>
          <w:tcPr>
            <w:tcW w:w="28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&gt;70 years: </w:t>
            </w:r>
            <w:r>
              <w:rPr>
                <w:rFonts w:ascii="Arial" w:cs="Arial" w:eastAsia="Arial" w:hAnsi="Arial"/>
                <w:sz w:val="15"/>
                <w:szCs w:val="15"/>
                <w:color w:val="ABABAB"/>
              </w:rPr>
              <w:t>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Average Director Tenure:</w:t>
            </w:r>
          </w:p>
        </w:tc>
        <w:tc>
          <w:tcPr>
            <w:tcW w:w="2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xml:space="preserve">Average Age: </w:t>
            </w:r>
            <w:r>
              <w:rPr>
                <w:rFonts w:ascii="Arial" w:cs="Arial" w:eastAsia="Arial" w:hAnsi="Arial"/>
                <w:sz w:val="15"/>
                <w:szCs w:val="15"/>
                <w:b w:val="1"/>
                <w:bCs w:val="1"/>
                <w:color w:val="706F6F"/>
              </w:rPr>
              <w:t>62.9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84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706F6F"/>
              </w:rPr>
              <w:t>5.7 years</w:t>
            </w:r>
          </w:p>
        </w:tc>
        <w:tc>
          <w:tcPr>
            <w:tcW w:w="2800" w:type="dxa"/>
            <w:vAlign w:val="bottom"/>
            <w:tcBorders>
              <w:right w:val="single" w:sz="8" w:color="auto"/>
            </w:tcBorders>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8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2840" w:type="dxa"/>
            <w:vAlign w:val="bottom"/>
          </w:tcPr>
          <w:p>
            <w:pPr>
              <w:spacing w:after="0"/>
              <w:rPr>
                <w:sz w:val="20"/>
                <w:szCs w:val="20"/>
                <w:color w:val="auto"/>
              </w:rPr>
            </w:pPr>
            <w:r>
              <w:rPr>
                <w:rFonts w:ascii="Arial" w:cs="Arial" w:eastAsia="Arial" w:hAnsi="Arial"/>
                <w:sz w:val="15"/>
                <w:szCs w:val="15"/>
                <w:b w:val="1"/>
                <w:bCs w:val="1"/>
                <w:color w:val="auto"/>
              </w:rPr>
              <w:t>SKILLS AND EXPERIENCE</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-2234565</wp:posOffset>
            </wp:positionV>
            <wp:extent cx="6553200" cy="1351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3200" cy="135128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76835</wp:posOffset>
            </wp:positionV>
            <wp:extent cx="513080" cy="513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76835</wp:posOffset>
            </wp:positionV>
            <wp:extent cx="513080" cy="513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76835</wp:posOffset>
            </wp:positionV>
            <wp:extent cx="513080" cy="513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76835</wp:posOffset>
            </wp:positionV>
            <wp:extent cx="513080" cy="51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308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1660" w:type="dxa"/>
            <w:vAlign w:val="bottom"/>
          </w:tcPr>
          <w:p>
            <w:pPr>
              <w:spacing w:after="0"/>
              <w:rPr>
                <w:sz w:val="20"/>
                <w:szCs w:val="20"/>
                <w:color w:val="auto"/>
              </w:rPr>
            </w:pPr>
            <w:r>
              <w:rPr>
                <w:rFonts w:ascii="Arial" w:cs="Arial" w:eastAsia="Arial" w:hAnsi="Arial"/>
                <w:sz w:val="15"/>
                <w:szCs w:val="15"/>
                <w:color w:val="FFC03C"/>
              </w:rPr>
              <w:t xml:space="preserve">7 </w:t>
            </w:r>
            <w:r>
              <w:rPr>
                <w:rFonts w:ascii="Arial" w:cs="Arial" w:eastAsia="Arial" w:hAnsi="Arial"/>
                <w:sz w:val="15"/>
                <w:szCs w:val="15"/>
                <w:color w:val="006DB6"/>
              </w:rPr>
              <w:t>Executive</w:t>
            </w:r>
          </w:p>
        </w:tc>
        <w:tc>
          <w:tcPr>
            <w:tcW w:w="2880" w:type="dxa"/>
            <w:vAlign w:val="bottom"/>
          </w:tcPr>
          <w:p>
            <w:pPr>
              <w:jc w:val="center"/>
              <w:ind w:left="143"/>
              <w:spacing w:after="0"/>
              <w:rPr>
                <w:sz w:val="20"/>
                <w:szCs w:val="20"/>
                <w:color w:val="auto"/>
              </w:rPr>
            </w:pPr>
            <w:r>
              <w:rPr>
                <w:rFonts w:ascii="Arial" w:cs="Arial" w:eastAsia="Arial" w:hAnsi="Arial"/>
                <w:sz w:val="15"/>
                <w:szCs w:val="15"/>
                <w:color w:val="FFC03C"/>
              </w:rPr>
              <w:t xml:space="preserve">4 </w:t>
            </w:r>
            <w:r>
              <w:rPr>
                <w:rFonts w:ascii="Arial" w:cs="Arial" w:eastAsia="Arial" w:hAnsi="Arial"/>
                <w:sz w:val="15"/>
                <w:szCs w:val="15"/>
                <w:color w:val="006DB6"/>
              </w:rPr>
              <w:t>Accommodations,</w:t>
            </w:r>
          </w:p>
        </w:tc>
        <w:tc>
          <w:tcPr>
            <w:tcW w:w="2980" w:type="dxa"/>
            <w:vAlign w:val="bottom"/>
          </w:tcPr>
          <w:p>
            <w:pPr>
              <w:jc w:val="center"/>
              <w:spacing w:after="0"/>
              <w:rPr>
                <w:sz w:val="20"/>
                <w:szCs w:val="20"/>
                <w:color w:val="auto"/>
              </w:rPr>
            </w:pPr>
            <w:r>
              <w:rPr>
                <w:rFonts w:ascii="Arial" w:cs="Arial" w:eastAsia="Arial" w:hAnsi="Arial"/>
                <w:sz w:val="15"/>
                <w:szCs w:val="15"/>
                <w:color w:val="FFC03C"/>
              </w:rPr>
              <w:t xml:space="preserve">3 </w:t>
            </w:r>
            <w:r>
              <w:rPr>
                <w:rFonts w:ascii="Arial" w:cs="Arial" w:eastAsia="Arial" w:hAnsi="Arial"/>
                <w:sz w:val="15"/>
                <w:szCs w:val="15"/>
                <w:color w:val="006DB6"/>
              </w:rPr>
              <w:t>Experience in Industry</w:t>
            </w:r>
          </w:p>
        </w:tc>
        <w:tc>
          <w:tcPr>
            <w:tcW w:w="1920" w:type="dxa"/>
            <w:vAlign w:val="bottom"/>
          </w:tcPr>
          <w:p>
            <w:pPr>
              <w:jc w:val="center"/>
              <w:ind w:left="603"/>
              <w:spacing w:after="0"/>
              <w:rPr>
                <w:sz w:val="20"/>
                <w:szCs w:val="20"/>
                <w:color w:val="auto"/>
              </w:rPr>
            </w:pPr>
            <w:r>
              <w:rPr>
                <w:rFonts w:ascii="Arial" w:cs="Arial" w:eastAsia="Arial" w:hAnsi="Arial"/>
                <w:sz w:val="15"/>
                <w:szCs w:val="15"/>
                <w:color w:val="FFC03C"/>
              </w:rPr>
              <w:t xml:space="preserve">5 </w:t>
            </w:r>
            <w:r>
              <w:rPr>
                <w:rFonts w:ascii="Arial" w:cs="Arial" w:eastAsia="Arial" w:hAnsi="Arial"/>
                <w:sz w:val="15"/>
                <w:szCs w:val="15"/>
                <w:color w:val="006DB6"/>
              </w:rPr>
              <w:t>Public Company</w:t>
            </w:r>
          </w:p>
        </w:tc>
      </w:tr>
      <w:tr>
        <w:trPr>
          <w:trHeight w:val="167"/>
        </w:trPr>
        <w:tc>
          <w:tcPr>
            <w:tcW w:w="1660" w:type="dxa"/>
            <w:vAlign w:val="bottom"/>
          </w:tcPr>
          <w:p>
            <w:pPr>
              <w:ind w:left="20"/>
              <w:spacing w:after="0" w:line="167" w:lineRule="exact"/>
              <w:rPr>
                <w:sz w:val="20"/>
                <w:szCs w:val="20"/>
                <w:color w:val="auto"/>
              </w:rPr>
            </w:pPr>
            <w:r>
              <w:rPr>
                <w:rFonts w:ascii="Arial" w:cs="Arial" w:eastAsia="Arial" w:hAnsi="Arial"/>
                <w:sz w:val="15"/>
                <w:szCs w:val="15"/>
                <w:color w:val="006DB6"/>
              </w:rPr>
              <w:t>Leadership</w:t>
            </w:r>
          </w:p>
        </w:tc>
        <w:tc>
          <w:tcPr>
            <w:tcW w:w="2880" w:type="dxa"/>
            <w:vAlign w:val="bottom"/>
          </w:tcPr>
          <w:p>
            <w:pPr>
              <w:jc w:val="center"/>
              <w:ind w:left="143"/>
              <w:spacing w:after="0" w:line="167" w:lineRule="exact"/>
              <w:rPr>
                <w:sz w:val="20"/>
                <w:szCs w:val="20"/>
                <w:color w:val="auto"/>
              </w:rPr>
            </w:pPr>
            <w:r>
              <w:rPr>
                <w:rFonts w:ascii="Arial" w:cs="Arial" w:eastAsia="Arial" w:hAnsi="Arial"/>
                <w:sz w:val="15"/>
                <w:szCs w:val="15"/>
                <w:color w:val="006DB6"/>
              </w:rPr>
              <w:t>Real Estate and</w:t>
            </w:r>
          </w:p>
        </w:tc>
        <w:tc>
          <w:tcPr>
            <w:tcW w:w="2980" w:type="dxa"/>
            <w:vAlign w:val="bottom"/>
          </w:tcPr>
          <w:p>
            <w:pPr>
              <w:jc w:val="center"/>
              <w:spacing w:after="0" w:line="167" w:lineRule="exact"/>
              <w:rPr>
                <w:sz w:val="20"/>
                <w:szCs w:val="20"/>
                <w:color w:val="auto"/>
              </w:rPr>
            </w:pPr>
            <w:r>
              <w:rPr>
                <w:rFonts w:ascii="Arial" w:cs="Arial" w:eastAsia="Arial" w:hAnsi="Arial"/>
                <w:sz w:val="15"/>
                <w:szCs w:val="15"/>
                <w:color w:val="006DB6"/>
              </w:rPr>
              <w:t>of Primary Customers</w:t>
            </w:r>
          </w:p>
        </w:tc>
        <w:tc>
          <w:tcPr>
            <w:tcW w:w="1920" w:type="dxa"/>
            <w:vAlign w:val="bottom"/>
          </w:tcPr>
          <w:p>
            <w:pPr>
              <w:jc w:val="center"/>
              <w:ind w:left="603"/>
              <w:spacing w:after="0" w:line="167" w:lineRule="exact"/>
              <w:rPr>
                <w:sz w:val="20"/>
                <w:szCs w:val="20"/>
                <w:color w:val="auto"/>
              </w:rPr>
            </w:pPr>
            <w:r>
              <w:rPr>
                <w:rFonts w:ascii="Arial" w:cs="Arial" w:eastAsia="Arial" w:hAnsi="Arial"/>
                <w:sz w:val="15"/>
                <w:szCs w:val="15"/>
                <w:color w:val="006DB6"/>
              </w:rPr>
              <w:t>CEO or C-Suite</w:t>
            </w:r>
          </w:p>
        </w:tc>
      </w:tr>
      <w:tr>
        <w:trPr>
          <w:trHeight w:val="224"/>
        </w:trPr>
        <w:tc>
          <w:tcPr>
            <w:tcW w:w="1660" w:type="dxa"/>
            <w:vAlign w:val="bottom"/>
          </w:tcPr>
          <w:p>
            <w:pPr>
              <w:spacing w:after="0"/>
              <w:rPr>
                <w:sz w:val="19"/>
                <w:szCs w:val="19"/>
                <w:color w:val="auto"/>
              </w:rPr>
            </w:pPr>
          </w:p>
        </w:tc>
        <w:tc>
          <w:tcPr>
            <w:tcW w:w="2880" w:type="dxa"/>
            <w:vAlign w:val="bottom"/>
          </w:tcPr>
          <w:p>
            <w:pPr>
              <w:jc w:val="center"/>
              <w:ind w:left="143"/>
              <w:spacing w:after="0"/>
              <w:rPr>
                <w:sz w:val="20"/>
                <w:szCs w:val="20"/>
                <w:color w:val="auto"/>
              </w:rPr>
            </w:pPr>
            <w:r>
              <w:rPr>
                <w:rFonts w:ascii="Arial" w:cs="Arial" w:eastAsia="Arial" w:hAnsi="Arial"/>
                <w:sz w:val="15"/>
                <w:szCs w:val="15"/>
                <w:color w:val="006DB6"/>
              </w:rPr>
              <w:t>Hospitality</w:t>
            </w:r>
          </w:p>
        </w:tc>
        <w:tc>
          <w:tcPr>
            <w:tcW w:w="2980" w:type="dxa"/>
            <w:vAlign w:val="bottom"/>
          </w:tcPr>
          <w:p>
            <w:pPr>
              <w:spacing w:after="0"/>
              <w:rPr>
                <w:sz w:val="19"/>
                <w:szCs w:val="19"/>
                <w:color w:val="auto"/>
              </w:rPr>
            </w:pPr>
          </w:p>
        </w:tc>
        <w:tc>
          <w:tcPr>
            <w:tcW w:w="1920" w:type="dxa"/>
            <w:vAlign w:val="bottom"/>
          </w:tcPr>
          <w:p>
            <w:pPr>
              <w:jc w:val="center"/>
              <w:ind w:left="603"/>
              <w:spacing w:after="0"/>
              <w:rPr>
                <w:sz w:val="20"/>
                <w:szCs w:val="20"/>
                <w:color w:val="auto"/>
              </w:rPr>
            </w:pPr>
            <w:r>
              <w:rPr>
                <w:rFonts w:ascii="Arial" w:cs="Arial" w:eastAsia="Arial" w:hAnsi="Arial"/>
                <w:sz w:val="15"/>
                <w:szCs w:val="15"/>
                <w:color w:val="006DB6"/>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43815</wp:posOffset>
            </wp:positionV>
            <wp:extent cx="513080" cy="513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43815</wp:posOffset>
            </wp:positionV>
            <wp:extent cx="513080" cy="513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43815</wp:posOffset>
            </wp:positionV>
            <wp:extent cx="513080" cy="513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43815</wp:posOffset>
            </wp:positionV>
            <wp:extent cx="513080" cy="513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308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tabs>
          <w:tab w:leader="none" w:pos="3720" w:val="left"/>
          <w:tab w:leader="none" w:pos="6420" w:val="left"/>
          <w:tab w:leader="none" w:pos="9200" w:val="left"/>
        </w:tabs>
        <w:rPr>
          <w:sz w:val="20"/>
          <w:szCs w:val="20"/>
          <w:color w:val="auto"/>
        </w:rPr>
      </w:pPr>
      <w:r>
        <w:rPr>
          <w:rFonts w:ascii="Arial" w:cs="Arial" w:eastAsia="Arial" w:hAnsi="Arial"/>
          <w:sz w:val="15"/>
          <w:szCs w:val="15"/>
          <w:color w:val="FFC03C"/>
        </w:rPr>
        <w:t xml:space="preserve">7 </w:t>
      </w:r>
      <w:r>
        <w:rPr>
          <w:rFonts w:ascii="Arial" w:cs="Arial" w:eastAsia="Arial" w:hAnsi="Arial"/>
          <w:sz w:val="15"/>
          <w:szCs w:val="15"/>
          <w:color w:val="006DB6"/>
        </w:rPr>
        <w:t>Financial</w:t>
      </w:r>
      <w:r>
        <w:rPr>
          <w:sz w:val="20"/>
          <w:szCs w:val="20"/>
          <w:color w:val="auto"/>
        </w:rPr>
        <w:tab/>
      </w:r>
      <w:r>
        <w:rPr>
          <w:rFonts w:ascii="Arial" w:cs="Arial" w:eastAsia="Arial" w:hAnsi="Arial"/>
          <w:sz w:val="15"/>
          <w:szCs w:val="15"/>
          <w:color w:val="FFC03C"/>
        </w:rPr>
        <w:t xml:space="preserve">6 </w:t>
      </w:r>
      <w:r>
        <w:rPr>
          <w:rFonts w:ascii="Arial" w:cs="Arial" w:eastAsia="Arial" w:hAnsi="Arial"/>
          <w:sz w:val="15"/>
          <w:szCs w:val="15"/>
          <w:color w:val="006DB6"/>
        </w:rPr>
        <w:t>International</w:t>
      </w:r>
      <w:r>
        <w:rPr>
          <w:sz w:val="20"/>
          <w:szCs w:val="20"/>
          <w:color w:val="auto"/>
        </w:rPr>
        <w:tab/>
      </w:r>
      <w:r>
        <w:rPr>
          <w:rFonts w:ascii="Arial" w:cs="Arial" w:eastAsia="Arial" w:hAnsi="Arial"/>
          <w:sz w:val="15"/>
          <w:szCs w:val="15"/>
          <w:color w:val="FFC03C"/>
        </w:rPr>
        <w:t xml:space="preserve">3 </w:t>
      </w:r>
      <w:r>
        <w:rPr>
          <w:rFonts w:ascii="Arial" w:cs="Arial" w:eastAsia="Arial" w:hAnsi="Arial"/>
          <w:sz w:val="15"/>
          <w:szCs w:val="15"/>
          <w:color w:val="006DB6"/>
        </w:rPr>
        <w:t>Health Safety &amp;</w:t>
      </w:r>
      <w:r>
        <w:rPr>
          <w:sz w:val="20"/>
          <w:szCs w:val="20"/>
          <w:color w:val="auto"/>
        </w:rPr>
        <w:tab/>
      </w:r>
      <w:r>
        <w:rPr>
          <w:rFonts w:ascii="Arial" w:cs="Arial" w:eastAsia="Arial" w:hAnsi="Arial"/>
          <w:sz w:val="15"/>
          <w:szCs w:val="15"/>
          <w:color w:val="FFC03C"/>
        </w:rPr>
        <w:t xml:space="preserve">7 </w:t>
      </w:r>
      <w:r>
        <w:rPr>
          <w:rFonts w:ascii="Arial" w:cs="Arial" w:eastAsia="Arial" w:hAnsi="Arial"/>
          <w:sz w:val="15"/>
          <w:szCs w:val="15"/>
          <w:color w:val="006DB6"/>
        </w:rPr>
        <w:t>Public Company</w:t>
      </w:r>
    </w:p>
    <w:p>
      <w:pPr>
        <w:ind w:left="3860"/>
        <w:spacing w:after="0"/>
        <w:tabs>
          <w:tab w:leader="none" w:pos="6180" w:val="left"/>
          <w:tab w:leader="none" w:pos="9140" w:val="left"/>
        </w:tabs>
        <w:rPr>
          <w:sz w:val="20"/>
          <w:szCs w:val="20"/>
          <w:color w:val="auto"/>
        </w:rPr>
      </w:pPr>
      <w:r>
        <w:rPr>
          <w:rFonts w:ascii="Arial" w:cs="Arial" w:eastAsia="Arial" w:hAnsi="Arial"/>
          <w:sz w:val="15"/>
          <w:szCs w:val="15"/>
          <w:color w:val="006DB6"/>
        </w:rPr>
        <w:t>Operations</w:t>
      </w:r>
      <w:r>
        <w:rPr>
          <w:sz w:val="20"/>
          <w:szCs w:val="20"/>
          <w:color w:val="auto"/>
        </w:rPr>
        <w:tab/>
      </w:r>
      <w:r>
        <w:rPr>
          <w:rFonts w:ascii="Arial" w:cs="Arial" w:eastAsia="Arial" w:hAnsi="Arial"/>
          <w:sz w:val="15"/>
          <w:szCs w:val="15"/>
          <w:color w:val="006DB6"/>
        </w:rPr>
        <w:t>Environment Experience</w:t>
      </w:r>
      <w:r>
        <w:rPr>
          <w:sz w:val="20"/>
          <w:szCs w:val="20"/>
          <w:color w:val="auto"/>
        </w:rPr>
        <w:tab/>
      </w:r>
      <w:r>
        <w:rPr>
          <w:rFonts w:ascii="Arial" w:cs="Arial" w:eastAsia="Arial" w:hAnsi="Arial"/>
          <w:sz w:val="15"/>
          <w:szCs w:val="15"/>
          <w:color w:val="006DB6"/>
        </w:rPr>
        <w:t>Director Experience</w:t>
      </w:r>
    </w:p>
    <w:p>
      <w:pPr>
        <w:sectPr>
          <w:pgSz w:w="11900" w:h="16838" w:orient="portrait"/>
          <w:cols w:equalWidth="0" w:num="1">
            <w:col w:w="11240"/>
          </w:cols>
          <w:pgMar w:left="320" w:top="123" w:right="33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3573780" cy="2482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3780" cy="2482850"/>
                    </a:xfrm>
                    <a:prstGeom prst="rect">
                      <a:avLst/>
                    </a:prstGeom>
                    <a:noFill/>
                  </pic:spPr>
                </pic:pic>
              </a:graphicData>
            </a:graphic>
          </wp:anchor>
        </w:drawing>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21" w:lineRule="exact"/>
        <w:rPr>
          <w:sz w:val="20"/>
          <w:szCs w:val="20"/>
          <w:color w:val="auto"/>
        </w:rPr>
      </w:pPr>
    </w:p>
    <w:p>
      <w:pPr>
        <w:ind w:left="200" w:right="2060"/>
        <w:spacing w:after="0" w:line="346" w:lineRule="auto"/>
        <w:rPr>
          <w:sz w:val="20"/>
          <w:szCs w:val="20"/>
          <w:color w:val="auto"/>
        </w:rPr>
      </w:pPr>
      <w:r>
        <w:rPr>
          <w:sz w:val="1"/>
          <w:szCs w:val="1"/>
          <w:color w:val="auto"/>
        </w:rPr>
        <w:drawing>
          <wp:inline distT="0" distB="0" distL="0" distR="0">
            <wp:extent cx="65405" cy="571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All directors are independent except the CEO </w:t>
      </w:r>
      <w:r>
        <w:rPr>
          <w:sz w:val="1"/>
          <w:szCs w:val="1"/>
          <w:color w:val="auto"/>
        </w:rPr>
        <w:drawing>
          <wp:inline distT="0" distB="0" distL="0" distR="0">
            <wp:extent cx="65405" cy="571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Separate Chair and CEO roles</w:t>
      </w:r>
    </w:p>
    <w:p>
      <w:pPr>
        <w:spacing w:after="0" w:line="1" w:lineRule="exact"/>
        <w:rPr>
          <w:sz w:val="20"/>
          <w:szCs w:val="20"/>
          <w:color w:val="auto"/>
        </w:rPr>
      </w:pPr>
    </w:p>
    <w:p>
      <w:pPr>
        <w:ind w:left="380" w:right="360" w:hanging="193"/>
        <w:spacing w:after="0"/>
        <w:rPr>
          <w:sz w:val="20"/>
          <w:szCs w:val="20"/>
          <w:color w:val="auto"/>
        </w:rPr>
      </w:pPr>
      <w:r>
        <w:rPr>
          <w:sz w:val="1"/>
          <w:szCs w:val="1"/>
          <w:color w:val="auto"/>
        </w:rPr>
        <w:drawing>
          <wp:inline distT="0" distB="0" distL="0" distR="0">
            <wp:extent cx="65405" cy="571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Highly skilled board of directors with diversity in skills, background and experience</w:t>
      </w:r>
    </w:p>
    <w:p>
      <w:pPr>
        <w:spacing w:after="0" w:line="58" w:lineRule="exact"/>
        <w:rPr>
          <w:sz w:val="20"/>
          <w:szCs w:val="20"/>
          <w:color w:val="auto"/>
        </w:rPr>
      </w:pPr>
    </w:p>
    <w:p>
      <w:pPr>
        <w:ind w:left="200"/>
        <w:spacing w:after="0"/>
        <w:rPr>
          <w:sz w:val="20"/>
          <w:szCs w:val="20"/>
          <w:color w:val="auto"/>
        </w:rPr>
      </w:pPr>
      <w:r>
        <w:rPr>
          <w:sz w:val="1"/>
          <w:szCs w:val="1"/>
          <w:color w:val="auto"/>
        </w:rPr>
        <w:drawing>
          <wp:inline distT="0" distB="0" distL="0" distR="0">
            <wp:extent cx="65405" cy="571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All board committees are comprised of independent directors</w:t>
      </w:r>
    </w:p>
    <w:p>
      <w:pPr>
        <w:spacing w:after="0" w:line="82" w:lineRule="exact"/>
        <w:rPr>
          <w:sz w:val="20"/>
          <w:szCs w:val="20"/>
          <w:color w:val="auto"/>
        </w:rPr>
      </w:pPr>
    </w:p>
    <w:p>
      <w:pPr>
        <w:ind w:left="380" w:hanging="193"/>
        <w:spacing w:after="0"/>
        <w:rPr>
          <w:sz w:val="20"/>
          <w:szCs w:val="20"/>
          <w:color w:val="auto"/>
        </w:rPr>
      </w:pPr>
      <w:r>
        <w:rPr>
          <w:sz w:val="1"/>
          <w:szCs w:val="1"/>
          <w:color w:val="auto"/>
        </w:rPr>
        <w:drawing>
          <wp:inline distT="0" distB="0" distL="0" distR="0">
            <wp:extent cx="65405" cy="571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Independent directors regularly meet in executive session with no members of management present and generally meet at each board of directors meeting</w:t>
      </w:r>
    </w:p>
    <w:p>
      <w:pPr>
        <w:spacing w:after="0" w:line="57" w:lineRule="exact"/>
        <w:rPr>
          <w:sz w:val="20"/>
          <w:szCs w:val="20"/>
          <w:color w:val="auto"/>
        </w:rPr>
      </w:pPr>
    </w:p>
    <w:p>
      <w:pPr>
        <w:ind w:left="380" w:right="140" w:hanging="193"/>
        <w:spacing w:after="0"/>
        <w:rPr>
          <w:sz w:val="20"/>
          <w:szCs w:val="20"/>
          <w:color w:val="auto"/>
        </w:rPr>
      </w:pPr>
      <w:r>
        <w:rPr>
          <w:sz w:val="1"/>
          <w:szCs w:val="1"/>
          <w:color w:val="auto"/>
        </w:rPr>
        <w:drawing>
          <wp:inline distT="0" distB="0" distL="0" distR="0">
            <wp:extent cx="65405" cy="571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Consistent and frequent director access to management and independent advisors</w:t>
      </w:r>
    </w:p>
    <w:p>
      <w:pPr>
        <w:spacing w:after="0" w:line="58" w:lineRule="exact"/>
        <w:rPr>
          <w:sz w:val="20"/>
          <w:szCs w:val="20"/>
          <w:color w:val="auto"/>
        </w:rPr>
      </w:pPr>
    </w:p>
    <w:p>
      <w:pPr>
        <w:ind w:left="200"/>
        <w:spacing w:after="0"/>
        <w:rPr>
          <w:sz w:val="20"/>
          <w:szCs w:val="20"/>
          <w:color w:val="auto"/>
        </w:rPr>
      </w:pPr>
      <w:r>
        <w:rPr>
          <w:sz w:val="1"/>
          <w:szCs w:val="1"/>
          <w:color w:val="auto"/>
        </w:rPr>
        <w:drawing>
          <wp:inline distT="0" distB="0" distL="0" distR="0">
            <wp:extent cx="65405" cy="571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Active board of director oversight of enterprise risk</w:t>
      </w:r>
    </w:p>
    <w:p>
      <w:pPr>
        <w:spacing w:after="0" w:line="82" w:lineRule="exact"/>
        <w:rPr>
          <w:sz w:val="20"/>
          <w:szCs w:val="20"/>
          <w:color w:val="auto"/>
        </w:rPr>
      </w:pPr>
    </w:p>
    <w:p>
      <w:pPr>
        <w:ind w:left="380" w:right="640" w:hanging="193"/>
        <w:spacing w:after="0"/>
        <w:rPr>
          <w:sz w:val="20"/>
          <w:szCs w:val="20"/>
          <w:color w:val="auto"/>
        </w:rPr>
      </w:pPr>
      <w:r>
        <w:rPr>
          <w:sz w:val="1"/>
          <w:szCs w:val="1"/>
          <w:color w:val="auto"/>
        </w:rPr>
        <w:drawing>
          <wp:inline distT="0" distB="0" distL="0" distR="0">
            <wp:extent cx="65405" cy="571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Annual performance self-evaluation of the board of directors, each individual director and each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-142875</wp:posOffset>
            </wp:positionV>
            <wp:extent cx="3565525" cy="2482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5525" cy="2482850"/>
                    </a:xfrm>
                    <a:prstGeom prst="rect">
                      <a:avLst/>
                    </a:prstGeom>
                    <a:noFill/>
                  </pic:spPr>
                </pic:pic>
              </a:graphicData>
            </a:graphic>
          </wp:anchor>
        </w:drawing>
      </w:r>
    </w:p>
    <w:p>
      <w:pPr>
        <w:spacing w:after="0" w:line="101" w:lineRule="exact"/>
        <w:rPr>
          <w:sz w:val="20"/>
          <w:szCs w:val="20"/>
          <w:color w:val="auto"/>
        </w:rPr>
      </w:pPr>
    </w:p>
    <w:p>
      <w:pPr>
        <w:ind w:left="200" w:right="500" w:hanging="193"/>
        <w:spacing w:after="0"/>
        <w:rPr>
          <w:sz w:val="20"/>
          <w:szCs w:val="20"/>
          <w:color w:val="auto"/>
        </w:rPr>
      </w:pPr>
      <w:r>
        <w:rPr>
          <w:sz w:val="1"/>
          <w:szCs w:val="1"/>
          <w:color w:val="auto"/>
        </w:rPr>
        <w:drawing>
          <wp:inline distT="0" distB="0" distL="0" distR="0">
            <wp:extent cx="65405" cy="57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Prohibition on hedging, pledging and trading transactions by executive officers or directors</w:t>
      </w:r>
    </w:p>
    <w:p>
      <w:pPr>
        <w:spacing w:after="0" w:line="69"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Stock ownership guidelines applicable to executive officers and directors</w:t>
      </w:r>
    </w:p>
    <w:p>
      <w:pPr>
        <w:spacing w:after="0" w:line="71" w:lineRule="exact"/>
        <w:rPr>
          <w:sz w:val="20"/>
          <w:szCs w:val="20"/>
          <w:color w:val="auto"/>
        </w:rPr>
      </w:pPr>
    </w:p>
    <w:p>
      <w:pPr>
        <w:ind w:left="200" w:right="280" w:hanging="193"/>
        <w:spacing w:after="0"/>
        <w:rPr>
          <w:sz w:val="20"/>
          <w:szCs w:val="20"/>
          <w:color w:val="auto"/>
        </w:rPr>
      </w:pPr>
      <w:r>
        <w:rPr>
          <w:sz w:val="1"/>
          <w:szCs w:val="1"/>
          <w:color w:val="auto"/>
        </w:rPr>
        <w:drawing>
          <wp:inline distT="0" distB="0" distL="0" distR="0">
            <wp:extent cx="65405" cy="571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Independent executive compensation consultant hired by and reporting to the Compensation Committee</w:t>
      </w:r>
    </w:p>
    <w:p>
      <w:pPr>
        <w:spacing w:after="0" w:line="58" w:lineRule="exact"/>
        <w:rPr>
          <w:sz w:val="20"/>
          <w:szCs w:val="20"/>
          <w:color w:val="auto"/>
        </w:rPr>
      </w:pPr>
    </w:p>
    <w:p>
      <w:pPr>
        <w:ind w:left="200" w:right="620" w:hanging="193"/>
        <w:spacing w:after="0"/>
        <w:rPr>
          <w:sz w:val="20"/>
          <w:szCs w:val="20"/>
          <w:color w:val="auto"/>
        </w:rPr>
      </w:pPr>
      <w:r>
        <w:rPr>
          <w:sz w:val="1"/>
          <w:szCs w:val="1"/>
          <w:color w:val="auto"/>
        </w:rPr>
        <w:drawing>
          <wp:inline distT="0" distB="0" distL="0" distR="0">
            <wp:extent cx="65405" cy="571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Change in control and severance benefits that are subject to “double trigger”</w:t>
      </w:r>
    </w:p>
    <w:p>
      <w:pPr>
        <w:spacing w:after="0" w:line="69"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Robust Code of Conduct and third-party hotline reporting</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Executive succession planning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Clawback policy</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Enterprise risk management program, including relevant ESG related risks</w:t>
      </w:r>
    </w:p>
    <w:p>
      <w:pPr>
        <w:spacing w:after="0" w:line="573" w:lineRule="exact"/>
        <w:rPr>
          <w:sz w:val="20"/>
          <w:szCs w:val="20"/>
          <w:color w:val="auto"/>
        </w:rPr>
      </w:pPr>
    </w:p>
    <w:p>
      <w:pPr>
        <w:sectPr>
          <w:pgSz w:w="11900" w:h="16838" w:orient="portrait"/>
          <w:cols w:equalWidth="0" w:num="2">
            <w:col w:w="5480" w:space="340"/>
            <w:col w:w="542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60" w:type="dxa"/>
            <w:vAlign w:val="bottom"/>
          </w:tcPr>
          <w:p>
            <w:pPr>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bl>
    <w:p>
      <w:pPr>
        <w:sectPr>
          <w:pgSz w:w="11900" w:h="16838" w:orient="portrait"/>
          <w:cols w:equalWidth="0" w:num="1">
            <w:col w:w="11240"/>
          </w:cols>
          <w:pgMar w:left="320" w:top="12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Corporate Responsibility at Civeo</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jc w:val="center"/>
              <w:ind w:left="163"/>
              <w:spacing w:after="0"/>
              <w:rPr>
                <w:sz w:val="20"/>
                <w:szCs w:val="20"/>
                <w:color w:val="auto"/>
              </w:rPr>
            </w:pPr>
            <w:r>
              <w:rPr>
                <w:rFonts w:ascii="Arial" w:cs="Arial" w:eastAsia="Arial" w:hAnsi="Arial"/>
                <w:sz w:val="15"/>
                <w:szCs w:val="15"/>
                <w:b w:val="1"/>
                <w:bCs w:val="1"/>
                <w:color w:val="006DB6"/>
              </w:rPr>
              <w:t>OUR PEOPLE</w:t>
            </w:r>
          </w:p>
        </w:tc>
        <w:tc>
          <w:tcPr>
            <w:tcW w:w="9480" w:type="dxa"/>
            <w:vAlign w:val="bottom"/>
            <w:vMerge w:val="restart"/>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In 2020, we reached 9% Indigenous employment in Canada despite challenging market conditions that resulted in reduced hiring in</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3"/>
                <w:szCs w:val="3"/>
                <w:color w:val="auto"/>
              </w:rPr>
            </w:pPr>
          </w:p>
        </w:tc>
        <w:tc>
          <w:tcPr>
            <w:tcW w:w="9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the region. Approximately 11% of our total new hires in Canada were of Indigenous background during 2020.</w:t>
            </w: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In 2020, we achieved 4.5% Indigenous employment in Australia.</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Since 2014, we have had a program to facilitate mentoring relationships between experienced leaders in Civeo and employees who</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are at the early stages of their careers.</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tcPr>
          <w:p>
            <w:pPr>
              <w:spacing w:after="0"/>
              <w:rPr>
                <w:sz w:val="11"/>
                <w:szCs w:val="11"/>
                <w:color w:val="auto"/>
              </w:rPr>
            </w:pPr>
          </w:p>
        </w:tc>
        <w:tc>
          <w:tcPr>
            <w:tcW w:w="9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760" w:type="dxa"/>
            <w:vAlign w:val="bottom"/>
          </w:tcPr>
          <w:p>
            <w:pPr>
              <w:jc w:val="center"/>
              <w:ind w:left="163"/>
              <w:spacing w:after="0"/>
              <w:rPr>
                <w:sz w:val="20"/>
                <w:szCs w:val="20"/>
                <w:color w:val="auto"/>
              </w:rPr>
            </w:pPr>
            <w:r>
              <w:rPr>
                <w:rFonts w:ascii="Arial" w:cs="Arial" w:eastAsia="Arial" w:hAnsi="Arial"/>
                <w:sz w:val="15"/>
                <w:szCs w:val="15"/>
                <w:b w:val="1"/>
                <w:bCs w:val="1"/>
                <w:color w:val="006DB6"/>
              </w:rPr>
              <w:t>SAFETY</w:t>
            </w:r>
          </w:p>
        </w:tc>
        <w:tc>
          <w:tcPr>
            <w:tcW w:w="9480" w:type="dxa"/>
            <w:vAlign w:val="bottom"/>
            <w:vMerge w:val="restart"/>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Our safety culture is driven by our leaders, in conjunction with active employee engagement - we are focused on "Making Zero</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3"/>
                <w:szCs w:val="3"/>
                <w:color w:val="auto"/>
              </w:rPr>
            </w:pPr>
          </w:p>
        </w:tc>
        <w:tc>
          <w:tcPr>
            <w:tcW w:w="9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Count."</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We implemented a number of initiatives to protect the health of our staff, guests and communities during the Covid-19 pandemic –</w:t>
            </w: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including health screening questionnaires, increased sanitation, takeaway food service, mandatory physical distancing, roster</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changes and work from home protocols.</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We sheltered approximately 1,500 people from Fort McMurray during the 2020 floods, without compromising any COVID-19</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480" w:type="dxa"/>
            <w:vAlign w:val="bottom"/>
          </w:tcPr>
          <w:p>
            <w:pPr>
              <w:ind w:left="440"/>
              <w:spacing w:after="0"/>
              <w:rPr>
                <w:sz w:val="20"/>
                <w:szCs w:val="20"/>
                <w:color w:val="auto"/>
              </w:rPr>
            </w:pPr>
            <w:r>
              <w:rPr>
                <w:rFonts w:ascii="Arial" w:cs="Arial" w:eastAsia="Arial" w:hAnsi="Arial"/>
                <w:sz w:val="15"/>
                <w:szCs w:val="15"/>
                <w:color w:val="auto"/>
              </w:rPr>
              <w:t>protocols.</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We responded to and safely restored operations in the Lake Charles area twice after 2020 hurricanes.</w:t>
            </w: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9480" w:type="dxa"/>
            <w:vAlign w:val="bottom"/>
          </w:tcPr>
          <w:p>
            <w:pPr>
              <w:ind w:left="26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As of December 2020, we had worked a complete year without a Lost Time Incident across all Canadian and U.S.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39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-1949450</wp:posOffset>
            </wp:positionV>
            <wp:extent cx="537210" cy="358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7210" cy="35814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-1111250</wp:posOffset>
            </wp:positionV>
            <wp:extent cx="455930" cy="349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930" cy="34988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b w:val="1"/>
          <w:bCs w:val="1"/>
          <w:color w:val="006DB6"/>
        </w:rPr>
        <w:t>COMMUNITY</w:t>
      </w:r>
    </w:p>
    <w:p>
      <w:pPr>
        <w:spacing w:after="0" w:line="25" w:lineRule="exact"/>
        <w:rPr>
          <w:sz w:val="20"/>
          <w:szCs w:val="20"/>
          <w:color w:val="auto"/>
        </w:rPr>
      </w:pPr>
    </w:p>
    <w:p>
      <w:pPr>
        <w:jc w:val="center"/>
        <w:ind w:left="400"/>
        <w:spacing w:after="0"/>
        <w:rPr>
          <w:sz w:val="20"/>
          <w:szCs w:val="20"/>
          <w:color w:val="auto"/>
        </w:rPr>
      </w:pPr>
      <w:r>
        <w:rPr>
          <w:rFonts w:ascii="Arial" w:cs="Arial" w:eastAsia="Arial" w:hAnsi="Arial"/>
          <w:sz w:val="15"/>
          <w:szCs w:val="15"/>
          <w:b w:val="1"/>
          <w:bCs w:val="1"/>
          <w:color w:val="006DB6"/>
        </w:rPr>
        <w:t>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3175</wp:posOffset>
            </wp:positionV>
            <wp:extent cx="488315" cy="341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315" cy="34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181" w:right="80" w:hanging="181"/>
        <w:spacing w:after="0" w:line="267" w:lineRule="auto"/>
        <w:tabs>
          <w:tab w:leader="none" w:pos="152" w:val="left"/>
        </w:tabs>
        <w:numPr>
          <w:ilvl w:val="0"/>
          <w:numId w:val="6"/>
        </w:numPr>
        <w:rPr>
          <w:rFonts w:ascii="Arial" w:cs="Arial" w:eastAsia="Arial" w:hAnsi="Arial"/>
          <w:sz w:val="15"/>
          <w:szCs w:val="15"/>
          <w:color w:val="006DB6"/>
        </w:rPr>
      </w:pPr>
      <w:r>
        <w:rPr>
          <w:rFonts w:ascii="Arial" w:cs="Arial" w:eastAsia="Arial" w:hAnsi="Arial"/>
          <w:sz w:val="15"/>
          <w:szCs w:val="15"/>
          <w:color w:val="auto"/>
        </w:rPr>
        <w:t>Since 2013, we have supported more than 20 schools across New South Wales, Queensland and Western Australia with our School Mates Grants. These contributions enhance learning and educational experiences for students.</w:t>
      </w:r>
    </w:p>
    <w:p>
      <w:pPr>
        <w:spacing w:after="0" w:line="39" w:lineRule="exact"/>
        <w:rPr>
          <w:rFonts w:ascii="Arial" w:cs="Arial" w:eastAsia="Arial" w:hAnsi="Arial"/>
          <w:sz w:val="15"/>
          <w:szCs w:val="15"/>
          <w:color w:val="006DB6"/>
        </w:rPr>
      </w:pPr>
    </w:p>
    <w:p>
      <w:pPr>
        <w:ind w:left="181" w:right="440" w:hanging="181"/>
        <w:spacing w:after="0" w:line="267" w:lineRule="auto"/>
        <w:tabs>
          <w:tab w:leader="none" w:pos="152" w:val="left"/>
        </w:tabs>
        <w:numPr>
          <w:ilvl w:val="0"/>
          <w:numId w:val="6"/>
        </w:numPr>
        <w:rPr>
          <w:rFonts w:ascii="Arial" w:cs="Arial" w:eastAsia="Arial" w:hAnsi="Arial"/>
          <w:sz w:val="15"/>
          <w:szCs w:val="15"/>
          <w:color w:val="006DB6"/>
        </w:rPr>
      </w:pPr>
      <w:r>
        <w:rPr>
          <w:rFonts w:ascii="Arial" w:cs="Arial" w:eastAsia="Arial" w:hAnsi="Arial"/>
          <w:sz w:val="15"/>
          <w:szCs w:val="15"/>
          <w:color w:val="auto"/>
        </w:rPr>
        <w:t>Civeo has partnered with Junior Achievement of Southeast Texas to help foster work-readiness, entrepreneurship and financial literacy skills in Houston students.</w:t>
      </w:r>
    </w:p>
    <w:p>
      <w:pPr>
        <w:spacing w:after="0" w:line="39" w:lineRule="exact"/>
        <w:rPr>
          <w:rFonts w:ascii="Arial" w:cs="Arial" w:eastAsia="Arial" w:hAnsi="Arial"/>
          <w:sz w:val="15"/>
          <w:szCs w:val="15"/>
          <w:color w:val="006DB6"/>
        </w:rPr>
      </w:pPr>
    </w:p>
    <w:p>
      <w:pPr>
        <w:ind w:left="181" w:right="80" w:hanging="181"/>
        <w:spacing w:after="0" w:line="267" w:lineRule="auto"/>
        <w:tabs>
          <w:tab w:leader="none" w:pos="152" w:val="left"/>
        </w:tabs>
        <w:numPr>
          <w:ilvl w:val="0"/>
          <w:numId w:val="6"/>
        </w:numPr>
        <w:rPr>
          <w:rFonts w:ascii="Arial" w:cs="Arial" w:eastAsia="Arial" w:hAnsi="Arial"/>
          <w:sz w:val="15"/>
          <w:szCs w:val="15"/>
          <w:color w:val="006DB6"/>
        </w:rPr>
      </w:pPr>
      <w:r>
        <w:rPr>
          <w:rFonts w:ascii="Arial" w:cs="Arial" w:eastAsia="Arial" w:hAnsi="Arial"/>
          <w:sz w:val="15"/>
          <w:szCs w:val="15"/>
          <w:color w:val="auto"/>
        </w:rPr>
        <w:t>Civeo partnered with Whitehaven Coal and local businesses in Narrabri, New South Wales, Australia to assist the town’s elderly and disabled citizens with free deliveries of groceries and essential items.</w:t>
      </w:r>
    </w:p>
    <w:p>
      <w:pPr>
        <w:spacing w:after="0" w:line="52" w:lineRule="exact"/>
        <w:rPr>
          <w:rFonts w:ascii="Arial" w:cs="Arial" w:eastAsia="Arial" w:hAnsi="Arial"/>
          <w:sz w:val="15"/>
          <w:szCs w:val="15"/>
          <w:color w:val="006DB6"/>
        </w:rPr>
      </w:pPr>
    </w:p>
    <w:p>
      <w:pPr>
        <w:ind w:left="181" w:right="140" w:hanging="181"/>
        <w:spacing w:after="0" w:line="267" w:lineRule="auto"/>
        <w:tabs>
          <w:tab w:leader="none" w:pos="152" w:val="left"/>
        </w:tabs>
        <w:numPr>
          <w:ilvl w:val="0"/>
          <w:numId w:val="6"/>
        </w:numPr>
        <w:rPr>
          <w:rFonts w:ascii="Arial" w:cs="Arial" w:eastAsia="Arial" w:hAnsi="Arial"/>
          <w:sz w:val="15"/>
          <w:szCs w:val="15"/>
          <w:color w:val="006DB6"/>
        </w:rPr>
      </w:pPr>
      <w:r>
        <w:rPr>
          <w:rFonts w:ascii="Arial" w:cs="Arial" w:eastAsia="Arial" w:hAnsi="Arial"/>
          <w:sz w:val="15"/>
          <w:szCs w:val="15"/>
          <w:color w:val="auto"/>
        </w:rPr>
        <w:t>We are working with Inclusion Alberta, a family-based non-profit federation, to provide a place to work for community members with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219075</wp:posOffset>
            </wp:positionV>
            <wp:extent cx="7139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419"/>
            <w:col w:w="9221"/>
          </w:cols>
          <w:pgMar w:left="320" w:top="226" w:right="339" w:bottom="1440" w:gutter="0" w:footer="0" w:header="0"/>
          <w:type w:val="continuous"/>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40" w:type="dxa"/>
            <w:vAlign w:val="bottom"/>
          </w:tcPr>
          <w:p>
            <w:pPr>
              <w:jc w:val="center"/>
              <w:ind w:left="83"/>
              <w:spacing w:after="0"/>
              <w:rPr>
                <w:sz w:val="20"/>
                <w:szCs w:val="20"/>
                <w:color w:val="auto"/>
              </w:rPr>
            </w:pPr>
            <w:r>
              <w:rPr>
                <w:rFonts w:ascii="Arial" w:cs="Arial" w:eastAsia="Arial" w:hAnsi="Arial"/>
                <w:sz w:val="15"/>
                <w:szCs w:val="15"/>
                <w:b w:val="1"/>
                <w:bCs w:val="1"/>
                <w:color w:val="006DB6"/>
              </w:rPr>
              <w:t>INDIGENOUS</w:t>
            </w:r>
          </w:p>
        </w:tc>
        <w:tc>
          <w:tcPr>
            <w:tcW w:w="9400" w:type="dxa"/>
            <w:vAlign w:val="bottom"/>
            <w:vMerge w:val="restart"/>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In 2020, we purchased more than C$39 million in goods and services from the Indigenous business community, representing 25% of</w:t>
            </w:r>
          </w:p>
        </w:tc>
        <w:tc>
          <w:tcPr>
            <w:tcW w:w="0" w:type="dxa"/>
            <w:vAlign w:val="bottom"/>
          </w:tcPr>
          <w:p>
            <w:pPr>
              <w:spacing w:after="0"/>
              <w:rPr>
                <w:sz w:val="1"/>
                <w:szCs w:val="1"/>
                <w:color w:val="auto"/>
              </w:rPr>
            </w:pPr>
          </w:p>
        </w:tc>
      </w:tr>
      <w:tr>
        <w:trPr>
          <w:trHeight w:val="95"/>
        </w:trPr>
        <w:tc>
          <w:tcPr>
            <w:tcW w:w="1840" w:type="dxa"/>
            <w:vAlign w:val="bottom"/>
            <w:vMerge w:val="restart"/>
          </w:tcPr>
          <w:p>
            <w:pPr>
              <w:jc w:val="center"/>
              <w:ind w:left="103"/>
              <w:spacing w:after="0"/>
              <w:rPr>
                <w:sz w:val="20"/>
                <w:szCs w:val="20"/>
                <w:color w:val="auto"/>
              </w:rPr>
            </w:pPr>
            <w:r>
              <w:rPr>
                <w:rFonts w:ascii="Arial" w:cs="Arial" w:eastAsia="Arial" w:hAnsi="Arial"/>
                <w:sz w:val="15"/>
                <w:szCs w:val="15"/>
                <w:b w:val="1"/>
                <w:bCs w:val="1"/>
                <w:color w:val="006DB6"/>
              </w:rPr>
              <w:t>ENGAGEMENT</w:t>
            </w:r>
          </w:p>
        </w:tc>
        <w:tc>
          <w:tcPr>
            <w:tcW w:w="9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9400" w:type="dxa"/>
            <w:vAlign w:val="bottom"/>
            <w:vMerge w:val="restart"/>
          </w:tcPr>
          <w:p>
            <w:pPr>
              <w:ind w:left="360"/>
              <w:spacing w:after="0"/>
              <w:rPr>
                <w:sz w:val="20"/>
                <w:szCs w:val="20"/>
                <w:color w:val="auto"/>
              </w:rPr>
            </w:pPr>
            <w:r>
              <w:rPr>
                <w:rFonts w:ascii="Arial" w:cs="Arial" w:eastAsia="Arial" w:hAnsi="Arial"/>
                <w:sz w:val="15"/>
                <w:szCs w:val="15"/>
                <w:color w:val="auto"/>
              </w:rPr>
              <w:t>our total Canadian local spending.</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9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In Australia, through our membership with Supply Nation, a non-profit organization committed to supplier diversity and Indigenous</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9400" w:type="dxa"/>
            <w:vAlign w:val="bottom"/>
          </w:tcPr>
          <w:p>
            <w:pPr>
              <w:ind w:left="360"/>
              <w:spacing w:after="0"/>
              <w:rPr>
                <w:sz w:val="20"/>
                <w:szCs w:val="20"/>
                <w:color w:val="auto"/>
              </w:rPr>
            </w:pPr>
            <w:r>
              <w:rPr>
                <w:rFonts w:ascii="Arial" w:cs="Arial" w:eastAsia="Arial" w:hAnsi="Arial"/>
                <w:sz w:val="15"/>
                <w:szCs w:val="15"/>
                <w:color w:val="auto"/>
              </w:rPr>
              <w:t>business development, we have spent approximately A$1.4 million annually with Indigenous-owned and operated companies.</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We partnered with Woollahra Group and Fortescue Metals Group in April 2020 to deliver 1,300 Covid-19 care packages to remote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9400" w:type="dxa"/>
            <w:vAlign w:val="bottom"/>
          </w:tcPr>
          <w:p>
            <w:pPr>
              <w:ind w:left="360"/>
              <w:spacing w:after="0"/>
              <w:rPr>
                <w:sz w:val="20"/>
                <w:szCs w:val="20"/>
                <w:color w:val="auto"/>
              </w:rPr>
            </w:pPr>
            <w:r>
              <w:rPr>
                <w:rFonts w:ascii="Arial" w:cs="Arial" w:eastAsia="Arial" w:hAnsi="Arial"/>
                <w:sz w:val="15"/>
                <w:szCs w:val="15"/>
                <w:color w:val="auto"/>
              </w:rPr>
              <w:t>Indigenous communities in Western Australia’s Pilbara Region.</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9400" w:type="dxa"/>
            <w:vAlign w:val="bottom"/>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We maintained Gold level certification in Canada’s Progressive Aboriginal Relations program.</w:t>
            </w:r>
          </w:p>
        </w:tc>
        <w:tc>
          <w:tcPr>
            <w:tcW w:w="0" w:type="dxa"/>
            <w:vAlign w:val="bottom"/>
          </w:tcPr>
          <w:p>
            <w:pPr>
              <w:spacing w:after="0"/>
              <w:rPr>
                <w:sz w:val="1"/>
                <w:szCs w:val="1"/>
                <w:color w:val="auto"/>
              </w:rPr>
            </w:pPr>
          </w:p>
        </w:tc>
      </w:tr>
      <w:tr>
        <w:trPr>
          <w:trHeight w:val="306"/>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Increased our Canadian Indigenous supply chain spend by 6% in 2019 versus 2018</w:t>
            </w:r>
          </w:p>
        </w:tc>
        <w:tc>
          <w:tcPr>
            <w:tcW w:w="0" w:type="dxa"/>
            <w:vAlign w:val="bottom"/>
          </w:tcPr>
          <w:p>
            <w:pPr>
              <w:spacing w:after="0"/>
              <w:rPr>
                <w:sz w:val="1"/>
                <w:szCs w:val="1"/>
                <w:color w:val="auto"/>
              </w:rPr>
            </w:pPr>
          </w:p>
        </w:tc>
      </w:tr>
      <w:tr>
        <w:trPr>
          <w:trHeight w:val="227"/>
        </w:trPr>
        <w:tc>
          <w:tcPr>
            <w:tcW w:w="1840" w:type="dxa"/>
            <w:vAlign w:val="bottom"/>
          </w:tcPr>
          <w:p>
            <w:pPr>
              <w:jc w:val="center"/>
              <w:ind w:left="83"/>
              <w:spacing w:after="0"/>
              <w:rPr>
                <w:sz w:val="20"/>
                <w:szCs w:val="20"/>
                <w:color w:val="auto"/>
              </w:rPr>
            </w:pPr>
            <w:r>
              <w:rPr>
                <w:rFonts w:ascii="Arial" w:cs="Arial" w:eastAsia="Arial" w:hAnsi="Arial"/>
                <w:sz w:val="15"/>
                <w:szCs w:val="15"/>
                <w:b w:val="1"/>
                <w:bCs w:val="1"/>
                <w:color w:val="006DB6"/>
              </w:rPr>
              <w:t>ENVIRONMENTAL</w:t>
            </w:r>
          </w:p>
        </w:tc>
        <w:tc>
          <w:tcPr>
            <w:tcW w:w="9400" w:type="dxa"/>
            <w:vAlign w:val="bottom"/>
            <w:vMerge w:val="restart"/>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At several villages in Western Australia, we have removed single use plastics from our operations, including disposable plates, cups,</w:t>
            </w:r>
          </w:p>
        </w:tc>
        <w:tc>
          <w:tcPr>
            <w:tcW w:w="0" w:type="dxa"/>
            <w:vAlign w:val="bottom"/>
          </w:tcPr>
          <w:p>
            <w:pPr>
              <w:spacing w:after="0"/>
              <w:rPr>
                <w:sz w:val="1"/>
                <w:szCs w:val="1"/>
                <w:color w:val="auto"/>
              </w:rPr>
            </w:pPr>
          </w:p>
        </w:tc>
      </w:tr>
      <w:tr>
        <w:trPr>
          <w:trHeight w:val="95"/>
        </w:trPr>
        <w:tc>
          <w:tcPr>
            <w:tcW w:w="1840" w:type="dxa"/>
            <w:vAlign w:val="bottom"/>
            <w:vMerge w:val="restart"/>
          </w:tcPr>
          <w:p>
            <w:pPr>
              <w:jc w:val="center"/>
              <w:ind w:left="83"/>
              <w:spacing w:after="0"/>
              <w:rPr>
                <w:sz w:val="20"/>
                <w:szCs w:val="20"/>
                <w:color w:val="auto"/>
              </w:rPr>
            </w:pPr>
            <w:r>
              <w:rPr>
                <w:rFonts w:ascii="Arial" w:cs="Arial" w:eastAsia="Arial" w:hAnsi="Arial"/>
                <w:sz w:val="15"/>
                <w:szCs w:val="15"/>
                <w:b w:val="1"/>
                <w:bCs w:val="1"/>
                <w:color w:val="006DB6"/>
              </w:rPr>
              <w:t>STEWARDSHIP</w:t>
            </w:r>
          </w:p>
        </w:tc>
        <w:tc>
          <w:tcPr>
            <w:tcW w:w="9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9400" w:type="dxa"/>
            <w:vAlign w:val="bottom"/>
            <w:vMerge w:val="restart"/>
          </w:tcPr>
          <w:p>
            <w:pPr>
              <w:ind w:left="360"/>
              <w:spacing w:after="0"/>
              <w:rPr>
                <w:sz w:val="20"/>
                <w:szCs w:val="20"/>
                <w:color w:val="auto"/>
              </w:rPr>
            </w:pPr>
            <w:r>
              <w:rPr>
                <w:rFonts w:ascii="Arial" w:cs="Arial" w:eastAsia="Arial" w:hAnsi="Arial"/>
                <w:sz w:val="15"/>
                <w:szCs w:val="15"/>
                <w:color w:val="auto"/>
              </w:rPr>
              <w:t>containers and straws.</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9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9400" w:type="dxa"/>
            <w:vAlign w:val="bottom"/>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Our state-of-the-art Canadian laundry facility uses approximately 35% less water than a conventional laundry facility.</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9400" w:type="dxa"/>
            <w:vAlign w:val="bottom"/>
          </w:tcPr>
          <w:p>
            <w:pPr>
              <w:ind w:left="180"/>
              <w:spacing w:after="0"/>
              <w:rPr>
                <w:sz w:val="20"/>
                <w:szCs w:val="20"/>
                <w:color w:val="auto"/>
              </w:rPr>
            </w:pPr>
            <w:r>
              <w:rPr>
                <w:rFonts w:ascii="Arial" w:cs="Arial" w:eastAsia="Arial" w:hAnsi="Arial"/>
                <w:sz w:val="15"/>
                <w:szCs w:val="15"/>
                <w:color w:val="006DB6"/>
              </w:rPr>
              <w:t xml:space="preserve">•  </w:t>
            </w:r>
            <w:r>
              <w:rPr>
                <w:rFonts w:ascii="Arial" w:cs="Arial" w:eastAsia="Arial" w:hAnsi="Arial"/>
                <w:sz w:val="15"/>
                <w:szCs w:val="15"/>
                <w:color w:val="000000"/>
              </w:rPr>
              <w:t>At Coppabella Village in Queensland, treated greywater is used as a recycled source of irrigation water for the village’s landscaping.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7139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-1591310</wp:posOffset>
            </wp:positionV>
            <wp:extent cx="488315" cy="5048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315" cy="50482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-362585</wp:posOffset>
            </wp:positionV>
            <wp:extent cx="480060" cy="464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 cy="46418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460" w:hanging="42"/>
        <w:spacing w:after="0" w:line="292" w:lineRule="auto"/>
        <w:rPr>
          <w:sz w:val="20"/>
          <w:szCs w:val="20"/>
          <w:color w:val="auto"/>
        </w:rPr>
      </w:pPr>
      <w:r>
        <w:rPr>
          <w:rFonts w:ascii="Arial" w:cs="Arial" w:eastAsia="Arial" w:hAnsi="Arial"/>
          <w:sz w:val="15"/>
          <w:szCs w:val="15"/>
          <w:b w:val="1"/>
          <w:bCs w:val="1"/>
          <w:color w:val="006DB6"/>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-27940</wp:posOffset>
            </wp:positionV>
            <wp:extent cx="480060" cy="480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1102995</wp:posOffset>
            </wp:positionV>
            <wp:extent cx="374650" cy="187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181" w:right="220" w:hanging="181"/>
        <w:spacing w:after="0" w:line="267" w:lineRule="auto"/>
        <w:tabs>
          <w:tab w:leader="none" w:pos="152" w:val="left"/>
        </w:tabs>
        <w:numPr>
          <w:ilvl w:val="0"/>
          <w:numId w:val="7"/>
        </w:numPr>
        <w:rPr>
          <w:rFonts w:ascii="Arial" w:cs="Arial" w:eastAsia="Arial" w:hAnsi="Arial"/>
          <w:sz w:val="15"/>
          <w:szCs w:val="15"/>
          <w:color w:val="006DB6"/>
        </w:rPr>
      </w:pPr>
      <w:r>
        <w:rPr>
          <w:rFonts w:ascii="Arial" w:cs="Arial" w:eastAsia="Arial" w:hAnsi="Arial"/>
          <w:sz w:val="15"/>
          <w:szCs w:val="15"/>
          <w:color w:val="auto"/>
        </w:rPr>
        <w:t>During 2020, we met with shareholders representing 69% of our fully diluted shares regarding the Company's operations, financial results and strategy.</w:t>
      </w:r>
    </w:p>
    <w:p>
      <w:pPr>
        <w:spacing w:after="0" w:line="39" w:lineRule="exact"/>
        <w:rPr>
          <w:rFonts w:ascii="Arial" w:cs="Arial" w:eastAsia="Arial" w:hAnsi="Arial"/>
          <w:sz w:val="15"/>
          <w:szCs w:val="15"/>
          <w:color w:val="006DB6"/>
        </w:rPr>
      </w:pPr>
    </w:p>
    <w:p>
      <w:pPr>
        <w:ind w:left="181" w:right="80" w:hanging="181"/>
        <w:spacing w:after="0" w:line="267" w:lineRule="auto"/>
        <w:tabs>
          <w:tab w:leader="none" w:pos="152" w:val="left"/>
        </w:tabs>
        <w:numPr>
          <w:ilvl w:val="0"/>
          <w:numId w:val="7"/>
        </w:numPr>
        <w:rPr>
          <w:rFonts w:ascii="Arial" w:cs="Arial" w:eastAsia="Arial" w:hAnsi="Arial"/>
          <w:sz w:val="15"/>
          <w:szCs w:val="15"/>
          <w:color w:val="006DB6"/>
        </w:rPr>
      </w:pPr>
      <w:r>
        <w:rPr>
          <w:rFonts w:ascii="Arial" w:cs="Arial" w:eastAsia="Arial" w:hAnsi="Arial"/>
          <w:sz w:val="15"/>
          <w:szCs w:val="15"/>
          <w:color w:val="auto"/>
        </w:rPr>
        <w:t>During 2020, we met with shareholders representing 51% of our fully diluted shares regarding executive compensation and efforts to efficiently manage the Company's balance sheet.</w:t>
      </w:r>
    </w:p>
    <w:p>
      <w:pPr>
        <w:spacing w:after="0" w:line="200" w:lineRule="exact"/>
        <w:rPr>
          <w:sz w:val="20"/>
          <w:szCs w:val="20"/>
          <w:color w:val="auto"/>
        </w:rPr>
      </w:pPr>
    </w:p>
    <w:p>
      <w:pPr>
        <w:sectPr>
          <w:pgSz w:w="11900" w:h="16838" w:orient="portrait"/>
          <w:cols w:equalWidth="0" w:num="2">
            <w:col w:w="1600" w:space="419"/>
            <w:col w:w="9221"/>
          </w:cols>
          <w:pgMar w:left="320" w:top="2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240"/>
          </w:cols>
          <w:pgMar w:left="320" w:top="226"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5"/>
          <w:szCs w:val="15"/>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690245</wp:posOffset>
            </wp:positionV>
            <wp:extent cx="7139305" cy="846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305" cy="84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PROPOSAL 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6DB6"/>
        </w:rPr>
        <w:t>Advisory Vote to Approve Executive Compensation</w:t>
      </w:r>
    </w:p>
    <w:p>
      <w:pPr>
        <w:spacing w:after="0" w:line="313" w:lineRule="exact"/>
        <w:rPr>
          <w:sz w:val="20"/>
          <w:szCs w:val="20"/>
          <w:color w:val="auto"/>
        </w:rPr>
      </w:pPr>
    </w:p>
    <w:p>
      <w:pPr>
        <w:ind w:left="20"/>
        <w:spacing w:after="0"/>
        <w:rPr>
          <w:sz w:val="20"/>
          <w:szCs w:val="20"/>
          <w:color w:val="auto"/>
        </w:rPr>
      </w:pPr>
      <w:r>
        <w:rPr>
          <w:sz w:val="1"/>
          <w:szCs w:val="1"/>
          <w:color w:val="auto"/>
        </w:rPr>
        <w:drawing>
          <wp:inline distT="0" distB="0" distL="0" distR="0">
            <wp:extent cx="89535" cy="571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9535" cy="57150"/>
                    </a:xfrm>
                    <a:prstGeom prst="rect">
                      <a:avLst/>
                    </a:prstGeom>
                    <a:noFill/>
                    <a:ln>
                      <a:noFill/>
                    </a:ln>
                  </pic:spPr>
                </pic:pic>
              </a:graphicData>
            </a:graphic>
          </wp:inline>
        </w:drawing>
      </w:r>
      <w:r>
        <w:rPr>
          <w:rFonts w:ascii="Arial" w:cs="Arial" w:eastAsia="Arial" w:hAnsi="Arial"/>
          <w:sz w:val="15"/>
          <w:szCs w:val="15"/>
          <w:color w:val="auto"/>
        </w:rPr>
        <w:t xml:space="preserve"> The board of directors recommends a vote </w:t>
      </w:r>
      <w:r>
        <w:rPr>
          <w:rFonts w:ascii="Arial" w:cs="Arial" w:eastAsia="Arial" w:hAnsi="Arial"/>
          <w:sz w:val="15"/>
          <w:szCs w:val="15"/>
          <w:b w:val="1"/>
          <w:bCs w:val="1"/>
          <w:color w:val="006DB6"/>
        </w:rPr>
        <w:t>FOR</w:t>
      </w:r>
      <w:r>
        <w:rPr>
          <w:rFonts w:ascii="Arial" w:cs="Arial" w:eastAsia="Arial" w:hAnsi="Arial"/>
          <w:sz w:val="15"/>
          <w:szCs w:val="15"/>
          <w:color w:val="auto"/>
        </w:rPr>
        <w:t xml:space="preserve"> this proposal.                                                             </w:t>
      </w:r>
      <w:r>
        <w:rPr>
          <w:sz w:val="1"/>
          <w:szCs w:val="1"/>
          <w:color w:val="auto"/>
        </w:rPr>
        <w:drawing>
          <wp:inline distT="0" distB="0" distL="0" distR="0">
            <wp:extent cx="40640" cy="4889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640" cy="48895"/>
                    </a:xfrm>
                    <a:prstGeom prst="rect">
                      <a:avLst/>
                    </a:prstGeom>
                    <a:noFill/>
                    <a:ln>
                      <a:noFill/>
                    </a:ln>
                  </pic:spPr>
                </pic:pic>
              </a:graphicData>
            </a:graphic>
          </wp:inline>
        </w:drawing>
      </w:r>
      <w:r>
        <w:rPr>
          <w:rFonts w:ascii="Arial" w:cs="Arial" w:eastAsia="Arial" w:hAnsi="Arial"/>
          <w:sz w:val="15"/>
          <w:szCs w:val="15"/>
          <w:color w:val="auto"/>
        </w:rPr>
        <w:t xml:space="preserve"> See page </w:t>
      </w:r>
      <w:r>
        <w:rPr>
          <w:rFonts w:ascii="Arial" w:cs="Arial" w:eastAsia="Arial" w:hAnsi="Arial"/>
          <w:sz w:val="15"/>
          <w:szCs w:val="15"/>
          <w:b w:val="1"/>
          <w:bCs w:val="1"/>
          <w:color w:val="FFC03C"/>
        </w:rPr>
        <w:t>30</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Compensation Program Components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This section outlines each of the components of our compensation program.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14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4540" cy="8255"/>
                    </a:xfrm>
                    <a:prstGeom prst="rect">
                      <a:avLst/>
                    </a:prstGeom>
                    <a:noFill/>
                  </pic:spPr>
                </pic:pic>
              </a:graphicData>
            </a:graphic>
          </wp:anchor>
        </w:drawing>
      </w:r>
    </w:p>
    <w:p>
      <w:pPr>
        <w:spacing w:after="0" w:line="207"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4"/>
          <w:szCs w:val="14"/>
          <w:color w:val="706F6F"/>
        </w:rPr>
        <w:t>Base</w:t>
      </w:r>
      <w:r>
        <w:rPr>
          <w:sz w:val="20"/>
          <w:szCs w:val="20"/>
          <w:color w:val="auto"/>
        </w:rPr>
        <w:tab/>
      </w:r>
      <w:r>
        <w:rPr>
          <w:rFonts w:ascii="Arial" w:cs="Arial" w:eastAsia="Arial" w:hAnsi="Arial"/>
          <w:sz w:val="14"/>
          <w:szCs w:val="14"/>
          <w:color w:val="006DB6"/>
        </w:rPr>
        <w:t>Annual Incentive Compensation</w:t>
      </w:r>
      <w:r>
        <w:rPr>
          <w:sz w:val="20"/>
          <w:szCs w:val="20"/>
          <w:color w:val="auto"/>
        </w:rPr>
        <w:tab/>
      </w:r>
      <w:r>
        <w:rPr>
          <w:rFonts w:ascii="Arial" w:cs="Arial" w:eastAsia="Arial" w:hAnsi="Arial"/>
          <w:sz w:val="13"/>
          <w:szCs w:val="13"/>
          <w:color w:val="FFC03C"/>
        </w:rPr>
        <w:t>Long-Term</w:t>
      </w:r>
    </w:p>
    <w:p>
      <w:pPr>
        <w:ind w:left="20"/>
        <w:spacing w:after="0"/>
        <w:tabs>
          <w:tab w:leader="none" w:pos="3800" w:val="left"/>
          <w:tab w:leader="none" w:pos="7600" w:val="left"/>
        </w:tabs>
        <w:rPr>
          <w:sz w:val="20"/>
          <w:szCs w:val="20"/>
          <w:color w:val="auto"/>
        </w:rPr>
      </w:pPr>
      <w:r>
        <w:rPr>
          <w:rFonts w:ascii="Arial" w:cs="Arial" w:eastAsia="Arial" w:hAnsi="Arial"/>
          <w:sz w:val="14"/>
          <w:szCs w:val="14"/>
          <w:color w:val="706F6F"/>
        </w:rPr>
        <w:t>Salary</w:t>
      </w:r>
      <w:r>
        <w:rPr>
          <w:sz w:val="20"/>
          <w:szCs w:val="20"/>
          <w:color w:val="auto"/>
        </w:rPr>
        <w:tab/>
      </w:r>
      <w:r>
        <w:rPr>
          <w:rFonts w:ascii="Arial" w:cs="Arial" w:eastAsia="Arial" w:hAnsi="Arial"/>
          <w:sz w:val="14"/>
          <w:szCs w:val="14"/>
          <w:color w:val="006DB6"/>
        </w:rPr>
        <w:t>Plan (AICP)</w:t>
      </w:r>
      <w:r>
        <w:rPr>
          <w:sz w:val="20"/>
          <w:szCs w:val="20"/>
          <w:color w:val="auto"/>
        </w:rPr>
        <w:tab/>
      </w:r>
      <w:r>
        <w:rPr>
          <w:rFonts w:ascii="Arial" w:cs="Arial" w:eastAsia="Arial" w:hAnsi="Arial"/>
          <w:sz w:val="13"/>
          <w:szCs w:val="13"/>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1145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454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47" w:lineRule="exact"/>
        <w:rPr>
          <w:sz w:val="20"/>
          <w:szCs w:val="20"/>
          <w:color w:val="auto"/>
        </w:rPr>
      </w:pPr>
    </w:p>
    <w:p>
      <w:pPr>
        <w:ind w:left="20"/>
        <w:spacing w:after="0" w:line="252" w:lineRule="auto"/>
        <w:rPr>
          <w:sz w:val="20"/>
          <w:szCs w:val="20"/>
          <w:color w:val="auto"/>
        </w:rPr>
      </w:pPr>
      <w:r>
        <w:rPr>
          <w:rFonts w:ascii="Arial" w:cs="Arial" w:eastAsia="Arial" w:hAnsi="Arial"/>
          <w:sz w:val="15"/>
          <w:szCs w:val="15"/>
          <w:color w:val="auto"/>
        </w:rPr>
        <w:t>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The key objective of Civeo’s AICP is to reward the achievement of defined annual financial and safety objectives and to incentivize employee activities that will continually improve Civeo, both on a business unit and company-wide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526415</wp:posOffset>
            </wp:positionV>
            <wp:extent cx="71145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Civeo’s LTIP, established under the Equity Participation Plan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200" w:lineRule="exact"/>
        <w:rPr>
          <w:sz w:val="20"/>
          <w:szCs w:val="20"/>
          <w:color w:val="auto"/>
        </w:rPr>
      </w:pPr>
    </w:p>
    <w:p>
      <w:pPr>
        <w:sectPr>
          <w:pgSz w:w="11900" w:h="16838" w:orient="portrait"/>
          <w:cols w:equalWidth="0" w:num="3">
            <w:col w:w="3480" w:space="340"/>
            <w:col w:w="3560" w:space="240"/>
            <w:col w:w="3620"/>
          </w:cols>
          <w:pgMar w:left="320" w:top="123"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Changes to Executive Compensation in 2020 and 2021</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In light of the market environment in early 2020, including the near term outlook for oil and gas activity, Mr. Dodson volunteered for a 20% interim annualized salary reduction to $600,000, with a corresponding reduction to his potential bonus under the Company's Annual Incentive Compensation Plan (“AICP”) for 2020, effective as of April 2, 2020. In addition, Mr. Schoening and Ms. Stone both agreed to reduce their base salaries from April 2, 2020 through September 30, 2020 by 10%, with a corresponding decrease to their potential bonuses under the AICP. Mr. Schoening and Ms. Stone both received increases to their base salaries on October 1, 2020 to return to the base salary in place prior to the reduction. No reductions to Mr. McCann’s salary or target AICP were made in 2020.</w:t>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Previously, we have granted performance-based awards to our named executive officers ("NEO"). However, in 2020, given the number of shares available under the EPP, the Company's stock price at the time and feedback from the Company’s largest investors regarding potential dilution, the Compensation Committee determined that it was in the best interest of Civeo's shareholders not to issue share awards to NEOs or other employees. NEOs received a cash-based retainer in lieu of a performance award. The award, which will be paid in cash, vests in February 2023. If performance shares had been granted in 2020, the current economic value of those performance shares, as of March 24, 2021, would be approximately 166% of the cash retainer value at target performance without considering any outperformance by the Company under the relative total shareholder return (“TSR”) and financial metrics of contemplated 2020 performance share grants. We have returned to a more traditional performance-based awards for 2021.</w:t>
      </w:r>
    </w:p>
    <w:p>
      <w:pPr>
        <w:spacing w:after="0" w:line="91" w:lineRule="exact"/>
        <w:rPr>
          <w:sz w:val="20"/>
          <w:szCs w:val="20"/>
          <w:color w:val="auto"/>
        </w:rPr>
      </w:pPr>
    </w:p>
    <w:p>
      <w:pPr>
        <w:ind w:right="300"/>
        <w:spacing w:after="0" w:line="253" w:lineRule="auto"/>
        <w:rPr>
          <w:sz w:val="20"/>
          <w:szCs w:val="20"/>
          <w:color w:val="auto"/>
        </w:rPr>
      </w:pPr>
      <w:r>
        <w:rPr>
          <w:rFonts w:ascii="Arial" w:cs="Arial" w:eastAsia="Arial" w:hAnsi="Arial"/>
          <w:sz w:val="15"/>
          <w:szCs w:val="15"/>
          <w:color w:val="auto"/>
        </w:rPr>
        <w:t>Based in part on the feedback from our shareholder engagement efforts, in 2021, the Company altered its performance goals utilized under the Company’s AICP. Historically, the financial metric for AICP has been EBITDA. The Company continues to believe that EBITDA is an appropriate financial metric for Civeo as it is a commonly used financial measure for valuation and benchmarking in the oilfield services industry and it is closely correlated with cash flow from operations. For 2021, the Company will also use free cash flow as the financial metric under the AICP, given the Company’s current focus on generating cash flow and reducing leverage. The weighting for the CEO will be changed to 80% free cash flow and 20% safety. The performance goals for the Company’s other NEOs will also be similarly revised to include a cash flow metric.</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Furthermore, beginning in 2021, for any future equity grants, the Compensation Committee has committed to cap all future performance shares at 100% payout (Target) if Civeo's TSR over the performance period is negative, irrespective of relative performance. Also, the Compensation Committee has committed that, beginning in 2021, all future performance share grants will require relative TSR at the 55th percentile to achieve a target payout. In previous performance share grants, relative TSR at the 50th percentile was required for target payout. Finally, in addition to requiring executives to maintain minimum share ownership levels, the Compensation Committee has also adopted a holding period requirement subsequent to vesting of Civeo shares</w:t>
      </w:r>
    </w:p>
    <w:p>
      <w:pPr>
        <w:spacing w:after="0" w:line="31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60" w:type="dxa"/>
            <w:vAlign w:val="bottom"/>
          </w:tcPr>
          <w:p>
            <w:pPr>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bl>
    <w:p>
      <w:pPr>
        <w:sectPr>
          <w:pgSz w:w="11900" w:h="16838" w:orient="portrait"/>
          <w:cols w:equalWidth="0" w:num="1">
            <w:col w:w="11240"/>
          </w:cols>
          <w:pgMar w:left="320" w:top="12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color w:val="006DB6"/>
        </w:rPr>
        <w:t>Proxy Statement Summary</w:t>
      </w:r>
    </w:p>
    <w:p>
      <w:pPr>
        <w:spacing w:after="0" w:line="200" w:lineRule="exact"/>
        <w:rPr>
          <w:sz w:val="20"/>
          <w:szCs w:val="20"/>
          <w:color w:val="auto"/>
        </w:rPr>
      </w:pPr>
    </w:p>
    <w:p>
      <w:pPr>
        <w:spacing w:after="0" w:line="363" w:lineRule="exact"/>
        <w:rPr>
          <w:sz w:val="20"/>
          <w:szCs w:val="20"/>
          <w:color w:val="auto"/>
        </w:rPr>
      </w:pPr>
    </w:p>
    <w:p>
      <w:pPr>
        <w:ind w:right="260"/>
        <w:spacing w:after="0" w:line="267" w:lineRule="auto"/>
        <w:rPr>
          <w:sz w:val="20"/>
          <w:szCs w:val="20"/>
          <w:color w:val="auto"/>
        </w:rPr>
      </w:pPr>
      <w:r>
        <w:rPr>
          <w:rFonts w:ascii="Arial" w:cs="Arial" w:eastAsia="Arial" w:hAnsi="Arial"/>
          <w:sz w:val="15"/>
          <w:szCs w:val="15"/>
          <w:color w:val="auto"/>
        </w:rPr>
        <w:t>granted as long-term compensation for NEOs. NEOs must hold at least 50% of the net vested Civeo shares (after reduction for tax withholding) for twelve months subsequent to the date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39305" cy="8464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305" cy="8464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PROPOSAL 3</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6DB6"/>
        </w:rPr>
        <w:t>Ratification of Ernst &amp; Young LLP as Civeo’s Independent Registered Public Accounting Firm</w:t>
      </w:r>
    </w:p>
    <w:p>
      <w:pPr>
        <w:spacing w:after="0" w:line="313" w:lineRule="exact"/>
        <w:rPr>
          <w:sz w:val="20"/>
          <w:szCs w:val="20"/>
          <w:color w:val="auto"/>
        </w:rPr>
      </w:pPr>
    </w:p>
    <w:p>
      <w:pPr>
        <w:ind w:left="20"/>
        <w:spacing w:after="0"/>
        <w:rPr>
          <w:sz w:val="20"/>
          <w:szCs w:val="20"/>
          <w:color w:val="auto"/>
        </w:rPr>
      </w:pPr>
      <w:r>
        <w:rPr>
          <w:sz w:val="1"/>
          <w:szCs w:val="1"/>
          <w:color w:val="auto"/>
        </w:rPr>
        <w:drawing>
          <wp:inline distT="0" distB="0" distL="0" distR="0">
            <wp:extent cx="89535" cy="571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9535" cy="57150"/>
                    </a:xfrm>
                    <a:prstGeom prst="rect">
                      <a:avLst/>
                    </a:prstGeom>
                    <a:noFill/>
                    <a:ln>
                      <a:noFill/>
                    </a:ln>
                  </pic:spPr>
                </pic:pic>
              </a:graphicData>
            </a:graphic>
          </wp:inline>
        </w:drawing>
      </w:r>
      <w:r>
        <w:rPr>
          <w:rFonts w:ascii="Arial" w:cs="Arial" w:eastAsia="Arial" w:hAnsi="Arial"/>
          <w:sz w:val="15"/>
          <w:szCs w:val="15"/>
          <w:color w:val="auto"/>
        </w:rPr>
        <w:t xml:space="preserve"> The board of directors recommends a vote </w:t>
      </w:r>
      <w:r>
        <w:rPr>
          <w:rFonts w:ascii="Arial" w:cs="Arial" w:eastAsia="Arial" w:hAnsi="Arial"/>
          <w:sz w:val="15"/>
          <w:szCs w:val="15"/>
          <w:b w:val="1"/>
          <w:bCs w:val="1"/>
          <w:color w:val="006DB6"/>
        </w:rPr>
        <w:t>FOR</w:t>
      </w:r>
      <w:r>
        <w:rPr>
          <w:rFonts w:ascii="Arial" w:cs="Arial" w:eastAsia="Arial" w:hAnsi="Arial"/>
          <w:sz w:val="15"/>
          <w:szCs w:val="15"/>
          <w:color w:val="auto"/>
        </w:rPr>
        <w:t xml:space="preserve"> this proposal.                                                             </w:t>
      </w:r>
      <w:r>
        <w:rPr>
          <w:sz w:val="1"/>
          <w:szCs w:val="1"/>
          <w:color w:val="auto"/>
        </w:rPr>
        <w:drawing>
          <wp:inline distT="0" distB="0" distL="0" distR="0">
            <wp:extent cx="40640" cy="4889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640" cy="48895"/>
                    </a:xfrm>
                    <a:prstGeom prst="rect">
                      <a:avLst/>
                    </a:prstGeom>
                    <a:noFill/>
                    <a:ln>
                      <a:noFill/>
                    </a:ln>
                  </pic:spPr>
                </pic:pic>
              </a:graphicData>
            </a:graphic>
          </wp:inline>
        </w:drawing>
      </w:r>
      <w:r>
        <w:rPr>
          <w:rFonts w:ascii="Arial" w:cs="Arial" w:eastAsia="Arial" w:hAnsi="Arial"/>
          <w:sz w:val="15"/>
          <w:szCs w:val="15"/>
          <w:color w:val="auto"/>
        </w:rPr>
        <w:t xml:space="preserve"> See page </w:t>
      </w:r>
      <w:r>
        <w:rPr>
          <w:rFonts w:ascii="Arial" w:cs="Arial" w:eastAsia="Arial" w:hAnsi="Arial"/>
          <w:sz w:val="15"/>
          <w:szCs w:val="15"/>
          <w:b w:val="1"/>
          <w:bCs w:val="1"/>
          <w:color w:val="FFC03C"/>
        </w:rPr>
        <w:t>55</w:t>
      </w:r>
    </w:p>
    <w:p>
      <w:pPr>
        <w:spacing w:after="0" w:line="200" w:lineRule="exact"/>
        <w:rPr>
          <w:sz w:val="20"/>
          <w:szCs w:val="20"/>
          <w:color w:val="auto"/>
        </w:rPr>
      </w:pPr>
    </w:p>
    <w:p>
      <w:pPr>
        <w:spacing w:after="0" w:line="338"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The Audit Committee of our board of directors has determined that the accounting firm of E&amp;Y is independent from the Company and once again selected E&amp;Y as the Company’s independent auditors for the year ending December 31, 2021. E&amp;Y has conducted the examination of the Company’s financial statements since the year ended December 31, 2010.</w:t>
      </w:r>
    </w:p>
    <w:p>
      <w:pPr>
        <w:spacing w:after="0" w:line="25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Independent Registered Public Accounting Firm’s Fees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aggregate fees billed by and paid to Ernst &amp; Young ("E&amp;Y") for 2020 and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9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2020</w:t>
            </w:r>
          </w:p>
        </w:tc>
        <w:tc>
          <w:tcPr>
            <w:tcW w:w="660" w:type="dxa"/>
            <w:vAlign w:val="bottom"/>
          </w:tcPr>
          <w:p>
            <w:pPr>
              <w:jc w:val="right"/>
              <w:spacing w:after="0"/>
              <w:rPr>
                <w:sz w:val="20"/>
                <w:szCs w:val="20"/>
                <w:color w:val="auto"/>
              </w:rPr>
            </w:pPr>
            <w:r>
              <w:rPr>
                <w:rFonts w:ascii="Arial" w:cs="Arial" w:eastAsia="Arial" w:hAnsi="Arial"/>
                <w:sz w:val="13"/>
                <w:szCs w:val="13"/>
                <w:color w:val="auto"/>
              </w:rPr>
              <w:t>2019</w:t>
            </w:r>
          </w:p>
        </w:tc>
      </w:tr>
      <w:tr>
        <w:trPr>
          <w:trHeight w:val="154"/>
        </w:trPr>
        <w:tc>
          <w:tcPr>
            <w:tcW w:w="99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2"/>
        </w:trPr>
        <w:tc>
          <w:tcPr>
            <w:tcW w:w="9920" w:type="dxa"/>
            <w:vAlign w:val="bottom"/>
            <w:tcBorders>
              <w:bottom w:val="single" w:sz="8" w:color="006DB6"/>
            </w:tcBorders>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r>
      <w:tr>
        <w:trPr>
          <w:trHeight w:val="224"/>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Audit Fees</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1,660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1,772</w:t>
            </w:r>
          </w:p>
        </w:tc>
      </w:tr>
      <w:tr>
        <w:trPr>
          <w:trHeight w:val="224"/>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Audit-Related Fees</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Tax Fees</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 Other Fees</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224"/>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b w:val="1"/>
                <w:bCs w:val="1"/>
                <w:color w:val="auto"/>
              </w:rPr>
              <w:t>1,665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139305" cy="1050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305"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PROPOSAL 4</w:t>
      </w:r>
    </w:p>
    <w:p>
      <w:pPr>
        <w:spacing w:after="0" w:line="33" w:lineRule="exact"/>
        <w:rPr>
          <w:sz w:val="20"/>
          <w:szCs w:val="20"/>
          <w:color w:val="auto"/>
        </w:rPr>
      </w:pPr>
    </w:p>
    <w:p>
      <w:pPr>
        <w:ind w:left="20" w:right="460"/>
        <w:spacing w:after="0" w:line="315" w:lineRule="auto"/>
        <w:rPr>
          <w:sz w:val="20"/>
          <w:szCs w:val="20"/>
          <w:color w:val="auto"/>
        </w:rPr>
      </w:pPr>
      <w:r>
        <w:rPr>
          <w:rFonts w:ascii="Arial" w:cs="Arial" w:eastAsia="Arial" w:hAnsi="Arial"/>
          <w:sz w:val="24"/>
          <w:szCs w:val="24"/>
          <w:b w:val="1"/>
          <w:bCs w:val="1"/>
          <w:color w:val="006DB6"/>
        </w:rPr>
        <w:t>Advisory Vote on the Frequency of Future Advisory Votes to Approve Named Executive Officer Compensation</w:t>
      </w:r>
    </w:p>
    <w:p>
      <w:pPr>
        <w:spacing w:after="0" w:line="185" w:lineRule="exact"/>
        <w:rPr>
          <w:sz w:val="20"/>
          <w:szCs w:val="20"/>
          <w:color w:val="auto"/>
        </w:rPr>
      </w:pPr>
    </w:p>
    <w:p>
      <w:pPr>
        <w:ind w:left="20"/>
        <w:spacing w:after="0"/>
        <w:rPr>
          <w:sz w:val="20"/>
          <w:szCs w:val="20"/>
          <w:color w:val="auto"/>
        </w:rPr>
      </w:pPr>
      <w:r>
        <w:rPr>
          <w:sz w:val="1"/>
          <w:szCs w:val="1"/>
          <w:color w:val="auto"/>
        </w:rPr>
        <w:drawing>
          <wp:inline distT="0" distB="0" distL="0" distR="0">
            <wp:extent cx="89535" cy="571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9535" cy="57150"/>
                    </a:xfrm>
                    <a:prstGeom prst="rect">
                      <a:avLst/>
                    </a:prstGeom>
                    <a:noFill/>
                    <a:ln>
                      <a:noFill/>
                    </a:ln>
                  </pic:spPr>
                </pic:pic>
              </a:graphicData>
            </a:graphic>
          </wp:inline>
        </w:drawing>
      </w:r>
      <w:r>
        <w:rPr>
          <w:rFonts w:ascii="Arial" w:cs="Arial" w:eastAsia="Arial" w:hAnsi="Arial"/>
          <w:sz w:val="15"/>
          <w:szCs w:val="15"/>
          <w:color w:val="auto"/>
        </w:rPr>
        <w:t xml:space="preserve"> The board of directors recommends a vote of </w:t>
      </w:r>
      <w:r>
        <w:rPr>
          <w:rFonts w:ascii="Arial" w:cs="Arial" w:eastAsia="Arial" w:hAnsi="Arial"/>
          <w:sz w:val="15"/>
          <w:szCs w:val="15"/>
          <w:b w:val="1"/>
          <w:bCs w:val="1"/>
          <w:color w:val="006DB6"/>
        </w:rPr>
        <w:t>ONE YEAR</w:t>
      </w:r>
      <w:r>
        <w:rPr>
          <w:rFonts w:ascii="Arial" w:cs="Arial" w:eastAsia="Arial" w:hAnsi="Arial"/>
          <w:sz w:val="15"/>
          <w:szCs w:val="15"/>
          <w:color w:val="auto"/>
        </w:rPr>
        <w:t xml:space="preserve"> for this proposal.                                                   </w:t>
      </w:r>
      <w:r>
        <w:rPr>
          <w:sz w:val="1"/>
          <w:szCs w:val="1"/>
          <w:color w:val="auto"/>
        </w:rPr>
        <w:drawing>
          <wp:inline distT="0" distB="0" distL="0" distR="0">
            <wp:extent cx="40640" cy="488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40" cy="48895"/>
                    </a:xfrm>
                    <a:prstGeom prst="rect">
                      <a:avLst/>
                    </a:prstGeom>
                    <a:noFill/>
                    <a:ln>
                      <a:noFill/>
                    </a:ln>
                  </pic:spPr>
                </pic:pic>
              </a:graphicData>
            </a:graphic>
          </wp:inline>
        </w:drawing>
      </w:r>
      <w:r>
        <w:rPr>
          <w:rFonts w:ascii="Arial" w:cs="Arial" w:eastAsia="Arial" w:hAnsi="Arial"/>
          <w:sz w:val="15"/>
          <w:szCs w:val="15"/>
          <w:color w:val="auto"/>
        </w:rPr>
        <w:t xml:space="preserve"> See page </w:t>
      </w:r>
      <w:r>
        <w:rPr>
          <w:rFonts w:ascii="Arial" w:cs="Arial" w:eastAsia="Arial" w:hAnsi="Arial"/>
          <w:sz w:val="15"/>
          <w:szCs w:val="15"/>
          <w:b w:val="1"/>
          <w:bCs w:val="1"/>
          <w:color w:val="FFC03C"/>
        </w:rPr>
        <w:t>58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480"/>
        <w:spacing w:after="0" w:line="267" w:lineRule="auto"/>
        <w:rPr>
          <w:sz w:val="20"/>
          <w:szCs w:val="20"/>
          <w:color w:val="auto"/>
        </w:rPr>
      </w:pPr>
      <w:r>
        <w:rPr>
          <w:rFonts w:ascii="Arial" w:cs="Arial" w:eastAsia="Arial" w:hAnsi="Arial"/>
          <w:sz w:val="15"/>
          <w:szCs w:val="15"/>
          <w:color w:val="auto"/>
        </w:rPr>
        <w:t>This proposal, commonly known as a “say-when-on-pay” proposal, provides shareholders with the opportunity to vote, on a non-binding advisory basis, on the frequency with which we should conduct the say-on-pay vote. You are given the option of selecting a frequency of every one, two or three years, or abstaining.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365760</wp:posOffset>
            </wp:positionV>
            <wp:extent cx="374650" cy="187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43"/>
          <w:szCs w:val="43"/>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7139305" cy="455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305" cy="45593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6DB6"/>
        </w:rPr>
        <w:t>PROPOSAL 1</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006DB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39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3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Two directors have been nominated for election at the annual general meeting to serve as Class I members of Civeo’s board of directors. Based on the recommendation of our Nominating and Corporate Governance Committee, Civeo’s board of directors has nominated C. Ronald Blankenship and Charles Szalkowski for election to the two expiring Class I positions on the board of directors currently held by them, to hold office for three-year terms expiring at the annual general meeting of shareholders in 2024,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C. Ronald Blankenship and Charles Szalkowski are “independent,” as that term is defined by the applicable New York Stock Exchange ("NYSE") listing standards. See “Board of Directors Structure—Director Independence” for a discussion of director independence determinations. See “Director Biographies” for a brief biography of all directors, including the director nominees.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139305" cy="52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305" cy="520700"/>
                    </a:xfrm>
                    <a:prstGeom prst="rect">
                      <a:avLst/>
                    </a:prstGeom>
                    <a:noFill/>
                  </pic:spPr>
                </pic:pic>
              </a:graphicData>
            </a:graphic>
          </wp:anchor>
        </w:drawing>
      </w:r>
    </w:p>
    <w:p>
      <w:pPr>
        <w:spacing w:after="0" w:line="306" w:lineRule="exact"/>
        <w:rPr>
          <w:sz w:val="20"/>
          <w:szCs w:val="20"/>
          <w:color w:val="auto"/>
        </w:rPr>
      </w:pPr>
    </w:p>
    <w:p>
      <w:pPr>
        <w:ind w:left="140" w:right="180"/>
        <w:spacing w:after="0" w:line="292" w:lineRule="auto"/>
        <w:rPr>
          <w:sz w:val="20"/>
          <w:szCs w:val="20"/>
          <w:color w:val="auto"/>
        </w:rPr>
      </w:pPr>
      <w:r>
        <w:rPr>
          <w:rFonts w:ascii="Arial" w:cs="Arial" w:eastAsia="Arial" w:hAnsi="Arial"/>
          <w:sz w:val="15"/>
          <w:szCs w:val="15"/>
          <w:color w:val="auto"/>
        </w:rPr>
        <w:t>Civeo’s board of directors recommends that you vote “</w:t>
      </w:r>
      <w:r>
        <w:rPr>
          <w:rFonts w:ascii="Arial" w:cs="Arial" w:eastAsia="Arial" w:hAnsi="Arial"/>
          <w:sz w:val="15"/>
          <w:szCs w:val="15"/>
          <w:b w:val="1"/>
          <w:bCs w:val="1"/>
          <w:color w:val="006DB6"/>
        </w:rPr>
        <w:t>FOR</w:t>
      </w:r>
      <w:r>
        <w:rPr>
          <w:rFonts w:ascii="Arial" w:cs="Arial" w:eastAsia="Arial" w:hAnsi="Arial"/>
          <w:sz w:val="15"/>
          <w:szCs w:val="15"/>
          <w:color w:val="auto"/>
        </w:rPr>
        <w:t>”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Board of Directors—Skills and Experience</w:t>
      </w:r>
    </w:p>
    <w:p>
      <w:pPr>
        <w:spacing w:after="0" w:line="281"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Qualifications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When identifying our directors appointed to our board of directors, the following are considered:</w:t>
      </w:r>
    </w:p>
    <w:p>
      <w:pPr>
        <w:spacing w:after="0" w:line="110" w:lineRule="exact"/>
        <w:rPr>
          <w:sz w:val="20"/>
          <w:szCs w:val="20"/>
          <w:color w:val="auto"/>
        </w:rPr>
      </w:pPr>
    </w:p>
    <w:p>
      <w:pPr>
        <w:ind w:left="160" w:hanging="157"/>
        <w:spacing w:after="0"/>
        <w:tabs>
          <w:tab w:leader="none" w:pos="160" w:val="left"/>
        </w:tabs>
        <w:numPr>
          <w:ilvl w:val="0"/>
          <w:numId w:val="8"/>
        </w:numPr>
        <w:rPr>
          <w:rFonts w:ascii="Arial" w:cs="Arial" w:eastAsia="Arial" w:hAnsi="Arial"/>
          <w:sz w:val="15"/>
          <w:szCs w:val="15"/>
          <w:color w:val="006DB6"/>
        </w:rPr>
      </w:pPr>
      <w:r>
        <w:rPr>
          <w:rFonts w:ascii="Arial" w:cs="Arial" w:eastAsia="Arial" w:hAnsi="Arial"/>
          <w:sz w:val="15"/>
          <w:szCs w:val="15"/>
          <w:color w:val="auto"/>
        </w:rPr>
        <w:t>the person’s reputation and integrity;</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8"/>
        </w:numPr>
        <w:rPr>
          <w:rFonts w:ascii="Arial" w:cs="Arial" w:eastAsia="Arial" w:hAnsi="Arial"/>
          <w:sz w:val="15"/>
          <w:szCs w:val="15"/>
          <w:color w:val="006DB6"/>
        </w:rPr>
      </w:pPr>
      <w:r>
        <w:rPr>
          <w:rFonts w:ascii="Arial" w:cs="Arial" w:eastAsia="Arial" w:hAnsi="Arial"/>
          <w:sz w:val="15"/>
          <w:szCs w:val="15"/>
          <w:color w:val="auto"/>
        </w:rPr>
        <w:t>the person’s qualifications as an independent, disinterested, non-employee or outside director;</w:t>
      </w:r>
    </w:p>
    <w:p>
      <w:pPr>
        <w:spacing w:after="0" w:line="71" w:lineRule="exact"/>
        <w:rPr>
          <w:rFonts w:ascii="Arial" w:cs="Arial" w:eastAsia="Arial" w:hAnsi="Arial"/>
          <w:sz w:val="15"/>
          <w:szCs w:val="15"/>
          <w:color w:val="006DB6"/>
        </w:rPr>
      </w:pPr>
    </w:p>
    <w:p>
      <w:pPr>
        <w:ind w:left="180" w:right="400" w:hanging="177"/>
        <w:spacing w:after="0" w:line="267" w:lineRule="auto"/>
        <w:tabs>
          <w:tab w:leader="none" w:pos="152" w:val="left"/>
        </w:tabs>
        <w:numPr>
          <w:ilvl w:val="0"/>
          <w:numId w:val="8"/>
        </w:numPr>
        <w:rPr>
          <w:rFonts w:ascii="Arial" w:cs="Arial" w:eastAsia="Arial" w:hAnsi="Arial"/>
          <w:sz w:val="15"/>
          <w:szCs w:val="15"/>
          <w:color w:val="006DB6"/>
        </w:rPr>
      </w:pPr>
      <w:r>
        <w:rPr>
          <w:rFonts w:ascii="Arial" w:cs="Arial" w:eastAsia="Arial" w:hAnsi="Arial"/>
          <w:sz w:val="15"/>
          <w:szCs w:val="15"/>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52" w:lineRule="exact"/>
        <w:rPr>
          <w:rFonts w:ascii="Arial" w:cs="Arial" w:eastAsia="Arial" w:hAnsi="Arial"/>
          <w:sz w:val="15"/>
          <w:szCs w:val="15"/>
          <w:color w:val="006DB6"/>
        </w:rPr>
      </w:pPr>
    </w:p>
    <w:p>
      <w:pPr>
        <w:ind w:left="160" w:hanging="157"/>
        <w:spacing w:after="0"/>
        <w:tabs>
          <w:tab w:leader="none" w:pos="160" w:val="left"/>
        </w:tabs>
        <w:numPr>
          <w:ilvl w:val="0"/>
          <w:numId w:val="8"/>
        </w:numPr>
        <w:rPr>
          <w:rFonts w:ascii="Arial" w:cs="Arial" w:eastAsia="Arial" w:hAnsi="Arial"/>
          <w:sz w:val="15"/>
          <w:szCs w:val="15"/>
          <w:color w:val="006DB6"/>
        </w:rPr>
      </w:pPr>
      <w:r>
        <w:rPr>
          <w:rFonts w:ascii="Arial" w:cs="Arial" w:eastAsia="Arial" w:hAnsi="Arial"/>
          <w:sz w:val="15"/>
          <w:szCs w:val="15"/>
          <w:color w:val="auto"/>
        </w:rPr>
        <w:t>the number of other public companies for which the person serves as a director and the availability of the person’s time and commitment to Civeo; and</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8"/>
        </w:numPr>
        <w:rPr>
          <w:rFonts w:ascii="Arial" w:cs="Arial" w:eastAsia="Arial" w:hAnsi="Arial"/>
          <w:sz w:val="15"/>
          <w:szCs w:val="15"/>
          <w:color w:val="006DB6"/>
        </w:rPr>
      </w:pPr>
      <w:r>
        <w:rPr>
          <w:rFonts w:ascii="Arial" w:cs="Arial" w:eastAsia="Arial" w:hAnsi="Arial"/>
          <w:sz w:val="15"/>
          <w:szCs w:val="15"/>
          <w:color w:val="auto"/>
        </w:rPr>
        <w:t>the person’s knowledge of areas and businesses in which we operate or another area of our operational environment.</w:t>
      </w:r>
    </w:p>
    <w:p>
      <w:pPr>
        <w:spacing w:after="0" w:line="58" w:lineRule="exact"/>
        <w:rPr>
          <w:sz w:val="20"/>
          <w:szCs w:val="20"/>
          <w:color w:val="auto"/>
        </w:rPr>
      </w:pPr>
    </w:p>
    <w:p>
      <w:pPr>
        <w:jc w:val="both"/>
        <w:ind w:right="2580"/>
        <w:spacing w:after="0" w:line="231" w:lineRule="auto"/>
        <w:rPr>
          <w:sz w:val="20"/>
          <w:szCs w:val="20"/>
          <w:color w:val="auto"/>
        </w:rPr>
      </w:pPr>
      <w:r>
        <w:rPr>
          <w:rFonts w:ascii="Arial" w:cs="Arial" w:eastAsia="Arial" w:hAnsi="Arial"/>
          <w:sz w:val="15"/>
          <w:szCs w:val="15"/>
          <w:color w:val="auto"/>
        </w:rPr>
        <w:t>Other factors considered include the diversity of the board of directors, including the optimal enhancement of the current mix of educational backgrounds, business industry experience and knowledge of different geographic markets, services and products.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5"/>
          <w:szCs w:val="15"/>
          <w:color w:val="auto"/>
        </w:rPr>
        <w:t>Further, in considering nominees for director, diversity of viewpoints, expertise and experience are taken into account as well as gender, ethnicity and background. 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23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60" w:type="dxa"/>
            <w:vAlign w:val="bottom"/>
          </w:tcPr>
          <w:p>
            <w:pPr>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bl>
    <w:p>
      <w:pPr>
        <w:sectPr>
          <w:pgSz w:w="11900" w:h="16838" w:orient="portrait"/>
          <w:cols w:equalWidth="0" w:num="1">
            <w:col w:w="11220"/>
          </w:cols>
          <w:pgMar w:left="320" w:top="917" w:right="35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ind w:right="340"/>
        <w:spacing w:after="0" w:line="267" w:lineRule="auto"/>
        <w:rPr>
          <w:sz w:val="20"/>
          <w:szCs w:val="20"/>
          <w:color w:val="auto"/>
        </w:rPr>
      </w:pPr>
      <w:r>
        <w:rPr>
          <w:rFonts w:ascii="Arial" w:cs="Arial" w:eastAsia="Arial" w:hAnsi="Arial"/>
          <w:sz w:val="15"/>
          <w:szCs w:val="15"/>
          <w:color w:val="auto"/>
        </w:rPr>
        <w:t>We believe the breadth and variety of business experience of each of our directors and director nominees identified in the following table make each of them well qualified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64770</wp:posOffset>
            </wp:positionV>
            <wp:extent cx="8255" cy="2362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23622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64770</wp:posOffset>
            </wp:positionV>
            <wp:extent cx="8255" cy="2362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23622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64770</wp:posOffset>
            </wp:positionV>
            <wp:extent cx="8255" cy="2362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23622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64770</wp:posOffset>
            </wp:positionV>
            <wp:extent cx="8255" cy="236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23622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64770</wp:posOffset>
            </wp:positionV>
            <wp:extent cx="8255" cy="236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23622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64770</wp:posOffset>
            </wp:positionV>
            <wp:extent cx="8255" cy="2362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23622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80" w:type="dxa"/>
            <w:vAlign w:val="bottom"/>
            <w:tcBorders>
              <w:right w:val="single" w:sz="8" w:color="006DB6"/>
            </w:tcBorders>
          </w:tcPr>
          <w:p>
            <w:pPr>
              <w:spacing w:after="0"/>
              <w:rPr>
                <w:sz w:val="14"/>
                <w:szCs w:val="14"/>
                <w:color w:val="auto"/>
              </w:rPr>
            </w:pPr>
          </w:p>
        </w:tc>
        <w:tc>
          <w:tcPr>
            <w:tcW w:w="11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7"/>
              </w:rPr>
              <w:t>Richard A.</w:t>
            </w:r>
          </w:p>
        </w:tc>
        <w:tc>
          <w:tcPr>
            <w:tcW w:w="11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7"/>
              </w:rPr>
              <w:t>C. Ronald</w:t>
            </w:r>
          </w:p>
        </w:tc>
        <w:tc>
          <w:tcPr>
            <w:tcW w:w="11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8"/>
              </w:rPr>
              <w:t>Bradley J.</w:t>
            </w:r>
          </w:p>
        </w:tc>
        <w:tc>
          <w:tcPr>
            <w:tcW w:w="11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6"/>
              </w:rPr>
              <w:t>Martin A.</w:t>
            </w:r>
          </w:p>
        </w:tc>
        <w:tc>
          <w:tcPr>
            <w:tcW w:w="122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8"/>
              </w:rPr>
              <w:t>Constance B.</w:t>
            </w:r>
          </w:p>
        </w:tc>
        <w:tc>
          <w:tcPr>
            <w:tcW w:w="11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7"/>
              </w:rPr>
              <w:t>Charles</w:t>
            </w:r>
          </w:p>
        </w:tc>
        <w:tc>
          <w:tcPr>
            <w:tcW w:w="11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8"/>
              </w:rPr>
              <w:t>Timothy O.</w:t>
            </w:r>
          </w:p>
        </w:tc>
      </w:tr>
      <w:tr>
        <w:trPr>
          <w:trHeight w:val="185"/>
        </w:trPr>
        <w:tc>
          <w:tcPr>
            <w:tcW w:w="3180" w:type="dxa"/>
            <w:vAlign w:val="bottom"/>
            <w:tcBorders>
              <w:bottom w:val="single" w:sz="8" w:color="006DB6"/>
              <w:right w:val="single" w:sz="8" w:color="006DB6"/>
            </w:tcBorders>
          </w:tcPr>
          <w:p>
            <w:pPr>
              <w:spacing w:after="0"/>
              <w:rPr>
                <w:sz w:val="16"/>
                <w:szCs w:val="16"/>
                <w:color w:val="auto"/>
              </w:rPr>
            </w:pPr>
          </w:p>
        </w:tc>
        <w:tc>
          <w:tcPr>
            <w:tcW w:w="114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5"/>
              </w:rPr>
              <w:t>Navarre</w:t>
            </w:r>
          </w:p>
        </w:tc>
        <w:tc>
          <w:tcPr>
            <w:tcW w:w="114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8"/>
              </w:rPr>
              <w:t>Blankenship</w:t>
            </w:r>
          </w:p>
        </w:tc>
        <w:tc>
          <w:tcPr>
            <w:tcW w:w="114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5"/>
              </w:rPr>
              <w:t>Dodson</w:t>
            </w:r>
          </w:p>
        </w:tc>
        <w:tc>
          <w:tcPr>
            <w:tcW w:w="114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7"/>
              </w:rPr>
              <w:t>Lambert</w:t>
            </w:r>
          </w:p>
        </w:tc>
        <w:tc>
          <w:tcPr>
            <w:tcW w:w="122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5"/>
              </w:rPr>
              <w:t>Moore</w:t>
            </w:r>
          </w:p>
        </w:tc>
        <w:tc>
          <w:tcPr>
            <w:tcW w:w="116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6"/>
              </w:rPr>
              <w:t>Szalkowski</w:t>
            </w:r>
          </w:p>
        </w:tc>
        <w:tc>
          <w:tcPr>
            <w:tcW w:w="1140" w:type="dxa"/>
            <w:vAlign w:val="bottom"/>
            <w:tcBorders>
              <w:bottom w:val="single" w:sz="8" w:color="auto"/>
              <w:right w:val="single" w:sz="8" w:color="006DB6"/>
            </w:tcBorders>
            <w:shd w:val="clear" w:color="auto" w:fill="006DB6"/>
          </w:tcPr>
          <w:p>
            <w:pPr>
              <w:jc w:val="center"/>
              <w:spacing w:after="0"/>
              <w:rPr>
                <w:sz w:val="20"/>
                <w:szCs w:val="20"/>
                <w:color w:val="auto"/>
              </w:rPr>
            </w:pPr>
            <w:r>
              <w:rPr>
                <w:rFonts w:ascii="Arial" w:cs="Arial" w:eastAsia="Arial" w:hAnsi="Arial"/>
                <w:sz w:val="14"/>
                <w:szCs w:val="14"/>
                <w:b w:val="1"/>
                <w:bCs w:val="1"/>
                <w:color w:val="FFFFFF"/>
                <w:w w:val="97"/>
              </w:rPr>
              <w:t>Wall</w:t>
            </w:r>
          </w:p>
        </w:tc>
      </w:tr>
      <w:tr>
        <w:trPr>
          <w:trHeight w:val="339"/>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Executive Leadership</w:t>
            </w: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220" w:type="dxa"/>
            <w:vAlign w:val="bottom"/>
            <w:tcBorders>
              <w:right w:val="single" w:sz="8" w:color="auto"/>
            </w:tcBorders>
            <w:shd w:val="clear" w:color="auto" w:fill="E8EEF7"/>
          </w:tcPr>
          <w:p>
            <w:pPr>
              <w:spacing w:after="0"/>
              <w:rPr>
                <w:sz w:val="24"/>
                <w:szCs w:val="24"/>
                <w:color w:val="auto"/>
              </w:rPr>
            </w:pPr>
          </w:p>
        </w:tc>
        <w:tc>
          <w:tcPr>
            <w:tcW w:w="116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r>
      <w:tr>
        <w:trPr>
          <w:trHeight w:val="146"/>
        </w:trPr>
        <w:tc>
          <w:tcPr>
            <w:tcW w:w="31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shd w:val="clear" w:color="auto" w:fill="E8EEF7"/>
          </w:tcPr>
          <w:p>
            <w:pPr>
              <w:spacing w:after="0"/>
              <w:rPr>
                <w:sz w:val="12"/>
                <w:szCs w:val="12"/>
                <w:color w:val="auto"/>
              </w:rPr>
            </w:pPr>
          </w:p>
        </w:tc>
        <w:tc>
          <w:tcPr>
            <w:tcW w:w="1140" w:type="dxa"/>
            <w:vAlign w:val="bottom"/>
            <w:tcBorders>
              <w:bottom w:val="single" w:sz="8" w:color="auto"/>
              <w:right w:val="single" w:sz="8" w:color="auto"/>
            </w:tcBorders>
            <w:shd w:val="clear" w:color="auto" w:fill="E8EEF7"/>
          </w:tcPr>
          <w:p>
            <w:pPr>
              <w:spacing w:after="0"/>
              <w:rPr>
                <w:sz w:val="12"/>
                <w:szCs w:val="12"/>
                <w:color w:val="auto"/>
              </w:rPr>
            </w:pPr>
          </w:p>
        </w:tc>
        <w:tc>
          <w:tcPr>
            <w:tcW w:w="1140" w:type="dxa"/>
            <w:vAlign w:val="bottom"/>
            <w:tcBorders>
              <w:bottom w:val="single" w:sz="8" w:color="auto"/>
              <w:right w:val="single" w:sz="8" w:color="auto"/>
            </w:tcBorders>
            <w:shd w:val="clear" w:color="auto" w:fill="E8EEF7"/>
          </w:tcPr>
          <w:p>
            <w:pPr>
              <w:spacing w:after="0"/>
              <w:rPr>
                <w:sz w:val="12"/>
                <w:szCs w:val="12"/>
                <w:color w:val="auto"/>
              </w:rPr>
            </w:pPr>
          </w:p>
        </w:tc>
        <w:tc>
          <w:tcPr>
            <w:tcW w:w="1140" w:type="dxa"/>
            <w:vAlign w:val="bottom"/>
            <w:tcBorders>
              <w:bottom w:val="single" w:sz="8" w:color="auto"/>
              <w:right w:val="single" w:sz="8" w:color="auto"/>
            </w:tcBorders>
            <w:shd w:val="clear" w:color="auto" w:fill="E8EEF7"/>
          </w:tcPr>
          <w:p>
            <w:pPr>
              <w:spacing w:after="0"/>
              <w:rPr>
                <w:sz w:val="12"/>
                <w:szCs w:val="12"/>
                <w:color w:val="auto"/>
              </w:rPr>
            </w:pPr>
          </w:p>
        </w:tc>
        <w:tc>
          <w:tcPr>
            <w:tcW w:w="1220" w:type="dxa"/>
            <w:vAlign w:val="bottom"/>
            <w:tcBorders>
              <w:bottom w:val="single" w:sz="8" w:color="auto"/>
              <w:right w:val="single" w:sz="8" w:color="auto"/>
            </w:tcBorders>
            <w:shd w:val="clear" w:color="auto" w:fill="E8EEF7"/>
          </w:tcPr>
          <w:p>
            <w:pPr>
              <w:spacing w:after="0"/>
              <w:rPr>
                <w:sz w:val="12"/>
                <w:szCs w:val="12"/>
                <w:color w:val="auto"/>
              </w:rPr>
            </w:pPr>
          </w:p>
        </w:tc>
        <w:tc>
          <w:tcPr>
            <w:tcW w:w="1160" w:type="dxa"/>
            <w:vAlign w:val="bottom"/>
            <w:tcBorders>
              <w:bottom w:val="single" w:sz="8" w:color="auto"/>
              <w:right w:val="single" w:sz="8" w:color="auto"/>
            </w:tcBorders>
            <w:shd w:val="clear" w:color="auto" w:fill="E8EEF7"/>
          </w:tcPr>
          <w:p>
            <w:pPr>
              <w:spacing w:after="0"/>
              <w:rPr>
                <w:sz w:val="12"/>
                <w:szCs w:val="12"/>
                <w:color w:val="auto"/>
              </w:rPr>
            </w:pPr>
          </w:p>
        </w:tc>
        <w:tc>
          <w:tcPr>
            <w:tcW w:w="1140" w:type="dxa"/>
            <w:vAlign w:val="bottom"/>
            <w:tcBorders>
              <w:bottom w:val="single" w:sz="8" w:color="auto"/>
              <w:right w:val="single" w:sz="8" w:color="auto"/>
            </w:tcBorders>
            <w:shd w:val="clear" w:color="auto" w:fill="E8EEF7"/>
          </w:tcPr>
          <w:p>
            <w:pPr>
              <w:spacing w:after="0"/>
              <w:rPr>
                <w:sz w:val="12"/>
                <w:szCs w:val="12"/>
                <w:color w:val="auto"/>
              </w:rPr>
            </w:pPr>
          </w:p>
        </w:tc>
      </w:tr>
      <w:tr>
        <w:trPr>
          <w:trHeight w:val="334"/>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Financial</w:t>
            </w: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220" w:type="dxa"/>
            <w:vAlign w:val="bottom"/>
            <w:tcBorders>
              <w:right w:val="single" w:sz="8" w:color="auto"/>
            </w:tcBorders>
            <w:shd w:val="clear" w:color="auto" w:fill="E8EEF7"/>
          </w:tcPr>
          <w:p>
            <w:pPr>
              <w:spacing w:after="0"/>
              <w:rPr>
                <w:sz w:val="24"/>
                <w:szCs w:val="24"/>
                <w:color w:val="auto"/>
              </w:rPr>
            </w:pPr>
          </w:p>
        </w:tc>
        <w:tc>
          <w:tcPr>
            <w:tcW w:w="116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r>
      <w:tr>
        <w:trPr>
          <w:trHeight w:val="159"/>
        </w:trPr>
        <w:tc>
          <w:tcPr>
            <w:tcW w:w="31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220" w:type="dxa"/>
            <w:vAlign w:val="bottom"/>
            <w:tcBorders>
              <w:bottom w:val="single" w:sz="8" w:color="auto"/>
              <w:right w:val="single" w:sz="8" w:color="auto"/>
            </w:tcBorders>
            <w:shd w:val="clear" w:color="auto" w:fill="E8EEF7"/>
          </w:tcPr>
          <w:p>
            <w:pPr>
              <w:spacing w:after="0"/>
              <w:rPr>
                <w:sz w:val="13"/>
                <w:szCs w:val="13"/>
                <w:color w:val="auto"/>
              </w:rPr>
            </w:pPr>
          </w:p>
        </w:tc>
        <w:tc>
          <w:tcPr>
            <w:tcW w:w="116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r>
      <w:tr>
        <w:trPr>
          <w:trHeight w:val="238"/>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Accommodations, Real Estate and</w:t>
            </w: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220" w:type="dxa"/>
            <w:vAlign w:val="bottom"/>
            <w:tcBorders>
              <w:right w:val="single" w:sz="8" w:color="auto"/>
            </w:tcBorders>
            <w:shd w:val="clear" w:color="auto" w:fill="E8EEF7"/>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185"/>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Hospitality</w:t>
            </w: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220" w:type="dxa"/>
            <w:vAlign w:val="bottom"/>
            <w:tcBorders>
              <w:right w:val="single" w:sz="8" w:color="auto"/>
            </w:tcBorders>
            <w:shd w:val="clear" w:color="auto" w:fill="E8EEF7"/>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69"/>
        </w:trPr>
        <w:tc>
          <w:tcPr>
            <w:tcW w:w="31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220" w:type="dxa"/>
            <w:vAlign w:val="bottom"/>
            <w:tcBorders>
              <w:bottom w:val="single" w:sz="8" w:color="auto"/>
              <w:right w:val="single" w:sz="8" w:color="auto"/>
            </w:tcBorders>
            <w:shd w:val="clear" w:color="auto" w:fill="E8EEF7"/>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r>
      <w:tr>
        <w:trPr>
          <w:trHeight w:val="334"/>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International Operations</w:t>
            </w: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r>
      <w:tr>
        <w:trPr>
          <w:trHeight w:val="159"/>
        </w:trPr>
        <w:tc>
          <w:tcPr>
            <w:tcW w:w="31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r>
      <w:tr>
        <w:trPr>
          <w:trHeight w:val="238"/>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Experience in Industry of Primary</w:t>
            </w: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r>
      <w:tr>
        <w:trPr>
          <w:trHeight w:val="185"/>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Customers</w:t>
            </w: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r>
      <w:tr>
        <w:trPr>
          <w:trHeight w:val="69"/>
        </w:trPr>
        <w:tc>
          <w:tcPr>
            <w:tcW w:w="31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r>
      <w:tr>
        <w:trPr>
          <w:trHeight w:val="238"/>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Health Safety &amp; Environment</w:t>
            </w: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r>
      <w:tr>
        <w:trPr>
          <w:trHeight w:val="185"/>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Experience</w:t>
            </w: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r>
      <w:tr>
        <w:trPr>
          <w:trHeight w:val="69"/>
        </w:trPr>
        <w:tc>
          <w:tcPr>
            <w:tcW w:w="31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r>
      <w:tr>
        <w:trPr>
          <w:trHeight w:val="238"/>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Public Company CEO or C-Suite</w:t>
            </w: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140" w:type="dxa"/>
            <w:vAlign w:val="bottom"/>
            <w:tcBorders>
              <w:right w:val="single" w:sz="8" w:color="auto"/>
            </w:tcBorders>
            <w:shd w:val="clear" w:color="auto" w:fill="E8EEF7"/>
          </w:tcPr>
          <w:p>
            <w:pPr>
              <w:spacing w:after="0"/>
              <w:rPr>
                <w:sz w:val="20"/>
                <w:szCs w:val="20"/>
                <w:color w:val="auto"/>
              </w:rPr>
            </w:pPr>
          </w:p>
        </w:tc>
        <w:tc>
          <w:tcPr>
            <w:tcW w:w="1220" w:type="dxa"/>
            <w:vAlign w:val="bottom"/>
            <w:tcBorders>
              <w:right w:val="single" w:sz="8" w:color="auto"/>
            </w:tcBorders>
            <w:shd w:val="clear" w:color="auto" w:fill="E8EEF7"/>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185"/>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Experience</w:t>
            </w: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140" w:type="dxa"/>
            <w:vAlign w:val="bottom"/>
            <w:tcBorders>
              <w:right w:val="single" w:sz="8" w:color="auto"/>
            </w:tcBorders>
            <w:shd w:val="clear" w:color="auto" w:fill="E8EEF7"/>
          </w:tcPr>
          <w:p>
            <w:pPr>
              <w:spacing w:after="0"/>
              <w:rPr>
                <w:sz w:val="16"/>
                <w:szCs w:val="16"/>
                <w:color w:val="auto"/>
              </w:rPr>
            </w:pPr>
          </w:p>
        </w:tc>
        <w:tc>
          <w:tcPr>
            <w:tcW w:w="1220" w:type="dxa"/>
            <w:vAlign w:val="bottom"/>
            <w:tcBorders>
              <w:right w:val="single" w:sz="8" w:color="auto"/>
            </w:tcBorders>
            <w:shd w:val="clear" w:color="auto" w:fill="E8EEF7"/>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69"/>
        </w:trPr>
        <w:tc>
          <w:tcPr>
            <w:tcW w:w="31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140" w:type="dxa"/>
            <w:vAlign w:val="bottom"/>
            <w:tcBorders>
              <w:bottom w:val="single" w:sz="8" w:color="auto"/>
              <w:right w:val="single" w:sz="8" w:color="auto"/>
            </w:tcBorders>
            <w:shd w:val="clear" w:color="auto" w:fill="E8EEF7"/>
          </w:tcPr>
          <w:p>
            <w:pPr>
              <w:spacing w:after="0"/>
              <w:rPr>
                <w:sz w:val="6"/>
                <w:szCs w:val="6"/>
                <w:color w:val="auto"/>
              </w:rPr>
            </w:pPr>
          </w:p>
        </w:tc>
        <w:tc>
          <w:tcPr>
            <w:tcW w:w="1220" w:type="dxa"/>
            <w:vAlign w:val="bottom"/>
            <w:tcBorders>
              <w:bottom w:val="single" w:sz="8" w:color="auto"/>
              <w:right w:val="single" w:sz="8" w:color="auto"/>
            </w:tcBorders>
            <w:shd w:val="clear" w:color="auto" w:fill="E8EEF7"/>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r>
      <w:tr>
        <w:trPr>
          <w:trHeight w:val="334"/>
        </w:trPr>
        <w:tc>
          <w:tcPr>
            <w:tcW w:w="318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Public Company Director Experience</w:t>
            </w: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c>
          <w:tcPr>
            <w:tcW w:w="1220" w:type="dxa"/>
            <w:vAlign w:val="bottom"/>
            <w:tcBorders>
              <w:right w:val="single" w:sz="8" w:color="auto"/>
            </w:tcBorders>
            <w:shd w:val="clear" w:color="auto" w:fill="E8EEF7"/>
          </w:tcPr>
          <w:p>
            <w:pPr>
              <w:spacing w:after="0"/>
              <w:rPr>
                <w:sz w:val="24"/>
                <w:szCs w:val="24"/>
                <w:color w:val="auto"/>
              </w:rPr>
            </w:pPr>
          </w:p>
        </w:tc>
        <w:tc>
          <w:tcPr>
            <w:tcW w:w="1160" w:type="dxa"/>
            <w:vAlign w:val="bottom"/>
            <w:tcBorders>
              <w:right w:val="single" w:sz="8" w:color="auto"/>
            </w:tcBorders>
            <w:shd w:val="clear" w:color="auto" w:fill="E8EEF7"/>
          </w:tcPr>
          <w:p>
            <w:pPr>
              <w:spacing w:after="0"/>
              <w:rPr>
                <w:sz w:val="24"/>
                <w:szCs w:val="24"/>
                <w:color w:val="auto"/>
              </w:rPr>
            </w:pPr>
          </w:p>
        </w:tc>
        <w:tc>
          <w:tcPr>
            <w:tcW w:w="1140" w:type="dxa"/>
            <w:vAlign w:val="bottom"/>
            <w:tcBorders>
              <w:right w:val="single" w:sz="8" w:color="auto"/>
            </w:tcBorders>
            <w:shd w:val="clear" w:color="auto" w:fill="E8EEF7"/>
          </w:tcPr>
          <w:p>
            <w:pPr>
              <w:spacing w:after="0"/>
              <w:rPr>
                <w:sz w:val="24"/>
                <w:szCs w:val="24"/>
                <w:color w:val="auto"/>
              </w:rPr>
            </w:pPr>
          </w:p>
        </w:tc>
      </w:tr>
      <w:tr>
        <w:trPr>
          <w:trHeight w:val="159"/>
        </w:trPr>
        <w:tc>
          <w:tcPr>
            <w:tcW w:w="31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c>
          <w:tcPr>
            <w:tcW w:w="1220" w:type="dxa"/>
            <w:vAlign w:val="bottom"/>
            <w:tcBorders>
              <w:bottom w:val="single" w:sz="8" w:color="auto"/>
              <w:right w:val="single" w:sz="8" w:color="auto"/>
            </w:tcBorders>
            <w:shd w:val="clear" w:color="auto" w:fill="E8EEF7"/>
          </w:tcPr>
          <w:p>
            <w:pPr>
              <w:spacing w:after="0"/>
              <w:rPr>
                <w:sz w:val="13"/>
                <w:szCs w:val="13"/>
                <w:color w:val="auto"/>
              </w:rPr>
            </w:pPr>
          </w:p>
        </w:tc>
        <w:tc>
          <w:tcPr>
            <w:tcW w:w="1160" w:type="dxa"/>
            <w:vAlign w:val="bottom"/>
            <w:tcBorders>
              <w:bottom w:val="single" w:sz="8" w:color="auto"/>
              <w:right w:val="single" w:sz="8" w:color="auto"/>
            </w:tcBorders>
            <w:shd w:val="clear" w:color="auto" w:fill="E8EEF7"/>
          </w:tcPr>
          <w:p>
            <w:pPr>
              <w:spacing w:after="0"/>
              <w:rPr>
                <w:sz w:val="13"/>
                <w:szCs w:val="13"/>
                <w:color w:val="auto"/>
              </w:rPr>
            </w:pPr>
          </w:p>
        </w:tc>
        <w:tc>
          <w:tcPr>
            <w:tcW w:w="1140" w:type="dxa"/>
            <w:vAlign w:val="bottom"/>
            <w:tcBorders>
              <w:bottom w:val="single" w:sz="8" w:color="auto"/>
              <w:right w:val="single" w:sz="8" w:color="auto"/>
            </w:tcBorders>
            <w:shd w:val="clear" w:color="auto" w:fill="E8EEF7"/>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-2531110</wp:posOffset>
            </wp:positionV>
            <wp:extent cx="113665" cy="1136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-2531110</wp:posOffset>
            </wp:positionV>
            <wp:extent cx="113665" cy="1136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-2531110</wp:posOffset>
            </wp:positionV>
            <wp:extent cx="113665" cy="1136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-2531110</wp:posOffset>
            </wp:positionV>
            <wp:extent cx="113665" cy="1136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-2531110</wp:posOffset>
            </wp:positionV>
            <wp:extent cx="113665" cy="1136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-2531110</wp:posOffset>
            </wp:positionV>
            <wp:extent cx="113665" cy="1136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-2531110</wp:posOffset>
            </wp:positionV>
            <wp:extent cx="113665" cy="1136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-2205355</wp:posOffset>
            </wp:positionV>
            <wp:extent cx="113665" cy="1136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-2205355</wp:posOffset>
            </wp:positionV>
            <wp:extent cx="113665" cy="1136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-2205355</wp:posOffset>
            </wp:positionV>
            <wp:extent cx="113665" cy="1136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-2205355</wp:posOffset>
            </wp:positionV>
            <wp:extent cx="113665" cy="1136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-2205355</wp:posOffset>
            </wp:positionV>
            <wp:extent cx="113665" cy="1136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-2205355</wp:posOffset>
            </wp:positionV>
            <wp:extent cx="113665" cy="1136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-2205355</wp:posOffset>
            </wp:positionV>
            <wp:extent cx="113665" cy="1136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-1945005</wp:posOffset>
            </wp:positionV>
            <wp:extent cx="244475" cy="244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-1879600</wp:posOffset>
            </wp:positionV>
            <wp:extent cx="113665" cy="1136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-1879600</wp:posOffset>
            </wp:positionV>
            <wp:extent cx="113665" cy="1136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-1879600</wp:posOffset>
            </wp:positionV>
            <wp:extent cx="113665" cy="1136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-1879600</wp:posOffset>
            </wp:positionV>
            <wp:extent cx="113665" cy="1136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-1619250</wp:posOffset>
            </wp:positionV>
            <wp:extent cx="244475" cy="2444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-1554480</wp:posOffset>
            </wp:positionV>
            <wp:extent cx="113665" cy="1136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-1554480</wp:posOffset>
            </wp:positionV>
            <wp:extent cx="113665" cy="1136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-1554480</wp:posOffset>
            </wp:positionV>
            <wp:extent cx="113665" cy="1136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-1554480</wp:posOffset>
            </wp:positionV>
            <wp:extent cx="113665" cy="113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-1554480</wp:posOffset>
            </wp:positionV>
            <wp:extent cx="113665" cy="1136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-1554480</wp:posOffset>
            </wp:positionV>
            <wp:extent cx="113665" cy="1136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-1293495</wp:posOffset>
            </wp:positionV>
            <wp:extent cx="244475" cy="2444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-1228725</wp:posOffset>
            </wp:positionV>
            <wp:extent cx="113665" cy="113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-1228725</wp:posOffset>
            </wp:positionV>
            <wp:extent cx="113665" cy="1136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-1228725</wp:posOffset>
            </wp:positionV>
            <wp:extent cx="113665" cy="1136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-968375</wp:posOffset>
            </wp:positionV>
            <wp:extent cx="244475" cy="2444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-902970</wp:posOffset>
            </wp:positionV>
            <wp:extent cx="113665" cy="1136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-902970</wp:posOffset>
            </wp:positionV>
            <wp:extent cx="113665" cy="113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-902970</wp:posOffset>
            </wp:positionV>
            <wp:extent cx="113665" cy="113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-642620</wp:posOffset>
            </wp:positionV>
            <wp:extent cx="244475" cy="2444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-577215</wp:posOffset>
            </wp:positionV>
            <wp:extent cx="113665" cy="1136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-577215</wp:posOffset>
            </wp:positionV>
            <wp:extent cx="113665" cy="1136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-577215</wp:posOffset>
            </wp:positionV>
            <wp:extent cx="113665" cy="1136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-577215</wp:posOffset>
            </wp:positionV>
            <wp:extent cx="113665" cy="1136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-577215</wp:posOffset>
            </wp:positionV>
            <wp:extent cx="113665" cy="1136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-316865</wp:posOffset>
            </wp:positionV>
            <wp:extent cx="244475" cy="244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4475" cy="24447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-251460</wp:posOffset>
            </wp:positionV>
            <wp:extent cx="113665" cy="1136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-251460</wp:posOffset>
            </wp:positionV>
            <wp:extent cx="113665" cy="1136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-251460</wp:posOffset>
            </wp:positionV>
            <wp:extent cx="113665" cy="1136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-251460</wp:posOffset>
            </wp:positionV>
            <wp:extent cx="113665" cy="1136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-251460</wp:posOffset>
            </wp:positionV>
            <wp:extent cx="113665" cy="1136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-251460</wp:posOffset>
            </wp:positionV>
            <wp:extent cx="113665" cy="1136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3665" cy="11366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-251460</wp:posOffset>
            </wp:positionV>
            <wp:extent cx="113665" cy="113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 xml:space="preserve">Director Biographies - </w:t>
      </w:r>
      <w:r>
        <w:rPr>
          <w:rFonts w:ascii="Arial" w:cs="Arial" w:eastAsia="Arial" w:hAnsi="Arial"/>
          <w:sz w:val="23"/>
          <w:szCs w:val="23"/>
          <w:b w:val="1"/>
          <w:bCs w:val="1"/>
          <w:color w:val="FFC03C"/>
        </w:rPr>
        <w:t>Class 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603375" cy="2979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03375" cy="2979420"/>
                    </a:xfrm>
                    <a:prstGeom prst="rect">
                      <a:avLst/>
                    </a:prstGeom>
                    <a:noFill/>
                  </pic:spPr>
                </pic:pic>
              </a:graphicData>
            </a:graphic>
          </wp:anchor>
        </w:drawing>
      </w:r>
    </w:p>
    <w:p>
      <w:pPr>
        <w:spacing w:after="0" w:line="307" w:lineRule="exact"/>
        <w:rPr>
          <w:sz w:val="20"/>
          <w:szCs w:val="20"/>
          <w:color w:val="auto"/>
        </w:rPr>
      </w:pPr>
    </w:p>
    <w:p>
      <w:pPr>
        <w:ind w:left="2780"/>
        <w:spacing w:after="0"/>
        <w:rPr>
          <w:sz w:val="20"/>
          <w:szCs w:val="20"/>
          <w:color w:val="auto"/>
        </w:rPr>
      </w:pPr>
      <w:r>
        <w:rPr>
          <w:rFonts w:ascii="Arial" w:cs="Arial" w:eastAsia="Arial" w:hAnsi="Arial"/>
          <w:sz w:val="24"/>
          <w:szCs w:val="24"/>
          <w:b w:val="1"/>
          <w:bCs w:val="1"/>
          <w:color w:val="006DB6"/>
        </w:rPr>
        <w:t>C. Ronald Blankenship</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71</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55" w:lineRule="auto"/>
        <w:rPr>
          <w:sz w:val="20"/>
          <w:szCs w:val="20"/>
          <w:color w:val="auto"/>
        </w:rPr>
      </w:pPr>
      <w:r>
        <w:rPr>
          <w:rFonts w:ascii="Arial" w:cs="Arial" w:eastAsia="Arial" w:hAnsi="Arial"/>
          <w:sz w:val="15"/>
          <w:szCs w:val="15"/>
          <w:b w:val="1"/>
          <w:bCs w:val="1"/>
          <w:color w:val="auto"/>
        </w:rPr>
        <w:t>Audit Committee, Compensation Committee, Finance and Investment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1129030</wp:posOffset>
            </wp:positionV>
            <wp:extent cx="374650" cy="1873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Former President and Chief Executive Officer, Verde Realty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Independent Director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Residential Investments, a private investment management company (Chairman), and Merit Hill, a privately owned and operated real estate company.</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Mr. Blankenship is a Certified Public Accountant and a graduate of the University of Texas at Austin.</w:t>
      </w:r>
    </w:p>
    <w:p>
      <w:pPr>
        <w:spacing w:after="0" w:line="110"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133985</wp:posOffset>
            </wp:positionV>
            <wp:extent cx="71393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60"/>
            <w:col w:w="8480"/>
          </w:cols>
          <w:pgMar w:left="320" w:top="123" w:right="31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260"/>
          </w:cols>
          <w:pgMar w:left="320" w:top="123" w:right="3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561340</wp:posOffset>
            </wp:positionV>
            <wp:extent cx="1603375" cy="23609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0337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72</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55" w:lineRule="auto"/>
        <w:rPr>
          <w:sz w:val="20"/>
          <w:szCs w:val="20"/>
          <w:color w:val="auto"/>
        </w:rPr>
      </w:pPr>
      <w:r>
        <w:rPr>
          <w:rFonts w:ascii="Arial" w:cs="Arial" w:eastAsia="Arial" w:hAnsi="Arial"/>
          <w:sz w:val="15"/>
          <w:szCs w:val="15"/>
          <w:b w:val="1"/>
          <w:bCs w:val="1"/>
          <w:color w:val="auto"/>
        </w:rPr>
        <w:t>Audit Committee, Nominating and Corporate Governance Committee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Charles Szalkowski</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Former Partner and General Counsel, Baker Botts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706F6F"/>
        </w:rPr>
        <w:t>Independent Director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12" w:lineRule="exact"/>
        <w:rPr>
          <w:sz w:val="20"/>
          <w:szCs w:val="20"/>
          <w:color w:val="auto"/>
        </w:rPr>
      </w:pPr>
    </w:p>
    <w:p>
      <w:pPr>
        <w:ind w:right="920"/>
        <w:spacing w:after="0" w:line="249" w:lineRule="auto"/>
        <w:rPr>
          <w:sz w:val="20"/>
          <w:szCs w:val="20"/>
          <w:color w:val="auto"/>
        </w:rPr>
      </w:pPr>
      <w:r>
        <w:rPr>
          <w:rFonts w:ascii="Arial" w:cs="Arial" w:eastAsia="Arial" w:hAnsi="Arial"/>
          <w:sz w:val="15"/>
          <w:szCs w:val="15"/>
          <w:color w:val="auto"/>
        </w:rPr>
        <w:t>Mr. Szalkowski became a Certified Public Accountant in 1971. He received his J.D. and M.B.A. degrees from Harvard University and his B.S. in Accounting and B.A. in economics and political science from Rice University.</w:t>
      </w:r>
    </w:p>
    <w:p>
      <w:pPr>
        <w:spacing w:after="0" w:line="78" w:lineRule="exact"/>
        <w:rPr>
          <w:sz w:val="20"/>
          <w:szCs w:val="20"/>
          <w:color w:val="auto"/>
        </w:rPr>
      </w:pPr>
    </w:p>
    <w:p>
      <w:pPr>
        <w:ind w:right="20"/>
        <w:spacing w:after="0"/>
        <w:rPr>
          <w:sz w:val="20"/>
          <w:szCs w:val="20"/>
          <w:color w:val="auto"/>
        </w:rPr>
      </w:pPr>
      <w:r>
        <w:rPr>
          <w:rFonts w:ascii="Arial" w:cs="Arial" w:eastAsia="Arial" w:hAnsi="Arial"/>
          <w:sz w:val="15"/>
          <w:szCs w:val="15"/>
          <w:color w:val="auto"/>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248285</wp:posOffset>
            </wp:positionV>
            <wp:extent cx="7139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123"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3"/>
          <w:szCs w:val="23"/>
          <w:b w:val="1"/>
          <w:bCs w:val="1"/>
          <w:color w:val="FFC03C"/>
        </w:rPr>
        <w:t>Class II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603375" cy="3093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03375" cy="309308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60</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67" w:lineRule="auto"/>
        <w:rPr>
          <w:sz w:val="20"/>
          <w:szCs w:val="20"/>
          <w:color w:val="auto"/>
        </w:rPr>
      </w:pPr>
      <w:r>
        <w:rPr>
          <w:rFonts w:ascii="Arial" w:cs="Arial" w:eastAsia="Arial" w:hAnsi="Arial"/>
          <w:sz w:val="15"/>
          <w:szCs w:val="15"/>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Richard A. Navarre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President and Chief Executive Officer of Covia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706F6F"/>
        </w:rPr>
        <w:t>Independent Chairman of the Board</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Mr. Navarre is currently President and Chief Executive Officer of Covia Corporation, a privately held, leading provider of high-quality minerals and material solutions for the industrial and energy markets. From 2012 to 2019, Mr. Navarre served as an independent strategic business advisor to leading investment firms and the energy industry. From 1993 until 2012, Mr. Navarre held several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an independent director, chairman of the conflicts committee, and member of the audit committee for Natural Resource Partners LP (NYSE:NRP); and independent director, chairman of the personnel and compensation committee and member of the audit and the nominating and governance committees for Arch Resources (NYSE:ARCH). He is a member of the Board of Advisors and the Hall of Fame of the College of Business and Analytics at Southern Illinois University-Carbondale. In June 2020, Covia filed a voluntary petition for reorganization under Chapter 11 of the U.S. Bankruptcy Code and emerged from its Chapter 11 reorganization proceedings in December 2020.</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ind w:right="760"/>
        <w:spacing w:after="0" w:line="267" w:lineRule="auto"/>
        <w:rPr>
          <w:sz w:val="20"/>
          <w:szCs w:val="20"/>
          <w:color w:val="auto"/>
        </w:rPr>
      </w:pPr>
      <w:r>
        <w:rPr>
          <w:rFonts w:ascii="Arial" w:cs="Arial" w:eastAsia="Arial" w:hAnsi="Arial"/>
          <w:sz w:val="15"/>
          <w:szCs w:val="15"/>
          <w:color w:val="auto"/>
        </w:rPr>
        <w:t>Mr. Navarre is a Certified Public Accountant and received his B.S. in Accounting from Southern Illinois University-Carbondale.</w:t>
      </w:r>
    </w:p>
    <w:p>
      <w:pPr>
        <w:spacing w:after="0" w:line="78"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We believe that Mr. Navarre's 35 years of diverse international business and finance experience, which include extensive governance, financial, strategic planning, public company and coal and energy industry experience,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133985</wp:posOffset>
            </wp:positionV>
            <wp:extent cx="71393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bl>
    <w:p>
      <w:pPr>
        <w:sectPr>
          <w:pgSz w:w="11900" w:h="16838" w:orient="portrait"/>
          <w:cols w:equalWidth="0" w:num="1">
            <w:col w:w="11240"/>
          </w:cols>
          <w:pgMar w:left="320" w:top="12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5"/>
          <w:szCs w:val="1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1603375" cy="25234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03375" cy="252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65</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58" w:lineRule="auto"/>
        <w:rPr>
          <w:sz w:val="20"/>
          <w:szCs w:val="20"/>
          <w:color w:val="auto"/>
        </w:rPr>
      </w:pPr>
      <w:r>
        <w:rPr>
          <w:rFonts w:ascii="Arial" w:cs="Arial" w:eastAsia="Arial" w:hAnsi="Arial"/>
          <w:sz w:val="15"/>
          <w:szCs w:val="15"/>
          <w:b w:val="1"/>
          <w:bCs w:val="1"/>
          <w:color w:val="auto"/>
        </w:rPr>
        <w:t>Compensation Committee (Chair), Finance and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915670</wp:posOffset>
            </wp:positionV>
            <wp:extent cx="1603375" cy="3321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03375" cy="3321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Martin A. Lambert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Former Chief Executive Officer, Swan Hills Synfuels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706F6F"/>
        </w:rPr>
        <w:t>Independent Director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 Mr. Lambert currently serves as lead director, compensation, and as a member of the audit committee of Banded Iron Group Ltd., a private company involved in Canadian, U.S. and other international oilfield services.</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Mr. Lambert received his LLB degree from the University of Alberta.</w:t>
      </w:r>
    </w:p>
    <w:p>
      <w:pPr>
        <w:spacing w:after="0" w:line="110"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We believe that Mr. Lambert's Canadian industry experience and deep knowledge of Canadian law, as well as being one of the original board members of Civeo from the Oil States board of directors,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133985</wp:posOffset>
            </wp:positionV>
            <wp:extent cx="7139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600"/>
            <w:col w:w="8420"/>
          </w:cols>
          <w:pgMar w:left="320" w:top="1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65</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67" w:lineRule="auto"/>
        <w:rPr>
          <w:sz w:val="20"/>
          <w:szCs w:val="20"/>
          <w:color w:val="auto"/>
        </w:rPr>
      </w:pPr>
      <w:r>
        <w:rPr>
          <w:rFonts w:ascii="Arial" w:cs="Arial" w:eastAsia="Arial" w:hAnsi="Arial"/>
          <w:sz w:val="15"/>
          <w:szCs w:val="15"/>
          <w:b w:val="1"/>
          <w:bCs w:val="1"/>
          <w:color w:val="auto"/>
        </w:rPr>
        <w:t>Audit Committee (Chair),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1896110</wp:posOffset>
            </wp:positionV>
            <wp:extent cx="374650" cy="1873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Constance B. Moore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Former President and Chief Executive Officer, BRE Properties,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706F6F"/>
        </w:rPr>
        <w:t>Independent Director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Ms. Moore has served as a director of TriPointe Homes (NYSE: TPH) since July 2014 and is currently the Chairman of the compensation committee as well as a member of its audit committee. Ms. Moore has served as a director of Columbia Property Trust (NYSE: CXP) since November 2017 and now serves as the Chairman of the Board and a member of its audit committee and investment committee.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Currently, she is chair of the Fisher Center for Real Estate and Urban Economics Policy Advisory Board at UC Berkeley; serves on the board of Haas School of Business, UC Berkeley; serves on the board of Bridge Housing Corporation; is a Governor and Trustee of the Urban Land Institute (ULI); serves on the board of the ULI-Foundation; and serves on the board of the Tower Foundation at San Jose State University.</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Ms. Moore holds an M.B.A. from the University of California, Berkeley, Haas School of Business, and a bachelor’s degree from San Jose State University.</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We believe that Ms. Moore's 40 years of real estate experience, 20 of which were as a public company director, as well as her extensive experience and valuable insight in public company accounting and reporting issues,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133985</wp:posOffset>
            </wp:positionV>
            <wp:extent cx="7139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600"/>
            <w:col w:w="8420"/>
          </w:cols>
          <w:pgMar w:left="320" w:top="12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200"/>
          </w:cols>
          <w:pgMar w:left="320" w:top="123" w:right="3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Class III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1603375" cy="255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03375" cy="255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47</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2014</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Committees: </w:t>
      </w: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1316990</wp:posOffset>
            </wp:positionV>
            <wp:extent cx="1603375" cy="25234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03375" cy="2523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Bradley J. Dodson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President and Chief Executive Officer, Civeo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ind w:right="500"/>
        <w:spacing w:after="0" w:line="267" w:lineRule="auto"/>
        <w:rPr>
          <w:sz w:val="20"/>
          <w:szCs w:val="20"/>
          <w:color w:val="auto"/>
        </w:rPr>
      </w:pPr>
      <w:r>
        <w:rPr>
          <w:rFonts w:ascii="Arial" w:cs="Arial" w:eastAsia="Arial" w:hAnsi="Arial"/>
          <w:sz w:val="15"/>
          <w:szCs w:val="15"/>
          <w:color w:val="auto"/>
        </w:rPr>
        <w:t>Mr. Dodson holds a M.B.A. degree from The University of Texas at Austin and a B.A. degree in economics from Duke University.</w:t>
      </w:r>
    </w:p>
    <w:p>
      <w:pPr>
        <w:spacing w:after="0" w:line="78"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166370</wp:posOffset>
            </wp:positionV>
            <wp:extent cx="7139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59</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2017</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Committees:</w:t>
      </w:r>
    </w:p>
    <w:p>
      <w:pPr>
        <w:spacing w:after="0" w:line="7" w:lineRule="exact"/>
        <w:rPr>
          <w:sz w:val="20"/>
          <w:szCs w:val="20"/>
          <w:color w:val="auto"/>
        </w:rPr>
      </w:pPr>
    </w:p>
    <w:p>
      <w:pPr>
        <w:ind w:left="260"/>
        <w:spacing w:after="0" w:line="255" w:lineRule="auto"/>
        <w:rPr>
          <w:sz w:val="20"/>
          <w:szCs w:val="20"/>
          <w:color w:val="auto"/>
        </w:rPr>
      </w:pPr>
      <w:r>
        <w:rPr>
          <w:rFonts w:ascii="Arial" w:cs="Arial" w:eastAsia="Arial" w:hAnsi="Arial"/>
          <w:sz w:val="15"/>
          <w:szCs w:val="15"/>
          <w:b w:val="1"/>
          <w:bCs w:val="1"/>
          <w:color w:val="auto"/>
        </w:rPr>
        <w:t>Nominating and Corporate Governance Committee, Finance and Investment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Timothy O. Wall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706F6F"/>
        </w:rPr>
        <w:t>Former President, Kitimat LNG Upstream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706F6F"/>
        </w:rPr>
        <w:t>Independent Director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Mr. Wall served as the President of Kitimat LNG Upstream Operations, a division of 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w:t>
      </w:r>
    </w:p>
    <w:p>
      <w:pPr>
        <w:spacing w:after="0" w:line="3"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Mr. Wall has been a member of the board for several industry organizations, including the Canadian Association of Petroleum Producers, Australian Petroleum Production and Exploration Association and the Australian Minerals and Mines Association.</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Other Qualifications: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Mr. Wall received his B.S. in Petroleum Engineering from Texas A&amp;M University.</w:t>
      </w:r>
    </w:p>
    <w:p>
      <w:pPr>
        <w:spacing w:after="0" w:line="110" w:lineRule="exact"/>
        <w:rPr>
          <w:sz w:val="20"/>
          <w:szCs w:val="20"/>
          <w:color w:val="auto"/>
        </w:rPr>
      </w:pPr>
    </w:p>
    <w:p>
      <w:pPr>
        <w:ind w:right="400"/>
        <w:spacing w:after="0" w:line="258" w:lineRule="auto"/>
        <w:rPr>
          <w:sz w:val="20"/>
          <w:szCs w:val="20"/>
          <w:color w:val="auto"/>
        </w:rPr>
      </w:pPr>
      <w:r>
        <w:rPr>
          <w:rFonts w:ascii="Arial" w:cs="Arial" w:eastAsia="Arial" w:hAnsi="Arial"/>
          <w:sz w:val="15"/>
          <w:szCs w:val="15"/>
          <w:color w:val="auto"/>
        </w:rPr>
        <w:t>We believe that Mr. Wall's vast energy knowledge in Australia and Canada, his experience working with First Nations partners and his understanding of Canadian rules and regulations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133985</wp:posOffset>
            </wp:positionV>
            <wp:extent cx="7139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bl>
    <w:p>
      <w:pPr>
        <w:sectPr>
          <w:pgSz w:w="11900" w:h="16838" w:orient="portrait"/>
          <w:cols w:equalWidth="0" w:num="1">
            <w:col w:w="11240"/>
          </w:cols>
          <w:pgMar w:left="320" w:top="12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 xml:space="preserve">Board of Directors </w:t>
      </w:r>
      <w:r>
        <w:rPr>
          <w:rFonts w:ascii="Arial" w:cs="Arial" w:eastAsia="Arial" w:hAnsi="Arial"/>
          <w:sz w:val="30"/>
          <w:szCs w:val="30"/>
          <w:b w:val="1"/>
          <w:bCs w:val="1"/>
          <w:color w:val="0A2299"/>
        </w:rPr>
        <w:t>—</w:t>
      </w:r>
      <w:r>
        <w:rPr>
          <w:rFonts w:ascii="Arial" w:cs="Arial" w:eastAsia="Arial" w:hAnsi="Arial"/>
          <w:sz w:val="27"/>
          <w:szCs w:val="27"/>
          <w:b w:val="1"/>
          <w:bCs w:val="1"/>
          <w:color w:val="006DB6"/>
        </w:rPr>
        <w:t xml:space="preserve"> Refreshment/Succession Planning</w:t>
      </w:r>
    </w:p>
    <w:p>
      <w:pPr>
        <w:spacing w:after="0" w:line="140"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auto"/>
        </w:rPr>
        <w:t>In selecting nominees for the board of directors, the Nominating and Corporate Governance Committee considers, among other things, the diversity of the board of directors in terms of educational background, business industry experience, and knowledge of different geographic markets and the accommodations industry. Further, in considering nominees for director, diversity of viewpoints, expertise and experience are taken into account as well as gender, ethnicity and background. These factors are considered by the board of directors when identifying individuals for board membership. In the case of each current director being considered for renomination, the Nominating and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98"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Because Civeo operates across the globe and serves customers and guests from different nations and backgrounds, we have always sought directors who, in addition to their integrity, experience, and acumen, have diverse backgrounds and points of view. Through purposeful refreshment, the Nominating and Corporate Governance Committee is committed to seeking highly qualified women and individuals from ethnically diverse groups to include in the pool of potential director candidates and has provided this instruction to the third-party search firm that it uses to assist in the identification of potential director candidates. We currently have a search ongoing to identify and recruit a highly qualified diverse candidate whose skills and characteristics strengthen the entirety of our board of directors.</w:t>
      </w:r>
    </w:p>
    <w:p>
      <w:pPr>
        <w:sectPr>
          <w:pgSz w:w="11900" w:h="16838" w:orient="portrait"/>
          <w:cols w:equalWidth="0" w:num="1">
            <w:col w:w="11180"/>
          </w:cols>
          <w:pgMar w:left="320" w:top="123" w:right="39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128905</wp:posOffset>
            </wp:positionV>
            <wp:extent cx="187325" cy="154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7325" cy="154940"/>
                    </a:xfrm>
                    <a:prstGeom prst="rect">
                      <a:avLst/>
                    </a:prstGeom>
                    <a:noFill/>
                  </pic:spPr>
                </pic:pic>
              </a:graphicData>
            </a:graphic>
          </wp:anchor>
        </w:drawing>
      </w:r>
    </w:p>
    <w:p>
      <w:pPr>
        <w:spacing w:after="0" w:line="26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DB6"/>
        </w:rPr>
        <w:t>Candidate Search</w:t>
      </w:r>
    </w:p>
    <w:p>
      <w:pPr>
        <w:spacing w:after="0" w:line="109" w:lineRule="exact"/>
        <w:rPr>
          <w:sz w:val="20"/>
          <w:szCs w:val="20"/>
          <w:color w:val="auto"/>
        </w:rPr>
      </w:pPr>
    </w:p>
    <w:p>
      <w:pPr>
        <w:ind w:left="660" w:right="180" w:hanging="179"/>
        <w:spacing w:after="0" w:line="267" w:lineRule="auto"/>
        <w:tabs>
          <w:tab w:leader="none" w:pos="632" w:val="left"/>
        </w:tabs>
        <w:numPr>
          <w:ilvl w:val="0"/>
          <w:numId w:val="9"/>
        </w:numPr>
        <w:rPr>
          <w:rFonts w:ascii="Arial" w:cs="Arial" w:eastAsia="Arial" w:hAnsi="Arial"/>
          <w:sz w:val="15"/>
          <w:szCs w:val="15"/>
          <w:color w:val="006DB6"/>
        </w:rPr>
      </w:pPr>
      <w:r>
        <w:rPr>
          <w:rFonts w:ascii="Arial" w:cs="Arial" w:eastAsia="Arial" w:hAnsi="Arial"/>
          <w:sz w:val="15"/>
          <w:szCs w:val="15"/>
          <w:color w:val="auto"/>
        </w:rPr>
        <w:t>The Nominating and Corporate Governance Committee may seek referrals from other members of the board of directors, management, shareholders and other sources.</w:t>
      </w:r>
    </w:p>
    <w:p>
      <w:pPr>
        <w:spacing w:after="0" w:line="39" w:lineRule="exact"/>
        <w:rPr>
          <w:rFonts w:ascii="Arial" w:cs="Arial" w:eastAsia="Arial" w:hAnsi="Arial"/>
          <w:sz w:val="15"/>
          <w:szCs w:val="15"/>
          <w:color w:val="006DB6"/>
        </w:rPr>
      </w:pPr>
    </w:p>
    <w:p>
      <w:pPr>
        <w:ind w:left="660" w:right="20" w:hanging="179"/>
        <w:spacing w:after="0" w:line="267" w:lineRule="auto"/>
        <w:tabs>
          <w:tab w:leader="none" w:pos="632" w:val="left"/>
        </w:tabs>
        <w:numPr>
          <w:ilvl w:val="0"/>
          <w:numId w:val="9"/>
        </w:numPr>
        <w:rPr>
          <w:rFonts w:ascii="Arial" w:cs="Arial" w:eastAsia="Arial" w:hAnsi="Arial"/>
          <w:sz w:val="15"/>
          <w:szCs w:val="15"/>
          <w:color w:val="006DB6"/>
        </w:rPr>
      </w:pPr>
      <w:r>
        <w:rPr>
          <w:rFonts w:ascii="Arial" w:cs="Arial" w:eastAsia="Arial" w:hAnsi="Arial"/>
          <w:sz w:val="15"/>
          <w:szCs w:val="15"/>
          <w:color w:val="auto"/>
        </w:rPr>
        <w:t>The Nominating and Corporate Governance Committee also may, but need not, retain a professional search firm in order to identify, recruit and evaluate qualified candidates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187325" cy="154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7325" cy="154940"/>
                    </a:xfrm>
                    <a:prstGeom prst="rect">
                      <a:avLst/>
                    </a:prstGeom>
                    <a:noFill/>
                  </pic:spPr>
                </pic:pic>
              </a:graphicData>
            </a:graphic>
          </wp:anchor>
        </w:drawing>
      </w:r>
    </w:p>
    <w:p>
      <w:pPr>
        <w:spacing w:after="0" w:line="3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DB6"/>
        </w:rPr>
        <w:t>Consideration of Diversity and Other Relevant Factors</w:t>
      </w:r>
    </w:p>
    <w:p>
      <w:pPr>
        <w:spacing w:after="0" w:line="84" w:lineRule="exact"/>
        <w:rPr>
          <w:sz w:val="20"/>
          <w:szCs w:val="20"/>
          <w:color w:val="auto"/>
        </w:rPr>
      </w:pPr>
    </w:p>
    <w:p>
      <w:pPr>
        <w:ind w:left="660" w:hanging="179"/>
        <w:spacing w:after="0" w:line="254" w:lineRule="auto"/>
        <w:tabs>
          <w:tab w:leader="none" w:pos="632" w:val="left"/>
        </w:tabs>
        <w:numPr>
          <w:ilvl w:val="0"/>
          <w:numId w:val="10"/>
        </w:numPr>
        <w:rPr>
          <w:rFonts w:ascii="Arial" w:cs="Arial" w:eastAsia="Arial" w:hAnsi="Arial"/>
          <w:sz w:val="15"/>
          <w:szCs w:val="15"/>
          <w:color w:val="006DB6"/>
        </w:rPr>
      </w:pPr>
      <w:r>
        <w:rPr>
          <w:rFonts w:ascii="Arial" w:cs="Arial" w:eastAsia="Arial" w:hAnsi="Arial"/>
          <w:sz w:val="15"/>
          <w:szCs w:val="15"/>
          <w:color w:val="auto"/>
        </w:rPr>
        <w:t>The board of directors and the Nominating and Corporate Governance Committee are committed to actively seeking new and diverse members whose expertise lend to the greater needs of the board of directors. In that regard, the Nominating and Corporate Governance Committee considers race and gender of prospective director candidates, as well as the factors identified above in order to achieve an overall variety and mix of diversity among our directors. The effectiveness of this policy is assessed in connection with the board of directors’ annual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187325" cy="154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7325" cy="15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DB6"/>
        </w:rPr>
        <w:t>Assessment of the Nominating and Corporate Governance Committee</w:t>
      </w:r>
    </w:p>
    <w:p>
      <w:pPr>
        <w:spacing w:after="0" w:line="84" w:lineRule="exact"/>
        <w:rPr>
          <w:sz w:val="20"/>
          <w:szCs w:val="20"/>
          <w:color w:val="auto"/>
        </w:rPr>
      </w:pPr>
    </w:p>
    <w:p>
      <w:pPr>
        <w:ind w:left="660" w:right="840" w:hanging="179"/>
        <w:spacing w:after="0" w:line="267" w:lineRule="auto"/>
        <w:tabs>
          <w:tab w:leader="none" w:pos="632" w:val="left"/>
        </w:tabs>
        <w:numPr>
          <w:ilvl w:val="0"/>
          <w:numId w:val="11"/>
        </w:numPr>
        <w:rPr>
          <w:rFonts w:ascii="Arial" w:cs="Arial" w:eastAsia="Arial" w:hAnsi="Arial"/>
          <w:sz w:val="15"/>
          <w:szCs w:val="15"/>
          <w:color w:val="006DB6"/>
        </w:rPr>
      </w:pPr>
      <w:r>
        <w:rPr>
          <w:rFonts w:ascii="Arial" w:cs="Arial" w:eastAsia="Arial" w:hAnsi="Arial"/>
          <w:sz w:val="15"/>
          <w:szCs w:val="15"/>
          <w:color w:val="auto"/>
        </w:rPr>
        <w:t>The Nominating and Corporate Governance Committee reviews the candidate’s experience, independence and understanding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105410</wp:posOffset>
            </wp:positionV>
            <wp:extent cx="187325" cy="154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7325" cy="154940"/>
                    </a:xfrm>
                    <a:prstGeom prst="rect">
                      <a:avLst/>
                    </a:prstGeom>
                    <a:noFill/>
                  </pic:spPr>
                </pic:pic>
              </a:graphicData>
            </a:graphic>
          </wp:anchor>
        </w:drawing>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DB6"/>
        </w:rPr>
        <w:t>Interviews</w:t>
      </w:r>
    </w:p>
    <w:p>
      <w:pPr>
        <w:spacing w:after="0" w:line="109" w:lineRule="exact"/>
        <w:rPr>
          <w:sz w:val="20"/>
          <w:szCs w:val="20"/>
          <w:color w:val="auto"/>
        </w:rPr>
      </w:pPr>
    </w:p>
    <w:p>
      <w:pPr>
        <w:ind w:left="640" w:hanging="159"/>
        <w:spacing w:after="0"/>
        <w:tabs>
          <w:tab w:leader="none" w:pos="640" w:val="left"/>
        </w:tabs>
        <w:numPr>
          <w:ilvl w:val="0"/>
          <w:numId w:val="12"/>
        </w:numPr>
        <w:rPr>
          <w:rFonts w:ascii="Arial" w:cs="Arial" w:eastAsia="Arial" w:hAnsi="Arial"/>
          <w:sz w:val="15"/>
          <w:szCs w:val="15"/>
          <w:color w:val="006DB6"/>
        </w:rPr>
      </w:pPr>
      <w:r>
        <w:rPr>
          <w:rFonts w:ascii="Arial" w:cs="Arial" w:eastAsia="Arial" w:hAnsi="Arial"/>
          <w:sz w:val="15"/>
          <w:szCs w:val="15"/>
          <w:color w:val="auto"/>
        </w:rPr>
        <w:t>The Nominating and Corporate Governance Committee conducts an interview with each candidate.</w:t>
      </w:r>
    </w:p>
    <w:p>
      <w:pPr>
        <w:spacing w:after="0" w:line="71" w:lineRule="exact"/>
        <w:rPr>
          <w:rFonts w:ascii="Arial" w:cs="Arial" w:eastAsia="Arial" w:hAnsi="Arial"/>
          <w:sz w:val="15"/>
          <w:szCs w:val="15"/>
          <w:color w:val="006DB6"/>
        </w:rPr>
      </w:pPr>
    </w:p>
    <w:p>
      <w:pPr>
        <w:ind w:left="640" w:hanging="159"/>
        <w:spacing w:after="0"/>
        <w:tabs>
          <w:tab w:leader="none" w:pos="640" w:val="left"/>
        </w:tabs>
        <w:numPr>
          <w:ilvl w:val="0"/>
          <w:numId w:val="12"/>
        </w:numPr>
        <w:rPr>
          <w:rFonts w:ascii="Arial" w:cs="Arial" w:eastAsia="Arial" w:hAnsi="Arial"/>
          <w:sz w:val="15"/>
          <w:szCs w:val="15"/>
          <w:color w:val="006DB6"/>
        </w:rPr>
      </w:pPr>
      <w:r>
        <w:rPr>
          <w:rFonts w:ascii="Arial" w:cs="Arial" w:eastAsia="Arial" w:hAnsi="Arial"/>
          <w:sz w:val="15"/>
          <w:szCs w:val="15"/>
          <w:color w:val="auto"/>
        </w:rPr>
        <w:t>Further interviews are conducted with other directors as well as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149860</wp:posOffset>
            </wp:positionV>
            <wp:extent cx="187325" cy="154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7325" cy="154940"/>
                    </a:xfrm>
                    <a:prstGeom prst="rect">
                      <a:avLst/>
                    </a:prstGeom>
                    <a:noFill/>
                  </pic:spPr>
                </pic:pic>
              </a:graphicData>
            </a:graphic>
          </wp:anchor>
        </w:drawing>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DB6"/>
        </w:rPr>
        <w:t>Recommendations</w:t>
      </w:r>
    </w:p>
    <w:p>
      <w:pPr>
        <w:spacing w:after="0" w:line="84" w:lineRule="exact"/>
        <w:rPr>
          <w:sz w:val="20"/>
          <w:szCs w:val="20"/>
          <w:color w:val="auto"/>
        </w:rPr>
      </w:pPr>
    </w:p>
    <w:p>
      <w:pPr>
        <w:ind w:left="660" w:right="920" w:hanging="179"/>
        <w:spacing w:after="0" w:line="267" w:lineRule="auto"/>
        <w:tabs>
          <w:tab w:leader="none" w:pos="632" w:val="left"/>
        </w:tabs>
        <w:numPr>
          <w:ilvl w:val="0"/>
          <w:numId w:val="13"/>
        </w:numPr>
        <w:rPr>
          <w:rFonts w:ascii="Arial" w:cs="Arial" w:eastAsia="Arial" w:hAnsi="Arial"/>
          <w:sz w:val="15"/>
          <w:szCs w:val="15"/>
          <w:color w:val="006DB6"/>
        </w:rPr>
      </w:pPr>
      <w:r>
        <w:rPr>
          <w:rFonts w:ascii="Arial" w:cs="Arial" w:eastAsia="Arial" w:hAnsi="Arial"/>
          <w:sz w:val="15"/>
          <w:szCs w:val="15"/>
          <w:color w:val="auto"/>
        </w:rPr>
        <w:t>After the assessment and interview process, the Nominating and Corporate Governance Committee submits a recommendation of nominees to the board of directors, and the board of directors selects 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2 new directors were added 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-292735</wp:posOffset>
            </wp:positionV>
            <wp:extent cx="1237615" cy="3996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37615" cy="399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006DB6"/>
        </w:rPr>
        <w:t>Timothy O. Wall</w:t>
      </w:r>
    </w:p>
    <w:p>
      <w:pPr>
        <w:spacing w:after="0" w:line="200" w:lineRule="exact"/>
        <w:rPr>
          <w:sz w:val="20"/>
          <w:szCs w:val="20"/>
          <w:color w:val="auto"/>
        </w:rPr>
      </w:pPr>
    </w:p>
    <w:p>
      <w:pPr>
        <w:spacing w:after="0" w:line="294" w:lineRule="exact"/>
        <w:rPr>
          <w:sz w:val="20"/>
          <w:szCs w:val="20"/>
          <w:color w:val="auto"/>
        </w:rPr>
      </w:pPr>
    </w:p>
    <w:p>
      <w:pPr>
        <w:ind w:right="240" w:firstLine="217"/>
        <w:spacing w:after="0" w:line="292" w:lineRule="auto"/>
        <w:rPr>
          <w:sz w:val="20"/>
          <w:szCs w:val="20"/>
          <w:color w:val="auto"/>
        </w:rPr>
      </w:pPr>
      <w:r>
        <w:rPr>
          <w:rFonts w:ascii="Arial" w:cs="Arial" w:eastAsia="Arial" w:hAnsi="Arial"/>
          <w:sz w:val="15"/>
          <w:szCs w:val="15"/>
          <w:b w:val="1"/>
          <w:bCs w:val="1"/>
          <w:color w:val="006DB6"/>
        </w:rPr>
        <w:t xml:space="preserve">Ronald Gilbertson </w:t>
      </w:r>
      <w:r>
        <w:rPr>
          <w:rFonts w:ascii="Arial" w:cs="Arial" w:eastAsia="Arial" w:hAnsi="Arial"/>
          <w:sz w:val="15"/>
          <w:szCs w:val="15"/>
          <w:color w:val="000000"/>
        </w:rPr>
        <w:t>(resigned in 2019)</w:t>
      </w:r>
    </w:p>
    <w:p>
      <w:pPr>
        <w:spacing w:after="0" w:line="4002" w:lineRule="exact"/>
        <w:rPr>
          <w:sz w:val="20"/>
          <w:szCs w:val="20"/>
          <w:color w:val="auto"/>
        </w:rPr>
      </w:pPr>
    </w:p>
    <w:p>
      <w:pPr>
        <w:sectPr>
          <w:pgSz w:w="11900" w:h="16838" w:orient="portrait"/>
          <w:cols w:equalWidth="0" w:num="2">
            <w:col w:w="9040" w:space="340"/>
            <w:col w:w="1800"/>
          </w:cols>
          <w:pgMar w:left="320" w:top="123" w:right="399" w:bottom="1440" w:gutter="0" w:footer="0" w:header="0"/>
          <w:type w:val="continuous"/>
        </w:sectPr>
      </w:pP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Nominating and Corporate Governance Committee will consider recommendations from various sources, including from shareholders, regarding possible candidates for director. To submit a recommendation to the Nominating and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156210</wp:posOffset>
            </wp:positionV>
            <wp:extent cx="374650" cy="1873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180"/>
          </w:cols>
          <w:pgMar w:left="320" w:top="123" w:right="39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Civeo’s Corporate Governance Guidelines reflect our belief that directors should not be subject to term limits or age-based limits. While such limits could facilitate fresh ideas and viewpoints being consistently brought to the board of directors, we believe they are counterbalanced by the disadvantage of causing the loss of a director who over a period of time has developed insight into our strategies, operations and risks and continues to provide valuable contributions to board of directors deliberations. Nonetheless, our board of directors is committed to adding new directors to infuse new ideas and fresh perspectives in the boardroom. Civeo has been a separate public company since May 2014, and during that time, 14 different individuals have served on our now 7-seat board of directors. As a result, the Nominating and Corporate Governance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retirement or, in one case, a job opportunity in South Asia, or because particular shareholders who had proposed them as directors had changed their ownership positions in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Director Resignation Policy</w:t>
      </w:r>
    </w:p>
    <w:p>
      <w:pPr>
        <w:spacing w:after="0" w:line="139"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Nominating and Corporate Governance Committee for consideration. The Nominating and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and Corporate Governance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w:t>
      </w:r>
    </w:p>
    <w:p>
      <w:pPr>
        <w:spacing w:after="0" w:line="5" w:lineRule="exact"/>
        <w:rPr>
          <w:sz w:val="20"/>
          <w:szCs w:val="20"/>
          <w:color w:val="auto"/>
        </w:rPr>
      </w:pPr>
    </w:p>
    <w:p>
      <w:pPr>
        <w:ind w:right="480" w:firstLine="3"/>
        <w:spacing w:after="0" w:line="267" w:lineRule="auto"/>
        <w:tabs>
          <w:tab w:leader="none" w:pos="231" w:val="left"/>
        </w:tabs>
        <w:numPr>
          <w:ilvl w:val="0"/>
          <w:numId w:val="14"/>
        </w:numPr>
        <w:rPr>
          <w:rFonts w:ascii="Arial" w:cs="Arial" w:eastAsia="Arial" w:hAnsi="Arial"/>
          <w:sz w:val="15"/>
          <w:szCs w:val="15"/>
          <w:color w:val="auto"/>
        </w:rPr>
      </w:pPr>
      <w:r>
        <w:rPr>
          <w:rFonts w:ascii="Arial" w:cs="Arial" w:eastAsia="Arial" w:hAnsi="Arial"/>
          <w:sz w:val="15"/>
          <w:szCs w:val="15"/>
          <w:color w:val="auto"/>
        </w:rPr>
        <w:t>whether, by accepting the resignation, we will no longer be in compliance with any applicable law, rule, regulation, or governing instrument; and (6) whether accepting the resignation would be in our best interests and those of our shareholders.</w:t>
      </w:r>
    </w:p>
    <w:p>
      <w:pPr>
        <w:spacing w:after="0" w:line="78"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Civeo’s Corporate Governance Guidelines also provide that, if a director changes his or her employer or otherwise has a significant change in job responsibilities during his or her tenure as a director, that director is required to inform the Nominating and Corporate Governance Committee of the change and tender his or her resignation to the board of directors for consideration. Such resignation shall not be effective unless and until the board of directors chooses to accept the resignation. The board of directors, through the Nominating and Corporate Governance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Board of Directors — Role and Responsibilities</w:t>
      </w:r>
    </w:p>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Overview</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Oversight of Enterprise Risk</w:t>
      </w:r>
    </w:p>
    <w:p>
      <w:pPr>
        <w:spacing w:after="0" w:line="152" w:lineRule="exact"/>
        <w:rPr>
          <w:sz w:val="20"/>
          <w:szCs w:val="20"/>
          <w:color w:val="auto"/>
        </w:rPr>
      </w:pPr>
    </w:p>
    <w:p>
      <w:pPr>
        <w:ind w:right="300"/>
        <w:spacing w:after="0" w:line="253" w:lineRule="auto"/>
        <w:rPr>
          <w:sz w:val="20"/>
          <w:szCs w:val="20"/>
          <w:color w:val="auto"/>
        </w:rPr>
      </w:pPr>
      <w:r>
        <w:rPr>
          <w:rFonts w:ascii="Arial" w:cs="Arial" w:eastAsia="Arial" w:hAnsi="Arial"/>
          <w:sz w:val="15"/>
          <w:szCs w:val="15"/>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332"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bl>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139305" cy="6259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305" cy="6259830"/>
                    </a:xfrm>
                    <a:prstGeom prst="rect">
                      <a:avLst/>
                    </a:prstGeom>
                    <a:noFill/>
                  </pic:spPr>
                </pic:pic>
              </a:graphicData>
            </a:graphic>
          </wp:anchor>
        </w:drawing>
      </w: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006DB6"/>
        </w:rPr>
        <w:t>Board of Directors</w:t>
      </w:r>
    </w:p>
    <w:p>
      <w:pPr>
        <w:spacing w:after="0" w:line="243" w:lineRule="exact"/>
        <w:rPr>
          <w:sz w:val="20"/>
          <w:szCs w:val="20"/>
          <w:color w:val="auto"/>
        </w:rPr>
      </w:pPr>
    </w:p>
    <w:p>
      <w:pPr>
        <w:ind w:left="440" w:hanging="155"/>
        <w:spacing w:after="0"/>
        <w:tabs>
          <w:tab w:leader="none" w:pos="440" w:val="left"/>
        </w:tabs>
        <w:numPr>
          <w:ilvl w:val="0"/>
          <w:numId w:val="15"/>
        </w:numPr>
        <w:rPr>
          <w:rFonts w:ascii="Arial" w:cs="Arial" w:eastAsia="Arial" w:hAnsi="Arial"/>
          <w:sz w:val="15"/>
          <w:szCs w:val="15"/>
          <w:color w:val="006DB6"/>
        </w:rPr>
      </w:pPr>
      <w:r>
        <w:rPr>
          <w:rFonts w:ascii="Arial" w:cs="Arial" w:eastAsia="Arial" w:hAnsi="Arial"/>
          <w:sz w:val="15"/>
          <w:szCs w:val="15"/>
          <w:color w:val="auto"/>
        </w:rPr>
        <w:t>Is primarily responsible for the oversight of risk.</w:t>
      </w:r>
    </w:p>
    <w:p>
      <w:pPr>
        <w:spacing w:after="0" w:line="6" w:lineRule="exact"/>
        <w:rPr>
          <w:rFonts w:ascii="Arial" w:cs="Arial" w:eastAsia="Arial" w:hAnsi="Arial"/>
          <w:sz w:val="15"/>
          <w:szCs w:val="15"/>
          <w:color w:val="006DB6"/>
        </w:rPr>
      </w:pPr>
    </w:p>
    <w:p>
      <w:pPr>
        <w:ind w:left="440" w:hanging="155"/>
        <w:spacing w:after="0"/>
        <w:tabs>
          <w:tab w:leader="none" w:pos="440" w:val="left"/>
        </w:tabs>
        <w:numPr>
          <w:ilvl w:val="0"/>
          <w:numId w:val="15"/>
        </w:numPr>
        <w:rPr>
          <w:rFonts w:ascii="Arial" w:cs="Arial" w:eastAsia="Arial" w:hAnsi="Arial"/>
          <w:sz w:val="15"/>
          <w:szCs w:val="15"/>
          <w:color w:val="006DB6"/>
        </w:rPr>
      </w:pPr>
      <w:r>
        <w:rPr>
          <w:rFonts w:ascii="Arial" w:cs="Arial" w:eastAsia="Arial" w:hAnsi="Arial"/>
          <w:sz w:val="15"/>
          <w:szCs w:val="15"/>
          <w:color w:val="auto"/>
        </w:rPr>
        <w:t>Delegates responsibility for monitoring certain risks to its standing committees.</w:t>
      </w:r>
    </w:p>
    <w:p>
      <w:pPr>
        <w:spacing w:after="0" w:line="6" w:lineRule="exact"/>
        <w:rPr>
          <w:rFonts w:ascii="Arial" w:cs="Arial" w:eastAsia="Arial" w:hAnsi="Arial"/>
          <w:sz w:val="15"/>
          <w:szCs w:val="15"/>
          <w:color w:val="006DB6"/>
        </w:rPr>
      </w:pPr>
    </w:p>
    <w:p>
      <w:pPr>
        <w:ind w:left="440" w:hanging="155"/>
        <w:spacing w:after="0"/>
        <w:tabs>
          <w:tab w:leader="none" w:pos="440" w:val="left"/>
        </w:tabs>
        <w:numPr>
          <w:ilvl w:val="0"/>
          <w:numId w:val="15"/>
        </w:numPr>
        <w:rPr>
          <w:rFonts w:ascii="Arial" w:cs="Arial" w:eastAsia="Arial" w:hAnsi="Arial"/>
          <w:sz w:val="15"/>
          <w:szCs w:val="15"/>
          <w:color w:val="006DB6"/>
        </w:rPr>
      </w:pPr>
      <w:r>
        <w:rPr>
          <w:rFonts w:ascii="Arial" w:cs="Arial" w:eastAsia="Arial" w:hAnsi="Arial"/>
          <w:sz w:val="15"/>
          <w:szCs w:val="15"/>
          <w:color w:val="auto"/>
        </w:rPr>
        <w:t>Maintains responsibility for oversight of safety and food safety risk.</w:t>
      </w:r>
    </w:p>
    <w:p>
      <w:pPr>
        <w:spacing w:after="0" w:line="6" w:lineRule="exact"/>
        <w:rPr>
          <w:rFonts w:ascii="Arial" w:cs="Arial" w:eastAsia="Arial" w:hAnsi="Arial"/>
          <w:sz w:val="15"/>
          <w:szCs w:val="15"/>
          <w:color w:val="006DB6"/>
        </w:rPr>
      </w:pPr>
    </w:p>
    <w:p>
      <w:pPr>
        <w:ind w:left="440" w:hanging="155"/>
        <w:spacing w:after="0"/>
        <w:tabs>
          <w:tab w:leader="none" w:pos="440" w:val="left"/>
        </w:tabs>
        <w:numPr>
          <w:ilvl w:val="0"/>
          <w:numId w:val="15"/>
        </w:numPr>
        <w:rPr>
          <w:rFonts w:ascii="Arial" w:cs="Arial" w:eastAsia="Arial" w:hAnsi="Arial"/>
          <w:sz w:val="15"/>
          <w:szCs w:val="15"/>
          <w:color w:val="006DB6"/>
        </w:rPr>
      </w:pPr>
      <w:r>
        <w:rPr>
          <w:rFonts w:ascii="Arial" w:cs="Arial" w:eastAsia="Arial" w:hAnsi="Arial"/>
          <w:sz w:val="15"/>
          <w:szCs w:val="15"/>
          <w:color w:val="auto"/>
        </w:rPr>
        <w:t>Receives regular reports from committees and management concerning identified risks and mitigation or management of such risks.</w:t>
      </w:r>
    </w:p>
    <w:p>
      <w:pPr>
        <w:sectPr>
          <w:pgSz w:w="11900" w:h="16838" w:orient="portrait"/>
          <w:cols w:equalWidth="0" w:num="1">
            <w:col w:w="11120"/>
          </w:cols>
          <w:pgMar w:left="320" w:top="123" w:right="459" w:bottom="1440" w:gutter="0" w:footer="0" w:header="0"/>
        </w:sectPr>
      </w:pPr>
    </w:p>
    <w:p>
      <w:pPr>
        <w:spacing w:after="0" w:line="309"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Audit Committee</w:t>
      </w:r>
    </w:p>
    <w:p>
      <w:pPr>
        <w:spacing w:after="0" w:line="307" w:lineRule="exact"/>
        <w:rPr>
          <w:sz w:val="20"/>
          <w:szCs w:val="20"/>
          <w:color w:val="auto"/>
        </w:rPr>
      </w:pPr>
    </w:p>
    <w:p>
      <w:pPr>
        <w:ind w:left="440" w:hanging="155"/>
        <w:spacing w:after="0"/>
        <w:tabs>
          <w:tab w:leader="none" w:pos="440" w:val="left"/>
        </w:tabs>
        <w:numPr>
          <w:ilvl w:val="0"/>
          <w:numId w:val="16"/>
        </w:numPr>
        <w:rPr>
          <w:rFonts w:ascii="Arial" w:cs="Arial" w:eastAsia="Arial" w:hAnsi="Arial"/>
          <w:sz w:val="15"/>
          <w:szCs w:val="15"/>
          <w:color w:val="006DB6"/>
        </w:rPr>
      </w:pPr>
      <w:r>
        <w:rPr>
          <w:rFonts w:ascii="Arial" w:cs="Arial" w:eastAsia="Arial" w:hAnsi="Arial"/>
          <w:sz w:val="15"/>
          <w:szCs w:val="15"/>
          <w:color w:val="auto"/>
        </w:rPr>
        <w:t>Oversees risks related to:</w:t>
      </w:r>
    </w:p>
    <w:p>
      <w:pPr>
        <w:spacing w:after="0" w:line="83" w:lineRule="exact"/>
        <w:rPr>
          <w:rFonts w:ascii="Arial" w:cs="Arial" w:eastAsia="Arial" w:hAnsi="Arial"/>
          <w:sz w:val="15"/>
          <w:szCs w:val="15"/>
          <w:color w:val="006DB6"/>
        </w:rPr>
      </w:pPr>
    </w:p>
    <w:p>
      <w:pPr>
        <w:ind w:left="680" w:hanging="191"/>
        <w:spacing w:after="0" w:line="249" w:lineRule="auto"/>
        <w:tabs>
          <w:tab w:leader="none" w:pos="678" w:val="left"/>
        </w:tabs>
        <w:numPr>
          <w:ilvl w:val="1"/>
          <w:numId w:val="16"/>
        </w:numPr>
        <w:rPr>
          <w:rFonts w:ascii="Arial" w:cs="Arial" w:eastAsia="Arial" w:hAnsi="Arial"/>
          <w:sz w:val="15"/>
          <w:szCs w:val="15"/>
          <w:color w:val="auto"/>
        </w:rPr>
      </w:pPr>
      <w:r>
        <w:rPr>
          <w:rFonts w:ascii="Arial" w:cs="Arial" w:eastAsia="Arial" w:hAnsi="Arial"/>
          <w:sz w:val="15"/>
          <w:szCs w:val="15"/>
          <w:color w:val="auto"/>
        </w:rPr>
        <w:t>Financial statements, financial reporting process and internal controls over financial reporting;</w:t>
      </w:r>
    </w:p>
    <w:p>
      <w:pPr>
        <w:spacing w:after="0" w:line="1" w:lineRule="exact"/>
        <w:rPr>
          <w:rFonts w:ascii="Arial" w:cs="Arial" w:eastAsia="Arial" w:hAnsi="Arial"/>
          <w:sz w:val="15"/>
          <w:szCs w:val="15"/>
          <w:color w:val="auto"/>
        </w:rPr>
      </w:pPr>
    </w:p>
    <w:p>
      <w:pPr>
        <w:ind w:left="680" w:hanging="191"/>
        <w:spacing w:after="0"/>
        <w:tabs>
          <w:tab w:leader="none" w:pos="6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Regulatory and accounting compliance;</w:t>
      </w:r>
    </w:p>
    <w:p>
      <w:pPr>
        <w:spacing w:after="0" w:line="6" w:lineRule="exact"/>
        <w:rPr>
          <w:rFonts w:ascii="Arial" w:cs="Arial" w:eastAsia="Arial" w:hAnsi="Arial"/>
          <w:sz w:val="15"/>
          <w:szCs w:val="15"/>
          <w:color w:val="auto"/>
        </w:rPr>
      </w:pPr>
    </w:p>
    <w:p>
      <w:pPr>
        <w:ind w:left="680" w:hanging="191"/>
        <w:spacing w:after="0"/>
        <w:tabs>
          <w:tab w:leader="none" w:pos="6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Litigation risks;</w:t>
      </w:r>
    </w:p>
    <w:p>
      <w:pPr>
        <w:spacing w:after="0" w:line="6" w:lineRule="exact"/>
        <w:rPr>
          <w:rFonts w:ascii="Arial" w:cs="Arial" w:eastAsia="Arial" w:hAnsi="Arial"/>
          <w:sz w:val="15"/>
          <w:szCs w:val="15"/>
          <w:color w:val="auto"/>
        </w:rPr>
      </w:pPr>
    </w:p>
    <w:p>
      <w:pPr>
        <w:ind w:left="680" w:hanging="191"/>
        <w:spacing w:after="0"/>
        <w:tabs>
          <w:tab w:leader="none" w:pos="6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Technology and cybersecurity risks; and</w:t>
      </w:r>
    </w:p>
    <w:p>
      <w:pPr>
        <w:spacing w:after="0" w:line="6" w:lineRule="exact"/>
        <w:rPr>
          <w:rFonts w:ascii="Arial" w:cs="Arial" w:eastAsia="Arial" w:hAnsi="Arial"/>
          <w:sz w:val="15"/>
          <w:szCs w:val="15"/>
          <w:color w:val="auto"/>
        </w:rPr>
      </w:pPr>
    </w:p>
    <w:p>
      <w:pPr>
        <w:ind w:left="680" w:hanging="191"/>
        <w:spacing w:after="0"/>
        <w:tabs>
          <w:tab w:leader="none" w:pos="6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Succession of accounting and finance personnel.</w:t>
      </w:r>
    </w:p>
    <w:p>
      <w:pPr>
        <w:spacing w:after="0" w:line="71" w:lineRule="exact"/>
        <w:rPr>
          <w:rFonts w:ascii="Arial" w:cs="Arial" w:eastAsia="Arial" w:hAnsi="Arial"/>
          <w:sz w:val="15"/>
          <w:szCs w:val="15"/>
          <w:color w:val="auto"/>
        </w:rPr>
      </w:pPr>
    </w:p>
    <w:p>
      <w:pPr>
        <w:ind w:left="460" w:right="20" w:hanging="175"/>
        <w:spacing w:after="0" w:line="267" w:lineRule="auto"/>
        <w:tabs>
          <w:tab w:leader="none" w:pos="432" w:val="left"/>
        </w:tabs>
        <w:numPr>
          <w:ilvl w:val="0"/>
          <w:numId w:val="16"/>
        </w:numPr>
        <w:rPr>
          <w:rFonts w:ascii="Arial" w:cs="Arial" w:eastAsia="Arial" w:hAnsi="Arial"/>
          <w:sz w:val="15"/>
          <w:szCs w:val="15"/>
          <w:color w:val="006DB6"/>
        </w:rPr>
      </w:pPr>
      <w:r>
        <w:rPr>
          <w:rFonts w:ascii="Arial" w:cs="Arial" w:eastAsia="Arial" w:hAnsi="Arial"/>
          <w:sz w:val="15"/>
          <w:szCs w:val="15"/>
          <w:color w:val="auto"/>
        </w:rPr>
        <w:t>Oversees the internal audit function, including an annual review of scope and duties.</w:t>
      </w:r>
    </w:p>
    <w:p>
      <w:pPr>
        <w:spacing w:after="0" w:line="39" w:lineRule="exact"/>
        <w:rPr>
          <w:rFonts w:ascii="Arial" w:cs="Arial" w:eastAsia="Arial" w:hAnsi="Arial"/>
          <w:sz w:val="15"/>
          <w:szCs w:val="15"/>
          <w:color w:val="006DB6"/>
        </w:rPr>
      </w:pPr>
    </w:p>
    <w:p>
      <w:pPr>
        <w:ind w:left="440" w:hanging="155"/>
        <w:spacing w:after="0"/>
        <w:tabs>
          <w:tab w:leader="none" w:pos="440" w:val="left"/>
        </w:tabs>
        <w:numPr>
          <w:ilvl w:val="0"/>
          <w:numId w:val="16"/>
        </w:numPr>
        <w:rPr>
          <w:rFonts w:ascii="Arial" w:cs="Arial" w:eastAsia="Arial" w:hAnsi="Arial"/>
          <w:sz w:val="15"/>
          <w:szCs w:val="15"/>
          <w:color w:val="006DB6"/>
        </w:rPr>
      </w:pPr>
      <w:r>
        <w:rPr>
          <w:rFonts w:ascii="Arial" w:cs="Arial" w:eastAsia="Arial" w:hAnsi="Arial"/>
          <w:sz w:val="15"/>
          <w:szCs w:val="15"/>
          <w:color w:val="auto"/>
        </w:rPr>
        <w:t>Reviews results of management's risk assessment.</w:t>
      </w:r>
    </w:p>
    <w:p>
      <w:pPr>
        <w:spacing w:after="0" w:line="37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307" w:lineRule="exact"/>
        <w:rPr>
          <w:sz w:val="20"/>
          <w:szCs w:val="20"/>
          <w:color w:val="auto"/>
        </w:rPr>
      </w:pPr>
    </w:p>
    <w:p>
      <w:pPr>
        <w:ind w:left="440" w:hanging="155"/>
        <w:spacing w:after="0"/>
        <w:tabs>
          <w:tab w:leader="none" w:pos="440" w:val="left"/>
        </w:tabs>
        <w:numPr>
          <w:ilvl w:val="1"/>
          <w:numId w:val="17"/>
        </w:numPr>
        <w:rPr>
          <w:rFonts w:ascii="Arial" w:cs="Arial" w:eastAsia="Arial" w:hAnsi="Arial"/>
          <w:sz w:val="15"/>
          <w:szCs w:val="15"/>
          <w:color w:val="006DB6"/>
        </w:rPr>
      </w:pPr>
      <w:r>
        <w:rPr>
          <w:rFonts w:ascii="Arial" w:cs="Arial" w:eastAsia="Arial" w:hAnsi="Arial"/>
          <w:sz w:val="15"/>
          <w:szCs w:val="15"/>
          <w:color w:val="auto"/>
        </w:rPr>
        <w:t>Oversees risks related to:</w:t>
      </w:r>
    </w:p>
    <w:p>
      <w:pPr>
        <w:spacing w:after="0" w:line="83" w:lineRule="exact"/>
        <w:rPr>
          <w:rFonts w:ascii="Arial" w:cs="Arial" w:eastAsia="Arial" w:hAnsi="Arial"/>
          <w:sz w:val="15"/>
          <w:szCs w:val="15"/>
          <w:color w:val="006DB6"/>
        </w:rPr>
      </w:pPr>
    </w:p>
    <w:p>
      <w:pPr>
        <w:ind w:left="760" w:right="580" w:hanging="194"/>
        <w:spacing w:after="0" w:line="249" w:lineRule="auto"/>
        <w:tabs>
          <w:tab w:leader="none" w:pos="758" w:val="left"/>
        </w:tabs>
        <w:numPr>
          <w:ilvl w:val="2"/>
          <w:numId w:val="17"/>
        </w:numPr>
        <w:rPr>
          <w:rFonts w:ascii="Arial" w:cs="Arial" w:eastAsia="Arial" w:hAnsi="Arial"/>
          <w:sz w:val="15"/>
          <w:szCs w:val="15"/>
          <w:color w:val="006DB6"/>
        </w:rPr>
      </w:pPr>
      <w:r>
        <w:rPr>
          <w:rFonts w:ascii="Arial" w:cs="Arial" w:eastAsia="Arial" w:hAnsi="Arial"/>
          <w:sz w:val="15"/>
          <w:szCs w:val="15"/>
          <w:color w:val="auto"/>
        </w:rPr>
        <w:t>Independence of board of directors and potential conflicts of interest;</w:t>
      </w:r>
    </w:p>
    <w:p>
      <w:pPr>
        <w:spacing w:after="0" w:line="1" w:lineRule="exact"/>
        <w:rPr>
          <w:rFonts w:ascii="Arial" w:cs="Arial" w:eastAsia="Arial" w:hAnsi="Arial"/>
          <w:sz w:val="15"/>
          <w:szCs w:val="15"/>
          <w:color w:val="006DB6"/>
        </w:rPr>
      </w:pPr>
    </w:p>
    <w:p>
      <w:pPr>
        <w:ind w:left="760" w:right="820" w:hanging="194"/>
        <w:spacing w:after="0" w:line="249" w:lineRule="auto"/>
        <w:tabs>
          <w:tab w:leader="none" w:pos="758" w:val="left"/>
        </w:tabs>
        <w:numPr>
          <w:ilvl w:val="2"/>
          <w:numId w:val="17"/>
        </w:numPr>
        <w:rPr>
          <w:rFonts w:ascii="Arial" w:cs="Arial" w:eastAsia="Arial" w:hAnsi="Arial"/>
          <w:sz w:val="15"/>
          <w:szCs w:val="15"/>
          <w:color w:val="auto"/>
        </w:rPr>
      </w:pPr>
      <w:r>
        <w:rPr>
          <w:rFonts w:ascii="Arial" w:cs="Arial" w:eastAsia="Arial" w:hAnsi="Arial"/>
          <w:sz w:val="15"/>
          <w:szCs w:val="15"/>
          <w:color w:val="auto"/>
        </w:rPr>
        <w:t>Composition of board of directors and related committee composition; and</w:t>
      </w:r>
    </w:p>
    <w:p>
      <w:pPr>
        <w:spacing w:after="0" w:line="1" w:lineRule="exact"/>
        <w:rPr>
          <w:rFonts w:ascii="Arial" w:cs="Arial" w:eastAsia="Arial" w:hAnsi="Arial"/>
          <w:sz w:val="15"/>
          <w:szCs w:val="15"/>
          <w:color w:val="auto"/>
        </w:rPr>
      </w:pPr>
    </w:p>
    <w:p>
      <w:pPr>
        <w:ind w:left="740" w:hanging="174"/>
        <w:spacing w:after="0"/>
        <w:tabs>
          <w:tab w:leader="none" w:pos="7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Corporate governance.</w:t>
      </w:r>
    </w:p>
    <w:p>
      <w:pPr>
        <w:spacing w:after="0" w:line="6" w:lineRule="exact"/>
        <w:rPr>
          <w:rFonts w:ascii="Arial" w:cs="Arial" w:eastAsia="Arial" w:hAnsi="Arial"/>
          <w:sz w:val="15"/>
          <w:szCs w:val="15"/>
          <w:color w:val="auto"/>
        </w:rPr>
      </w:pPr>
    </w:p>
    <w:p>
      <w:pPr>
        <w:ind w:left="440" w:right="340" w:hanging="182"/>
        <w:spacing w:after="0" w:line="267" w:lineRule="auto"/>
        <w:tabs>
          <w:tab w:leader="none" w:pos="412" w:val="left"/>
        </w:tabs>
        <w:numPr>
          <w:ilvl w:val="0"/>
          <w:numId w:val="17"/>
        </w:numPr>
        <w:rPr>
          <w:rFonts w:ascii="Arial" w:cs="Arial" w:eastAsia="Arial" w:hAnsi="Arial"/>
          <w:sz w:val="15"/>
          <w:szCs w:val="15"/>
          <w:color w:val="006DB6"/>
        </w:rPr>
      </w:pPr>
      <w:r>
        <w:rPr>
          <w:rFonts w:ascii="Arial" w:cs="Arial" w:eastAsia="Arial" w:hAnsi="Arial"/>
          <w:sz w:val="15"/>
          <w:szCs w:val="15"/>
          <w:color w:val="auto"/>
        </w:rPr>
        <w:t>Performs annual evaluation of the board of directors, each individual director and each committee.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609"/>
        <w:spacing w:after="0"/>
        <w:rPr>
          <w:sz w:val="20"/>
          <w:szCs w:val="20"/>
          <w:color w:val="auto"/>
        </w:rPr>
      </w:pPr>
      <w:r>
        <w:rPr>
          <w:rFonts w:ascii="Arial" w:cs="Arial" w:eastAsia="Arial" w:hAnsi="Arial"/>
          <w:sz w:val="15"/>
          <w:szCs w:val="15"/>
          <w:b w:val="1"/>
          <w:bCs w:val="1"/>
          <w:color w:val="auto"/>
        </w:rPr>
        <w:t>Compensation Committee</w:t>
      </w:r>
    </w:p>
    <w:p>
      <w:pPr>
        <w:spacing w:after="0" w:line="307" w:lineRule="exact"/>
        <w:rPr>
          <w:sz w:val="20"/>
          <w:szCs w:val="20"/>
          <w:color w:val="auto"/>
        </w:rPr>
      </w:pPr>
    </w:p>
    <w:p>
      <w:pPr>
        <w:ind w:left="149" w:hanging="149"/>
        <w:spacing w:after="0"/>
        <w:tabs>
          <w:tab w:leader="none" w:pos="149" w:val="left"/>
        </w:tabs>
        <w:numPr>
          <w:ilvl w:val="0"/>
          <w:numId w:val="18"/>
        </w:numPr>
        <w:rPr>
          <w:rFonts w:ascii="Arial" w:cs="Arial" w:eastAsia="Arial" w:hAnsi="Arial"/>
          <w:sz w:val="15"/>
          <w:szCs w:val="15"/>
          <w:color w:val="006DB6"/>
        </w:rPr>
      </w:pPr>
      <w:r>
        <w:rPr>
          <w:rFonts w:ascii="Arial" w:cs="Arial" w:eastAsia="Arial" w:hAnsi="Arial"/>
          <w:sz w:val="15"/>
          <w:szCs w:val="15"/>
          <w:color w:val="auto"/>
        </w:rPr>
        <w:t>Oversees risks related to:</w:t>
      </w:r>
    </w:p>
    <w:p>
      <w:pPr>
        <w:spacing w:after="0" w:line="83" w:lineRule="exact"/>
        <w:rPr>
          <w:rFonts w:ascii="Arial" w:cs="Arial" w:eastAsia="Arial" w:hAnsi="Arial"/>
          <w:sz w:val="15"/>
          <w:szCs w:val="15"/>
          <w:color w:val="006DB6"/>
        </w:rPr>
      </w:pPr>
    </w:p>
    <w:p>
      <w:pPr>
        <w:ind w:left="389" w:hanging="186"/>
        <w:spacing w:after="0"/>
        <w:tabs>
          <w:tab w:leader="none" w:pos="389" w:val="left"/>
        </w:tabs>
        <w:numPr>
          <w:ilvl w:val="1"/>
          <w:numId w:val="18"/>
        </w:numPr>
        <w:rPr>
          <w:rFonts w:ascii="Arial" w:cs="Arial" w:eastAsia="Arial" w:hAnsi="Arial"/>
          <w:sz w:val="15"/>
          <w:szCs w:val="15"/>
          <w:color w:val="auto"/>
        </w:rPr>
      </w:pPr>
      <w:r>
        <w:rPr>
          <w:rFonts w:ascii="Arial" w:cs="Arial" w:eastAsia="Arial" w:hAnsi="Arial"/>
          <w:sz w:val="15"/>
          <w:szCs w:val="15"/>
          <w:color w:val="auto"/>
        </w:rPr>
        <w:t>Executive compensation; and</w:t>
      </w:r>
    </w:p>
    <w:p>
      <w:pPr>
        <w:spacing w:after="0" w:line="6" w:lineRule="exact"/>
        <w:rPr>
          <w:rFonts w:ascii="Arial" w:cs="Arial" w:eastAsia="Arial" w:hAnsi="Arial"/>
          <w:sz w:val="15"/>
          <w:szCs w:val="15"/>
          <w:color w:val="auto"/>
        </w:rPr>
      </w:pPr>
    </w:p>
    <w:p>
      <w:pPr>
        <w:ind w:left="389" w:hanging="186"/>
        <w:spacing w:after="0"/>
        <w:tabs>
          <w:tab w:leader="none" w:pos="389" w:val="left"/>
        </w:tabs>
        <w:numPr>
          <w:ilvl w:val="1"/>
          <w:numId w:val="18"/>
        </w:numPr>
        <w:rPr>
          <w:rFonts w:ascii="Arial" w:cs="Arial" w:eastAsia="Arial" w:hAnsi="Arial"/>
          <w:sz w:val="15"/>
          <w:szCs w:val="15"/>
          <w:color w:val="auto"/>
        </w:rPr>
      </w:pPr>
      <w:r>
        <w:rPr>
          <w:rFonts w:ascii="Arial" w:cs="Arial" w:eastAsia="Arial" w:hAnsi="Arial"/>
          <w:sz w:val="15"/>
          <w:szCs w:val="15"/>
          <w:color w:val="auto"/>
        </w:rPr>
        <w:t>Succession of key personnel.</w:t>
      </w:r>
    </w:p>
    <w:p>
      <w:pPr>
        <w:spacing w:after="0" w:line="71" w:lineRule="exact"/>
        <w:rPr>
          <w:rFonts w:ascii="Arial" w:cs="Arial" w:eastAsia="Arial" w:hAnsi="Arial"/>
          <w:sz w:val="15"/>
          <w:szCs w:val="15"/>
          <w:color w:val="auto"/>
        </w:rPr>
      </w:pPr>
    </w:p>
    <w:p>
      <w:pPr>
        <w:ind w:left="189" w:right="260" w:hanging="189"/>
        <w:spacing w:after="0" w:line="255" w:lineRule="auto"/>
        <w:tabs>
          <w:tab w:leader="none" w:pos="161" w:val="left"/>
        </w:tabs>
        <w:numPr>
          <w:ilvl w:val="0"/>
          <w:numId w:val="18"/>
        </w:numPr>
        <w:rPr>
          <w:rFonts w:ascii="Arial" w:cs="Arial" w:eastAsia="Arial" w:hAnsi="Arial"/>
          <w:sz w:val="15"/>
          <w:szCs w:val="15"/>
          <w:color w:val="006DB6"/>
        </w:rPr>
      </w:pPr>
      <w:r>
        <w:rPr>
          <w:rFonts w:ascii="Arial" w:cs="Arial" w:eastAsia="Arial" w:hAnsi="Arial"/>
          <w:sz w:val="15"/>
          <w:szCs w:val="15"/>
          <w:color w:val="auto"/>
        </w:rPr>
        <w:t>Reviews our compensation policies to ensure they do not encourage excessive or unnecessary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9"/>
        <w:spacing w:after="0"/>
        <w:rPr>
          <w:sz w:val="20"/>
          <w:szCs w:val="20"/>
          <w:color w:val="auto"/>
        </w:rPr>
      </w:pPr>
      <w:r>
        <w:rPr>
          <w:rFonts w:ascii="Arial" w:cs="Arial" w:eastAsia="Arial" w:hAnsi="Arial"/>
          <w:sz w:val="15"/>
          <w:szCs w:val="15"/>
          <w:b w:val="1"/>
          <w:bCs w:val="1"/>
          <w:color w:val="auto"/>
        </w:rPr>
        <w:t>Finance and Investment Committee</w:t>
      </w:r>
    </w:p>
    <w:p>
      <w:pPr>
        <w:spacing w:after="0" w:line="307" w:lineRule="exact"/>
        <w:rPr>
          <w:sz w:val="20"/>
          <w:szCs w:val="20"/>
          <w:color w:val="auto"/>
        </w:rPr>
      </w:pPr>
    </w:p>
    <w:p>
      <w:pPr>
        <w:ind w:left="149" w:hanging="149"/>
        <w:spacing w:after="0"/>
        <w:tabs>
          <w:tab w:leader="none" w:pos="149" w:val="left"/>
        </w:tabs>
        <w:numPr>
          <w:ilvl w:val="0"/>
          <w:numId w:val="19"/>
        </w:numPr>
        <w:rPr>
          <w:rFonts w:ascii="Arial" w:cs="Arial" w:eastAsia="Arial" w:hAnsi="Arial"/>
          <w:sz w:val="15"/>
          <w:szCs w:val="15"/>
          <w:color w:val="006DB6"/>
        </w:rPr>
      </w:pPr>
      <w:r>
        <w:rPr>
          <w:rFonts w:ascii="Arial" w:cs="Arial" w:eastAsia="Arial" w:hAnsi="Arial"/>
          <w:sz w:val="15"/>
          <w:szCs w:val="15"/>
          <w:color w:val="auto"/>
        </w:rPr>
        <w:t>Involved in risk considerations related to:</w:t>
      </w:r>
    </w:p>
    <w:p>
      <w:pPr>
        <w:spacing w:after="0" w:line="83" w:lineRule="exact"/>
        <w:rPr>
          <w:rFonts w:ascii="Arial" w:cs="Arial" w:eastAsia="Arial" w:hAnsi="Arial"/>
          <w:sz w:val="15"/>
          <w:szCs w:val="15"/>
          <w:color w:val="006DB6"/>
        </w:rPr>
      </w:pPr>
    </w:p>
    <w:p>
      <w:pPr>
        <w:ind w:left="389" w:hanging="186"/>
        <w:spacing w:after="0"/>
        <w:tabs>
          <w:tab w:leader="none" w:pos="389" w:val="left"/>
        </w:tabs>
        <w:numPr>
          <w:ilvl w:val="1"/>
          <w:numId w:val="19"/>
        </w:numPr>
        <w:rPr>
          <w:rFonts w:ascii="Arial" w:cs="Arial" w:eastAsia="Arial" w:hAnsi="Arial"/>
          <w:sz w:val="15"/>
          <w:szCs w:val="15"/>
          <w:color w:val="auto"/>
        </w:rPr>
      </w:pPr>
      <w:r>
        <w:rPr>
          <w:rFonts w:ascii="Arial" w:cs="Arial" w:eastAsia="Arial" w:hAnsi="Arial"/>
          <w:sz w:val="15"/>
          <w:szCs w:val="15"/>
          <w:color w:val="auto"/>
        </w:rPr>
        <w:t>Civeo's strategic objectives;</w:t>
      </w:r>
    </w:p>
    <w:p>
      <w:pPr>
        <w:spacing w:after="0" w:line="6" w:lineRule="exact"/>
        <w:rPr>
          <w:rFonts w:ascii="Arial" w:cs="Arial" w:eastAsia="Arial" w:hAnsi="Arial"/>
          <w:sz w:val="15"/>
          <w:szCs w:val="15"/>
          <w:color w:val="auto"/>
        </w:rPr>
      </w:pPr>
    </w:p>
    <w:p>
      <w:pPr>
        <w:ind w:left="389" w:hanging="186"/>
        <w:spacing w:after="0"/>
        <w:tabs>
          <w:tab w:leader="none" w:pos="389" w:val="left"/>
        </w:tabs>
        <w:numPr>
          <w:ilvl w:val="1"/>
          <w:numId w:val="19"/>
        </w:numPr>
        <w:rPr>
          <w:rFonts w:ascii="Arial" w:cs="Arial" w:eastAsia="Arial" w:hAnsi="Arial"/>
          <w:sz w:val="15"/>
          <w:szCs w:val="15"/>
          <w:color w:val="auto"/>
        </w:rPr>
      </w:pPr>
      <w:r>
        <w:rPr>
          <w:rFonts w:ascii="Arial" w:cs="Arial" w:eastAsia="Arial" w:hAnsi="Arial"/>
          <w:sz w:val="15"/>
          <w:szCs w:val="15"/>
          <w:color w:val="auto"/>
        </w:rPr>
        <w:t>Capital allocation policies;</w:t>
      </w:r>
    </w:p>
    <w:p>
      <w:pPr>
        <w:spacing w:after="0" w:line="6" w:lineRule="exact"/>
        <w:rPr>
          <w:rFonts w:ascii="Arial" w:cs="Arial" w:eastAsia="Arial" w:hAnsi="Arial"/>
          <w:sz w:val="15"/>
          <w:szCs w:val="15"/>
          <w:color w:val="auto"/>
        </w:rPr>
      </w:pPr>
    </w:p>
    <w:p>
      <w:pPr>
        <w:ind w:left="389" w:hanging="186"/>
        <w:spacing w:after="0"/>
        <w:tabs>
          <w:tab w:leader="none" w:pos="389"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Debt strategies; and</w:t>
      </w:r>
    </w:p>
    <w:p>
      <w:pPr>
        <w:spacing w:after="0" w:line="6" w:lineRule="exact"/>
        <w:rPr>
          <w:rFonts w:ascii="Arial" w:cs="Arial" w:eastAsia="Arial" w:hAnsi="Arial"/>
          <w:sz w:val="15"/>
          <w:szCs w:val="15"/>
          <w:color w:val="auto"/>
        </w:rPr>
      </w:pPr>
    </w:p>
    <w:p>
      <w:pPr>
        <w:ind w:left="389" w:hanging="186"/>
        <w:spacing w:after="0"/>
        <w:tabs>
          <w:tab w:leader="none" w:pos="389" w:val="left"/>
        </w:tabs>
        <w:numPr>
          <w:ilvl w:val="1"/>
          <w:numId w:val="19"/>
        </w:numPr>
        <w:rPr>
          <w:rFonts w:ascii="Arial" w:cs="Arial" w:eastAsia="Arial" w:hAnsi="Arial"/>
          <w:sz w:val="15"/>
          <w:szCs w:val="15"/>
          <w:color w:val="auto"/>
        </w:rPr>
      </w:pPr>
      <w:r>
        <w:rPr>
          <w:rFonts w:ascii="Arial" w:cs="Arial" w:eastAsia="Arial" w:hAnsi="Arial"/>
          <w:sz w:val="15"/>
          <w:szCs w:val="15"/>
          <w:color w:val="auto"/>
        </w:rPr>
        <w:t>Distributions and return of capital transactions.</w:t>
      </w:r>
    </w:p>
    <w:p>
      <w:pPr>
        <w:spacing w:after="0" w:line="770" w:lineRule="exact"/>
        <w:rPr>
          <w:sz w:val="20"/>
          <w:szCs w:val="20"/>
          <w:color w:val="auto"/>
        </w:rPr>
      </w:pPr>
    </w:p>
    <w:p>
      <w:pPr>
        <w:sectPr>
          <w:pgSz w:w="11900" w:h="16838" w:orient="portrait"/>
          <w:cols w:equalWidth="0" w:num="2">
            <w:col w:w="5400" w:space="411"/>
            <w:col w:w="5309"/>
          </w:cols>
          <w:pgMar w:left="320" w:top="123" w:right="459" w:bottom="1440" w:gutter="0" w:footer="0" w:header="0"/>
          <w:type w:val="continuous"/>
        </w:sectPr>
      </w:pP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006DB6"/>
        </w:rPr>
        <w:t>Management</w:t>
      </w:r>
    </w:p>
    <w:p>
      <w:pPr>
        <w:spacing w:after="0" w:line="243" w:lineRule="exact"/>
        <w:rPr>
          <w:sz w:val="20"/>
          <w:szCs w:val="20"/>
          <w:color w:val="auto"/>
        </w:rPr>
      </w:pPr>
    </w:p>
    <w:p>
      <w:pPr>
        <w:ind w:left="360" w:hanging="148"/>
        <w:spacing w:after="0"/>
        <w:tabs>
          <w:tab w:leader="none" w:pos="360" w:val="left"/>
        </w:tabs>
        <w:numPr>
          <w:ilvl w:val="0"/>
          <w:numId w:val="20"/>
        </w:numPr>
        <w:rPr>
          <w:rFonts w:ascii="Arial" w:cs="Arial" w:eastAsia="Arial" w:hAnsi="Arial"/>
          <w:sz w:val="15"/>
          <w:szCs w:val="15"/>
          <w:color w:val="006DB6"/>
        </w:rPr>
      </w:pPr>
      <w:r>
        <w:rPr>
          <w:rFonts w:ascii="Arial" w:cs="Arial" w:eastAsia="Arial" w:hAnsi="Arial"/>
          <w:sz w:val="15"/>
          <w:szCs w:val="15"/>
          <w:color w:val="auto"/>
        </w:rPr>
        <w:t>Is responsible for day-to-day risk management.</w:t>
      </w:r>
    </w:p>
    <w:p>
      <w:pPr>
        <w:spacing w:after="0" w:line="6" w:lineRule="exact"/>
        <w:rPr>
          <w:rFonts w:ascii="Arial" w:cs="Arial" w:eastAsia="Arial" w:hAnsi="Arial"/>
          <w:sz w:val="15"/>
          <w:szCs w:val="15"/>
          <w:color w:val="006DB6"/>
        </w:rPr>
      </w:pPr>
    </w:p>
    <w:p>
      <w:pPr>
        <w:ind w:left="360" w:hanging="148"/>
        <w:spacing w:after="0"/>
        <w:tabs>
          <w:tab w:leader="none" w:pos="360" w:val="left"/>
        </w:tabs>
        <w:numPr>
          <w:ilvl w:val="0"/>
          <w:numId w:val="20"/>
        </w:numPr>
        <w:rPr>
          <w:rFonts w:ascii="Arial" w:cs="Arial" w:eastAsia="Arial" w:hAnsi="Arial"/>
          <w:sz w:val="15"/>
          <w:szCs w:val="15"/>
          <w:color w:val="006DB6"/>
        </w:rPr>
      </w:pPr>
      <w:r>
        <w:rPr>
          <w:rFonts w:ascii="Arial" w:cs="Arial" w:eastAsia="Arial" w:hAnsi="Arial"/>
          <w:sz w:val="15"/>
          <w:szCs w:val="15"/>
          <w:color w:val="auto"/>
        </w:rPr>
        <w:t>Conducts an annual risk assessment of our business.</w:t>
      </w:r>
    </w:p>
    <w:p>
      <w:pPr>
        <w:spacing w:after="0" w:line="6" w:lineRule="exact"/>
        <w:rPr>
          <w:rFonts w:ascii="Arial" w:cs="Arial" w:eastAsia="Arial" w:hAnsi="Arial"/>
          <w:sz w:val="15"/>
          <w:szCs w:val="15"/>
          <w:color w:val="006DB6"/>
        </w:rPr>
      </w:pPr>
    </w:p>
    <w:p>
      <w:pPr>
        <w:ind w:left="360" w:hanging="148"/>
        <w:spacing w:after="0"/>
        <w:tabs>
          <w:tab w:leader="none" w:pos="360" w:val="left"/>
        </w:tabs>
        <w:numPr>
          <w:ilvl w:val="0"/>
          <w:numId w:val="20"/>
        </w:numPr>
        <w:rPr>
          <w:rFonts w:ascii="Arial" w:cs="Arial" w:eastAsia="Arial" w:hAnsi="Arial"/>
          <w:sz w:val="15"/>
          <w:szCs w:val="15"/>
          <w:color w:val="006DB6"/>
        </w:rPr>
      </w:pPr>
      <w:r>
        <w:rPr>
          <w:rFonts w:ascii="Arial" w:cs="Arial" w:eastAsia="Arial" w:hAnsi="Arial"/>
          <w:sz w:val="15"/>
          <w:szCs w:val="15"/>
          <w:color w:val="auto"/>
        </w:rPr>
        <w:t>Incorporates risk assessment into annual internal audit plan.</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006DB6"/>
        </w:rPr>
        <w:t>Cybersecurity Risk Oversight Strategy</w:t>
      </w:r>
    </w:p>
    <w:p>
      <w:pPr>
        <w:spacing w:after="0" w:line="230" w:lineRule="exact"/>
        <w:rPr>
          <w:sz w:val="20"/>
          <w:szCs w:val="20"/>
          <w:color w:val="auto"/>
        </w:rPr>
      </w:pPr>
    </w:p>
    <w:p>
      <w:pPr>
        <w:ind w:left="220" w:right="400"/>
        <w:spacing w:after="0"/>
        <w:rPr>
          <w:sz w:val="20"/>
          <w:szCs w:val="20"/>
          <w:color w:val="auto"/>
        </w:rPr>
      </w:pPr>
      <w:r>
        <w:rPr>
          <w:rFonts w:ascii="Arial" w:cs="Arial" w:eastAsia="Arial" w:hAnsi="Arial"/>
          <w:sz w:val="15"/>
          <w:szCs w:val="15"/>
          <w:color w:val="auto"/>
        </w:rPr>
        <w:t>Cybersecurity risks are continuously monitored and evaluated by management in partnership with internal audit. Civeo engages a variety of cybersecurity partners to perform and mediate penetration testing, as well as perform quarterly audits on our cyber security profile. Management has also implemented a variety of required programs to both test and train our employees on cybersecurity fundamentals.</w:t>
      </w:r>
    </w:p>
    <w:p>
      <w:pPr>
        <w:spacing w:after="0" w:line="213" w:lineRule="exact"/>
        <w:rPr>
          <w:sz w:val="20"/>
          <w:szCs w:val="20"/>
          <w:color w:val="auto"/>
        </w:rPr>
      </w:pPr>
    </w:p>
    <w:p>
      <w:pPr>
        <w:ind w:left="220" w:right="600"/>
        <w:spacing w:after="0" w:line="249" w:lineRule="auto"/>
        <w:rPr>
          <w:sz w:val="20"/>
          <w:szCs w:val="20"/>
          <w:color w:val="auto"/>
        </w:rPr>
      </w:pPr>
      <w:r>
        <w:rPr>
          <w:rFonts w:ascii="Arial" w:cs="Arial" w:eastAsia="Arial" w:hAnsi="Arial"/>
          <w:sz w:val="15"/>
          <w:szCs w:val="15"/>
          <w:color w:val="auto"/>
        </w:rPr>
        <w:t>The Audit Committee reviews quarterly cyber metrics and oversees progress against our annual action plans, including status of projects to improve our cybersecurity defenses. Annually, the board of directors reviews the Company's cybersecurity strategy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267970</wp:posOffset>
            </wp:positionV>
            <wp:extent cx="374650" cy="1873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120"/>
          </w:cols>
          <w:pgMar w:left="320" w:top="123" w:right="45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Management Succession Planning</w:t>
      </w:r>
    </w:p>
    <w:p>
      <w:pPr>
        <w:spacing w:after="0" w:line="15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reviews annually the Company's succession planning for accounting and finance personnel.</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Oversight of Human Capital Management</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believe we provide a competitive and well rounded compensation package that attracts and retains exceptional talent.</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Oversight and Commitment to Diversity and Inclusion</w:t>
      </w:r>
    </w:p>
    <w:p>
      <w:pPr>
        <w:spacing w:after="0" w:line="139" w:lineRule="exact"/>
        <w:rPr>
          <w:sz w:val="20"/>
          <w:szCs w:val="20"/>
          <w:color w:val="auto"/>
        </w:rPr>
      </w:pPr>
    </w:p>
    <w:p>
      <w:pPr>
        <w:ind w:right="260"/>
        <w:spacing w:after="0" w:line="258" w:lineRule="auto"/>
        <w:rPr>
          <w:sz w:val="20"/>
          <w:szCs w:val="20"/>
          <w:color w:val="auto"/>
        </w:rPr>
      </w:pPr>
      <w:r>
        <w:rPr>
          <w:rFonts w:ascii="Arial" w:cs="Arial" w:eastAsia="Arial" w:hAnsi="Arial"/>
          <w:sz w:val="15"/>
          <w:szCs w:val="15"/>
          <w:color w:val="auto"/>
        </w:rPr>
        <w:t>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As a company, we recognize the importance of a diverse workforce represented by people from different backgrounds, experiences and ways of looking at the world. During 2020, we formed a Diversity and Inclusion Committee to help us serve our employees, clients and communities better as we strive to build a culture of inclusion. In Canada, we are committed to hiring Indigenous Peoples and expanding our Indigenous workforce, excluding corporate staff, to 10%. In 2020, we reached 9% Indigenous employment, excluding corporate staff, in Canada despite challenging market conditions that resulted in reduced hiring in the region. Approximately 11% of our total new hires in Canada were of Indigenous background during 2020. In addition, our Indigenous Procurement Policy in Canada helps foster strong community relationships while ensuring a local and diverse supply chain of business partners. In 2020, we purchased more than C$39 million in goods and services from the Indigenous business community, representing 25% of our total Canadian local spending. In Australia, all of our food suppliers are Australian companies and, where possible, are based locally. Through our membership with Supply Nation, a non-profit organization committed to supplier diversity and Indigenous business development, we have been able to direct approximately A$1.4 million each year into Indigenous-owned and operated companies, and we are always looking for more opportunities to partner with these businesses.</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Role in Corporate Responsibility and Corporate Citizenship</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Corporate Code of Business Conduct &amp; Ethics</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Civeo has adopted a Corporate Code of Business Conduct and Ethics (the “Code of Conduct”), which requires that all directors, officers and employees of Civeo act ethically at all times. This Code of Conduct is available at Civeo’s web site www.civeo.com by first clicking “Corporate Governance” under the “Investor Relations” heading and then “Corporate Code of Business Conduct and Ethics.”</w:t>
      </w:r>
    </w:p>
    <w:p>
      <w:pPr>
        <w:spacing w:after="0" w:line="85"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Substantially all of our employees are required to complete online training on a regular basis. That training includes a review of our Corporate Code of Conduct and an acknowledgment that the employee has read and understands the policy.</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Financial Code of Ethics for Senior Officers</w:t>
      </w:r>
    </w:p>
    <w:p>
      <w:pPr>
        <w:spacing w:after="0" w:line="139"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www.civeo.com by first clicking “Corporate Governance” under the “Investor Relations” heading and then “Financial Code of Ethics for Senior Officers.”</w:t>
      </w:r>
    </w:p>
    <w:p>
      <w:pPr>
        <w:spacing w:after="0" w:line="32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bl>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Ethical principles set forth in the Financial Code of Ethics include, among other principles, matters such as:</w:t>
      </w:r>
    </w:p>
    <w:p>
      <w:pPr>
        <w:spacing w:after="0" w:line="110" w:lineRule="exact"/>
        <w:rPr>
          <w:sz w:val="20"/>
          <w:szCs w:val="20"/>
          <w:color w:val="auto"/>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Acting ethically with honesty and integrity;</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Avoiding conflicts of interest;</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Complying with disclosure and reporting obligations with full, fair, accurate, timely and understandable disclosures;</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Complying with applicable laws, rules and regulations;</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Acting in good faith, responsibly with due care, competence and diligence;</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Promoting honest and ethical behavior by others in the work environment;</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Respecting confidentiality of information acquired in the course of his or her work; and</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1"/>
        </w:numPr>
        <w:rPr>
          <w:rFonts w:ascii="Arial" w:cs="Arial" w:eastAsia="Arial" w:hAnsi="Arial"/>
          <w:sz w:val="15"/>
          <w:szCs w:val="15"/>
          <w:color w:val="006DB6"/>
        </w:rPr>
      </w:pPr>
      <w:r>
        <w:rPr>
          <w:rFonts w:ascii="Arial" w:cs="Arial" w:eastAsia="Arial" w:hAnsi="Arial"/>
          <w:sz w:val="15"/>
          <w:szCs w:val="15"/>
          <w:color w:val="auto"/>
        </w:rPr>
        <w:t>Responsibly using and maintaining assets and resources employed or entrusted to the Senior Officer.</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Senior Officers must also comply with the Code of Conduct.</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Board of Directors Oversight of Commitment to ESG and Sustainability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We believe that sound corporate citizenship and attention to environmental, social and governance (“ESG”) principles are essential to our success. 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w:t>
      </w:r>
    </w:p>
    <w:p>
      <w:pPr>
        <w:spacing w:after="0" w:line="85"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camps and villages. In 2020, the global COVID-19 pandemic required even greater attention to health and safety protocols.</w:t>
      </w:r>
    </w:p>
    <w:p>
      <w:pPr>
        <w:spacing w:after="0" w:line="85" w:lineRule="exact"/>
        <w:rPr>
          <w:sz w:val="20"/>
          <w:szCs w:val="20"/>
          <w:color w:val="auto"/>
        </w:rPr>
      </w:pPr>
    </w:p>
    <w:p>
      <w:pPr>
        <w:ind w:right="40"/>
        <w:spacing w:after="0" w:line="219" w:lineRule="auto"/>
        <w:rPr>
          <w:sz w:val="20"/>
          <w:szCs w:val="20"/>
          <w:color w:val="auto"/>
        </w:rPr>
      </w:pPr>
      <w:r>
        <w:rPr>
          <w:rFonts w:ascii="Arial" w:cs="Arial" w:eastAsia="Arial" w:hAnsi="Arial"/>
          <w:sz w:val="15"/>
          <w:szCs w:val="15"/>
          <w:color w:val="auto"/>
        </w:rPr>
        <w:t>Beginning in early 2020 and continuing through the filing of this proxy statement, the board of directors has been highly engaged with the Chief Executive Officer and other members of management about the impact of COVID-19 and our response and plans. Since the COVID-19 pandemic developed, the board of directors has received frequent updates on the impact to the company’s employees, operations and clients and reviewed with management the safety protocols in place to protect the health of our employees and guests while maintaining continuity of service to our clients. This board oversight has included COVID-19 situation updates at each board meeting beginning in mid-March 2020 through the filing of this proxy statement. These updates addressed the impact on our employees, operations, financial results and supply chain as well as media engagement and related legal and regulatory matters. Management also is engaged with the board of directors on identifying and addressing strategic risks and opportunities arising out of COVID-19. During the pandemic, we adjusted our planned in-person meetings of the board of directors to hold them virtually to ensure continued effective functioning of the board of directors.</w:t>
      </w:r>
    </w:p>
    <w:p>
      <w:pPr>
        <w:spacing w:after="0" w:line="74" w:lineRule="exact"/>
        <w:rPr>
          <w:sz w:val="20"/>
          <w:szCs w:val="20"/>
          <w:color w:val="auto"/>
        </w:rPr>
      </w:pPr>
    </w:p>
    <w:p>
      <w:pPr>
        <w:ind w:right="340"/>
        <w:spacing w:after="0" w:line="249" w:lineRule="auto"/>
        <w:rPr>
          <w:sz w:val="20"/>
          <w:szCs w:val="20"/>
          <w:color w:val="auto"/>
        </w:rPr>
      </w:pPr>
      <w:r>
        <w:rPr>
          <w:rFonts w:ascii="Arial" w:cs="Arial" w:eastAsia="Arial" w:hAnsi="Arial"/>
          <w:sz w:val="15"/>
          <w:szCs w:val="15"/>
          <w:color w:val="auto"/>
        </w:rPr>
        <w:t>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w:t>
      </w:r>
    </w:p>
    <w:p>
      <w:pPr>
        <w:spacing w:after="0" w:line="218"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Shareholder Engagement</w:t>
      </w:r>
    </w:p>
    <w:p>
      <w:pPr>
        <w:spacing w:after="0" w:line="152" w:lineRule="exact"/>
        <w:rPr>
          <w:sz w:val="20"/>
          <w:szCs w:val="20"/>
          <w:color w:val="auto"/>
        </w:rPr>
      </w:pPr>
    </w:p>
    <w:p>
      <w:pPr>
        <w:ind w:right="540"/>
        <w:spacing w:after="0" w:line="267" w:lineRule="auto"/>
        <w:rPr>
          <w:sz w:val="20"/>
          <w:szCs w:val="20"/>
          <w:color w:val="auto"/>
        </w:rPr>
      </w:pPr>
      <w:r>
        <w:rPr>
          <w:rFonts w:ascii="Arial" w:cs="Arial" w:eastAsia="Arial" w:hAnsi="Arial"/>
          <w:sz w:val="15"/>
          <w:szCs w:val="15"/>
          <w:color w:val="auto"/>
        </w:rPr>
        <w:t>Through the year, we meet with analysts and institutional investors to inform and share our perspective, and to solicit their feedback on our performance. This includes participation in investor conferences and other formal events, and group and one-on-one meetings throughout the year.</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SHAREHOLDER OUTREACH</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2"/>
          <w:szCs w:val="22"/>
          <w:color w:val="FFC03C"/>
        </w:rPr>
        <w:t>69%</w:t>
      </w:r>
      <w:r>
        <w:rPr>
          <w:sz w:val="20"/>
          <w:szCs w:val="20"/>
          <w:color w:val="auto"/>
        </w:rPr>
        <w:tab/>
      </w:r>
      <w:r>
        <w:rPr>
          <w:rFonts w:ascii="Arial" w:cs="Arial" w:eastAsia="Arial" w:hAnsi="Arial"/>
          <w:sz w:val="22"/>
          <w:szCs w:val="22"/>
          <w:color w:val="006DB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61137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3780" cy="16256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both"/>
        <w:ind w:left="20"/>
        <w:spacing w:after="0" w:line="235" w:lineRule="auto"/>
        <w:rPr>
          <w:sz w:val="20"/>
          <w:szCs w:val="20"/>
          <w:color w:val="auto"/>
        </w:rPr>
      </w:pPr>
      <w:r>
        <w:rPr>
          <w:rFonts w:ascii="Arial" w:cs="Arial" w:eastAsia="Arial" w:hAnsi="Arial"/>
          <w:sz w:val="15"/>
          <w:szCs w:val="15"/>
          <w:color w:val="auto"/>
        </w:rPr>
        <w:t xml:space="preserve">During 2020, we conducted shareholder engagement with shareholders representing </w:t>
      </w:r>
      <w:r>
        <w:rPr>
          <w:rFonts w:ascii="Arial" w:cs="Arial" w:eastAsia="Arial" w:hAnsi="Arial"/>
          <w:sz w:val="15"/>
          <w:szCs w:val="15"/>
          <w:color w:val="FFC03C"/>
        </w:rPr>
        <w:t xml:space="preserve">69% </w:t>
      </w:r>
      <w:r>
        <w:rPr>
          <w:rFonts w:ascii="Arial" w:cs="Arial" w:eastAsia="Arial" w:hAnsi="Arial"/>
          <w:sz w:val="15"/>
          <w:szCs w:val="15"/>
          <w:color w:val="000000"/>
        </w:rPr>
        <w:t>of our fully diluted shares regarding the Company’s operations, financial results</w:t>
      </w:r>
      <w:r>
        <w:rPr>
          <w:rFonts w:ascii="Arial" w:cs="Arial" w:eastAsia="Arial" w:hAnsi="Arial"/>
          <w:sz w:val="15"/>
          <w:szCs w:val="15"/>
          <w:color w:val="FFC03C"/>
        </w:rPr>
        <w:t xml:space="preserve"> </w:t>
      </w:r>
      <w:r>
        <w:rPr>
          <w:rFonts w:ascii="Arial" w:cs="Arial" w:eastAsia="Arial" w:hAnsi="Arial"/>
          <w:sz w:val="15"/>
          <w:szCs w:val="15"/>
          <w:color w:val="000000"/>
        </w:rPr>
        <w:t>and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300"/>
        <w:spacing w:after="0" w:line="233" w:lineRule="auto"/>
        <w:rPr>
          <w:sz w:val="20"/>
          <w:szCs w:val="20"/>
          <w:color w:val="auto"/>
        </w:rPr>
      </w:pPr>
      <w:r>
        <w:rPr>
          <w:rFonts w:ascii="Arial" w:cs="Arial" w:eastAsia="Arial" w:hAnsi="Arial"/>
          <w:sz w:val="15"/>
          <w:szCs w:val="15"/>
          <w:color w:val="auto"/>
        </w:rPr>
        <w:t xml:space="preserve">Management, the chair of the board of directors and several of the Company’s directors engaged with shareholders representing </w:t>
      </w:r>
      <w:r>
        <w:rPr>
          <w:rFonts w:ascii="Arial" w:cs="Arial" w:eastAsia="Arial" w:hAnsi="Arial"/>
          <w:sz w:val="15"/>
          <w:szCs w:val="15"/>
          <w:color w:val="006DB6"/>
        </w:rPr>
        <w:t>51%</w:t>
      </w:r>
      <w:r>
        <w:rPr>
          <w:rFonts w:ascii="Arial" w:cs="Arial" w:eastAsia="Arial" w:hAnsi="Arial"/>
          <w:sz w:val="15"/>
          <w:szCs w:val="15"/>
          <w:color w:val="auto"/>
        </w:rPr>
        <w:t xml:space="preserve"> of our fully diluted shares outstanding to solicit shareholder input and feedback with respect to our efforts to efficiently manage its balance sheet including opportunities to (i) reduce aggregate leverage and (ii) extend the maturity of the Company’s current credit facility or (iii) refinance the credit facility.</w:t>
      </w:r>
    </w:p>
    <w:p>
      <w:pPr>
        <w:spacing w:after="0" w:line="123" w:lineRule="exact"/>
        <w:rPr>
          <w:sz w:val="20"/>
          <w:szCs w:val="20"/>
          <w:color w:val="auto"/>
        </w:rPr>
      </w:pPr>
    </w:p>
    <w:p>
      <w:pPr>
        <w:sectPr>
          <w:pgSz w:w="11900" w:h="16838" w:orient="portrait"/>
          <w:cols w:equalWidth="0" w:num="2">
            <w:col w:w="5460" w:space="180"/>
            <w:col w:w="5600"/>
          </w:cols>
          <w:pgMar w:left="320" w:top="123" w:right="339" w:bottom="1440" w:gutter="0" w:footer="0" w:header="0"/>
          <w:type w:val="continuous"/>
        </w:sectPr>
      </w:pPr>
    </w:p>
    <w:p>
      <w:pPr>
        <w:spacing w:after="0"/>
        <w:rPr>
          <w:sz w:val="20"/>
          <w:szCs w:val="20"/>
          <w:color w:val="auto"/>
        </w:rPr>
      </w:pPr>
      <w:r>
        <w:rPr>
          <w:rFonts w:ascii="Arial" w:cs="Arial" w:eastAsia="Arial" w:hAnsi="Arial"/>
          <w:sz w:val="13"/>
          <w:szCs w:val="13"/>
          <w:color w:val="auto"/>
        </w:rPr>
        <w:t>Note - fully diluted shares include common shares outstanding as well as common shares assumed to be converted from preferred shares on an as 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387350</wp:posOffset>
            </wp:positionV>
            <wp:extent cx="374650" cy="1873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240"/>
          </w:cols>
          <w:pgMar w:left="320" w:top="123"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Board of Directors—Structure</w:t>
      </w:r>
    </w:p>
    <w:p>
      <w:pPr>
        <w:spacing w:after="0" w:line="141" w:lineRule="exact"/>
        <w:rPr>
          <w:sz w:val="20"/>
          <w:szCs w:val="20"/>
          <w:color w:val="auto"/>
        </w:rPr>
      </w:pPr>
    </w:p>
    <w:p>
      <w:pPr>
        <w:jc w:val="both"/>
        <w:ind w:right="140"/>
        <w:spacing w:after="0" w:line="254" w:lineRule="auto"/>
        <w:rPr>
          <w:sz w:val="20"/>
          <w:szCs w:val="20"/>
          <w:color w:val="auto"/>
        </w:rPr>
      </w:pPr>
      <w:r>
        <w:rPr>
          <w:rFonts w:ascii="Arial" w:cs="Arial" w:eastAsia="Arial" w:hAnsi="Arial"/>
          <w:sz w:val="15"/>
          <w:szCs w:val="15"/>
          <w:color w:val="auto"/>
        </w:rPr>
        <w:t>The Civeo board of directors is divided into three classes, each of roughly equal size. There are currently two directors of Class I, three directors of Class II and two directors of Class III. The members of each class serve for three years following their election, with one class being elected each year. The directors designated as Class I directors will have terms expiring at the annual general meeting this year. If elected at the annual general meeting, Messrs. Blankenship and Szalkowski, as Class I directors, will have terms expiring in 2024. The directors designated as Class II directors have terms expiring in 2022, and the directors designated as Class III directors have terms expiring in 2023.</w:t>
      </w:r>
    </w:p>
    <w:p>
      <w:pPr>
        <w:spacing w:after="0" w:line="21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Board of Directors Leadership</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Our board of directors is led by our independent Chair of the Board, and the Chief Executive Officer position is currently separate from the Chair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Director Independence</w:t>
      </w:r>
    </w:p>
    <w:p>
      <w:pPr>
        <w:spacing w:after="0" w:line="15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91"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Civeo board of directors has determined that, except for Bradley Dodson, our President and Chief Executive Officer, all of Civeo's current directors (Richard A. Navarre, C. Ronald Blankenship, Martin A. Lambert, Constance B. Moore, Charles Szalkowski, and Timothy O. Wall) qualify as “independent” in accordance with the applicable NYSE listing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Executive Sessions</w:t>
      </w:r>
    </w:p>
    <w:p>
      <w:pPr>
        <w:spacing w:after="0" w:line="152" w:lineRule="exact"/>
        <w:rPr>
          <w:sz w:val="20"/>
          <w:szCs w:val="20"/>
          <w:color w:val="auto"/>
        </w:rPr>
      </w:pPr>
    </w:p>
    <w:p>
      <w:pPr>
        <w:jc w:val="both"/>
        <w:ind w:right="540"/>
        <w:spacing w:after="0" w:line="267" w:lineRule="auto"/>
        <w:rPr>
          <w:sz w:val="20"/>
          <w:szCs w:val="20"/>
          <w:color w:val="auto"/>
        </w:rPr>
      </w:pPr>
      <w:r>
        <w:rPr>
          <w:rFonts w:ascii="Arial" w:cs="Arial" w:eastAsia="Arial" w:hAnsi="Arial"/>
          <w:sz w:val="15"/>
          <w:szCs w:val="15"/>
          <w:color w:val="auto"/>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spacing w:after="0" w:line="30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bl>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Board of Directors—Committees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Civeo board of directors has established several standing committees in connection with the discharge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1701165" cy="26454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01165" cy="26454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p>
      <w:pPr>
        <w:spacing w:after="0" w:line="245" w:lineRule="exact"/>
        <w:rPr>
          <w:sz w:val="20"/>
          <w:szCs w:val="20"/>
          <w:color w:val="auto"/>
        </w:rPr>
      </w:pPr>
    </w:p>
    <w:p>
      <w:pPr>
        <w:ind w:left="100" w:right="800"/>
        <w:spacing w:after="0" w:line="292" w:lineRule="auto"/>
        <w:rPr>
          <w:sz w:val="20"/>
          <w:szCs w:val="20"/>
          <w:color w:val="auto"/>
        </w:rPr>
      </w:pPr>
      <w:r>
        <w:rPr>
          <w:rFonts w:ascii="Arial" w:cs="Arial" w:eastAsia="Arial" w:hAnsi="Arial"/>
          <w:sz w:val="15"/>
          <w:szCs w:val="15"/>
          <w:b w:val="1"/>
          <w:bCs w:val="1"/>
          <w:color w:val="auto"/>
        </w:rPr>
        <w:t>Constance B. Moore (Chair)</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Members:</w:t>
      </w:r>
    </w:p>
    <w:p>
      <w:pPr>
        <w:spacing w:after="0" w:line="7" w:lineRule="exact"/>
        <w:rPr>
          <w:sz w:val="20"/>
          <w:szCs w:val="20"/>
          <w:color w:val="auto"/>
        </w:rPr>
      </w:pPr>
    </w:p>
    <w:p>
      <w:pPr>
        <w:ind w:left="100"/>
        <w:spacing w:after="0" w:line="267" w:lineRule="auto"/>
        <w:rPr>
          <w:sz w:val="20"/>
          <w:szCs w:val="20"/>
          <w:color w:val="auto"/>
        </w:rPr>
      </w:pPr>
      <w:r>
        <w:rPr>
          <w:rFonts w:ascii="Arial" w:cs="Arial" w:eastAsia="Arial" w:hAnsi="Arial"/>
          <w:sz w:val="15"/>
          <w:szCs w:val="15"/>
          <w:b w:val="1"/>
          <w:bCs w:val="1"/>
          <w:color w:val="auto"/>
        </w:rPr>
        <w:t>C. Ronald Blankenship Charles Szalkowski</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Number of Meetings: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1842770</wp:posOffset>
            </wp:positionV>
            <wp:extent cx="1701165" cy="254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01165" cy="254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Audit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Responsibilities:</w:t>
      </w:r>
    </w:p>
    <w:p>
      <w:pPr>
        <w:spacing w:after="0" w:line="128" w:lineRule="exact"/>
        <w:rPr>
          <w:sz w:val="20"/>
          <w:szCs w:val="20"/>
          <w:color w:val="auto"/>
        </w:rPr>
      </w:pPr>
    </w:p>
    <w:p>
      <w:pPr>
        <w:ind w:left="160" w:hanging="154"/>
        <w:spacing w:after="0"/>
        <w:tabs>
          <w:tab w:leader="none" w:pos="160" w:val="left"/>
        </w:tabs>
        <w:numPr>
          <w:ilvl w:val="0"/>
          <w:numId w:val="22"/>
        </w:numPr>
        <w:rPr>
          <w:rFonts w:ascii="Arial" w:cs="Arial" w:eastAsia="Arial" w:hAnsi="Arial"/>
          <w:sz w:val="15"/>
          <w:szCs w:val="15"/>
          <w:color w:val="006DB6"/>
        </w:rPr>
      </w:pPr>
      <w:r>
        <w:rPr>
          <w:rFonts w:ascii="Arial" w:cs="Arial" w:eastAsia="Arial" w:hAnsi="Arial"/>
          <w:sz w:val="15"/>
          <w:szCs w:val="15"/>
          <w:color w:val="auto"/>
        </w:rPr>
        <w:t>Oversees the integrity of Civeo's financial statements and effectiveness of our internal control over financial reporting.</w:t>
      </w:r>
    </w:p>
    <w:p>
      <w:pPr>
        <w:spacing w:after="0" w:line="83" w:lineRule="exact"/>
        <w:rPr>
          <w:rFonts w:ascii="Arial" w:cs="Arial" w:eastAsia="Arial" w:hAnsi="Arial"/>
          <w:sz w:val="15"/>
          <w:szCs w:val="15"/>
          <w:color w:val="006DB6"/>
        </w:rPr>
      </w:pPr>
    </w:p>
    <w:p>
      <w:pPr>
        <w:ind w:left="200" w:right="20" w:hanging="194"/>
        <w:spacing w:after="0" w:line="264" w:lineRule="auto"/>
        <w:tabs>
          <w:tab w:leader="none" w:pos="172" w:val="left"/>
        </w:tabs>
        <w:numPr>
          <w:ilvl w:val="0"/>
          <w:numId w:val="22"/>
        </w:numPr>
        <w:rPr>
          <w:rFonts w:ascii="Arial" w:cs="Arial" w:eastAsia="Arial" w:hAnsi="Arial"/>
          <w:sz w:val="15"/>
          <w:szCs w:val="15"/>
          <w:color w:val="006DB6"/>
        </w:rPr>
      </w:pPr>
      <w:r>
        <w:rPr>
          <w:rFonts w:ascii="Arial" w:cs="Arial" w:eastAsia="Arial" w:hAnsi="Arial"/>
          <w:sz w:val="15"/>
          <w:szCs w:val="15"/>
          <w:color w:val="auto"/>
        </w:rPr>
        <w:t>Appoints our independent auditors and reviews the general scope of audit coverage, the fees charged by the independent auditors, matters relating to internal control systems and other matters related to accounting and reporting functions.</w:t>
      </w:r>
    </w:p>
    <w:p>
      <w:pPr>
        <w:spacing w:after="0" w:line="223" w:lineRule="exact"/>
        <w:rPr>
          <w:rFonts w:ascii="Arial" w:cs="Arial" w:eastAsia="Arial" w:hAnsi="Arial"/>
          <w:sz w:val="15"/>
          <w:szCs w:val="15"/>
          <w:color w:val="006DB6"/>
        </w:rPr>
      </w:pPr>
    </w:p>
    <w:p>
      <w:pPr>
        <w:ind w:left="200" w:right="120" w:hanging="194"/>
        <w:spacing w:after="0" w:line="267" w:lineRule="auto"/>
        <w:tabs>
          <w:tab w:leader="none" w:pos="172" w:val="left"/>
        </w:tabs>
        <w:numPr>
          <w:ilvl w:val="0"/>
          <w:numId w:val="22"/>
        </w:numPr>
        <w:rPr>
          <w:rFonts w:ascii="Arial" w:cs="Arial" w:eastAsia="Arial" w:hAnsi="Arial"/>
          <w:sz w:val="15"/>
          <w:szCs w:val="15"/>
          <w:color w:val="006DB6"/>
        </w:rPr>
      </w:pPr>
      <w:r>
        <w:rPr>
          <w:rFonts w:ascii="Arial" w:cs="Arial" w:eastAsia="Arial" w:hAnsi="Arial"/>
          <w:sz w:val="15"/>
          <w:szCs w:val="15"/>
          <w:color w:val="auto"/>
        </w:rPr>
        <w:t>Meets separately with representatives of our independent auditors, our internal audit personnel and representatives of senior management in performing its functions.</w:t>
      </w:r>
    </w:p>
    <w:p>
      <w:pPr>
        <w:spacing w:after="0" w:line="78" w:lineRule="exact"/>
        <w:rPr>
          <w:sz w:val="20"/>
          <w:szCs w:val="20"/>
          <w:color w:val="auto"/>
        </w:rPr>
      </w:pPr>
    </w:p>
    <w:p>
      <w:pPr>
        <w:ind w:right="160"/>
        <w:spacing w:after="0" w:line="267" w:lineRule="auto"/>
        <w:rPr>
          <w:sz w:val="20"/>
          <w:szCs w:val="20"/>
          <w:color w:val="auto"/>
        </w:rPr>
      </w:pPr>
      <w:r>
        <w:rPr>
          <w:rFonts w:ascii="Arial" w:cs="Arial" w:eastAsia="Arial" w:hAnsi="Arial"/>
          <w:sz w:val="15"/>
          <w:szCs w:val="15"/>
          <w:color w:val="auto"/>
        </w:rPr>
        <w:t>The board of directors has determined that each of Messrs. Blankenship and Szalkowski and Ms. Moore is independent under applicable NYSE and SEC rules for board of director and audit committee independence.</w:t>
      </w:r>
    </w:p>
    <w:p>
      <w:pPr>
        <w:spacing w:after="0" w:line="78"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The board of directors has determined that each of Messrs. Blankenship and Szalkowski and Ms. Moore is financially literate and has accounting or related financial management expertise, each as required by the applicable NYSE listing standards. The board of directors also has determined that Mr. Blankenship and Ms. Moore qualify as audit committee financial experts under the applicable rules of the SEC.</w:t>
      </w:r>
    </w:p>
    <w:p>
      <w:pPr>
        <w:spacing w:after="0" w:line="87"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A more detailed discussion of the Audit Committee’s mission, composition and responsibilities is contained in the Audit Committee charter, which is available on our website, www.civeo.com, by first clicking “Corporate Governance” under the “Investor Relations” heading and then “Audit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69215</wp:posOffset>
            </wp:positionV>
            <wp:extent cx="7139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80"/>
            <w:col w:w="8300"/>
          </w:cols>
          <w:pgMar w:left="320" w:top="123" w:right="419" w:bottom="1440" w:gutter="0" w:footer="0" w:header="0"/>
          <w:type w:val="continuous"/>
        </w:sectPr>
      </w:pPr>
    </w:p>
    <w:p>
      <w:pPr>
        <w:spacing w:after="0" w:line="16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Martin A. Lambert</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(Chair)</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Members:</w:t>
      </w:r>
    </w:p>
    <w:p>
      <w:pPr>
        <w:spacing w:after="0" w:line="7" w:lineRule="exact"/>
        <w:rPr>
          <w:sz w:val="20"/>
          <w:szCs w:val="20"/>
          <w:color w:val="auto"/>
        </w:rPr>
      </w:pPr>
    </w:p>
    <w:p>
      <w:pPr>
        <w:ind w:left="100"/>
        <w:spacing w:after="0" w:line="267" w:lineRule="auto"/>
        <w:rPr>
          <w:sz w:val="20"/>
          <w:szCs w:val="20"/>
          <w:color w:val="auto"/>
        </w:rPr>
      </w:pPr>
      <w:r>
        <w:rPr>
          <w:rFonts w:ascii="Arial" w:cs="Arial" w:eastAsia="Arial" w:hAnsi="Arial"/>
          <w:sz w:val="15"/>
          <w:szCs w:val="15"/>
          <w:b w:val="1"/>
          <w:bCs w:val="1"/>
          <w:color w:val="auto"/>
        </w:rPr>
        <w:t>C. Ronald Blankenship Constance B. Moore</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Number of Meetings: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1761490</wp:posOffset>
            </wp:positionV>
            <wp:extent cx="374650" cy="1873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Responsibilities:</w:t>
      </w:r>
    </w:p>
    <w:p>
      <w:pPr>
        <w:spacing w:after="0" w:line="128" w:lineRule="exact"/>
        <w:rPr>
          <w:sz w:val="20"/>
          <w:szCs w:val="20"/>
          <w:color w:val="auto"/>
        </w:rPr>
      </w:pPr>
    </w:p>
    <w:p>
      <w:pPr>
        <w:ind w:left="160" w:hanging="154"/>
        <w:spacing w:after="0"/>
        <w:tabs>
          <w:tab w:leader="none" w:pos="160" w:val="left"/>
        </w:tabs>
        <w:numPr>
          <w:ilvl w:val="0"/>
          <w:numId w:val="23"/>
        </w:numPr>
        <w:rPr>
          <w:rFonts w:ascii="Arial" w:cs="Arial" w:eastAsia="Arial" w:hAnsi="Arial"/>
          <w:sz w:val="15"/>
          <w:szCs w:val="15"/>
          <w:color w:val="006DB6"/>
        </w:rPr>
      </w:pPr>
      <w:r>
        <w:rPr>
          <w:rFonts w:ascii="Arial" w:cs="Arial" w:eastAsia="Arial" w:hAnsi="Arial"/>
          <w:sz w:val="15"/>
          <w:szCs w:val="15"/>
          <w:color w:val="auto"/>
        </w:rPr>
        <w:t>Determines the compensation of our chief executive officer and other executive officers.</w:t>
      </w:r>
    </w:p>
    <w:p>
      <w:pPr>
        <w:spacing w:after="0" w:line="83" w:lineRule="exact"/>
        <w:rPr>
          <w:rFonts w:ascii="Arial" w:cs="Arial" w:eastAsia="Arial" w:hAnsi="Arial"/>
          <w:sz w:val="15"/>
          <w:szCs w:val="15"/>
          <w:color w:val="006DB6"/>
        </w:rPr>
      </w:pPr>
    </w:p>
    <w:p>
      <w:pPr>
        <w:ind w:left="160" w:hanging="154"/>
        <w:spacing w:after="0"/>
        <w:tabs>
          <w:tab w:leader="none" w:pos="160" w:val="left"/>
        </w:tabs>
        <w:numPr>
          <w:ilvl w:val="0"/>
          <w:numId w:val="23"/>
        </w:numPr>
        <w:rPr>
          <w:rFonts w:ascii="Arial" w:cs="Arial" w:eastAsia="Arial" w:hAnsi="Arial"/>
          <w:sz w:val="15"/>
          <w:szCs w:val="15"/>
          <w:color w:val="006DB6"/>
        </w:rPr>
      </w:pPr>
      <w:r>
        <w:rPr>
          <w:rFonts w:ascii="Arial" w:cs="Arial" w:eastAsia="Arial" w:hAnsi="Arial"/>
          <w:sz w:val="15"/>
          <w:szCs w:val="15"/>
          <w:color w:val="auto"/>
        </w:rPr>
        <w:t>Oversees and approves compensation and employee benefit policies.</w:t>
      </w:r>
    </w:p>
    <w:p>
      <w:pPr>
        <w:spacing w:after="0" w:line="71" w:lineRule="exact"/>
        <w:rPr>
          <w:rFonts w:ascii="Arial" w:cs="Arial" w:eastAsia="Arial" w:hAnsi="Arial"/>
          <w:sz w:val="15"/>
          <w:szCs w:val="15"/>
          <w:color w:val="006DB6"/>
        </w:rPr>
      </w:pPr>
    </w:p>
    <w:p>
      <w:pPr>
        <w:ind w:left="160" w:hanging="154"/>
        <w:spacing w:after="0"/>
        <w:tabs>
          <w:tab w:leader="none" w:pos="160" w:val="left"/>
        </w:tabs>
        <w:numPr>
          <w:ilvl w:val="0"/>
          <w:numId w:val="23"/>
        </w:numPr>
        <w:rPr>
          <w:rFonts w:ascii="Arial" w:cs="Arial" w:eastAsia="Arial" w:hAnsi="Arial"/>
          <w:sz w:val="15"/>
          <w:szCs w:val="15"/>
          <w:color w:val="006DB6"/>
        </w:rPr>
      </w:pPr>
      <w:r>
        <w:rPr>
          <w:rFonts w:ascii="Arial" w:cs="Arial" w:eastAsia="Arial" w:hAnsi="Arial"/>
          <w:sz w:val="15"/>
          <w:szCs w:val="15"/>
          <w:color w:val="auto"/>
        </w:rPr>
        <w:t>Meets on succession planning with respect to Company's key executive positions.</w:t>
      </w:r>
    </w:p>
    <w:p>
      <w:pPr>
        <w:spacing w:after="0" w:line="71" w:lineRule="exact"/>
        <w:rPr>
          <w:rFonts w:ascii="Arial" w:cs="Arial" w:eastAsia="Arial" w:hAnsi="Arial"/>
          <w:sz w:val="15"/>
          <w:szCs w:val="15"/>
          <w:color w:val="006DB6"/>
        </w:rPr>
      </w:pPr>
    </w:p>
    <w:p>
      <w:pPr>
        <w:ind w:left="200" w:right="240" w:hanging="194"/>
        <w:spacing w:after="0" w:line="258" w:lineRule="auto"/>
        <w:tabs>
          <w:tab w:leader="none" w:pos="172" w:val="left"/>
        </w:tabs>
        <w:numPr>
          <w:ilvl w:val="0"/>
          <w:numId w:val="23"/>
        </w:numPr>
        <w:rPr>
          <w:rFonts w:ascii="Arial" w:cs="Arial" w:eastAsia="Arial" w:hAnsi="Arial"/>
          <w:sz w:val="15"/>
          <w:szCs w:val="15"/>
          <w:color w:val="006DB6"/>
        </w:rPr>
      </w:pPr>
      <w:r>
        <w:rPr>
          <w:rFonts w:ascii="Arial" w:cs="Arial" w:eastAsia="Arial" w:hAnsi="Arial"/>
          <w:sz w:val="15"/>
          <w:szCs w:val="15"/>
          <w:color w:val="auto"/>
        </w:rPr>
        <w:t>Administers the EPP, and in this capacity makes a recommendation to the full board of directors concerning the aggregate amount of all option grants or share awards to employees as well as specific awards to executive officers under the EPP.</w:t>
      </w:r>
    </w:p>
    <w:p>
      <w:pPr>
        <w:spacing w:after="0" w:line="59" w:lineRule="exact"/>
        <w:rPr>
          <w:rFonts w:ascii="Arial" w:cs="Arial" w:eastAsia="Arial" w:hAnsi="Arial"/>
          <w:sz w:val="15"/>
          <w:szCs w:val="15"/>
          <w:color w:val="006DB6"/>
        </w:rPr>
      </w:pPr>
    </w:p>
    <w:p>
      <w:pPr>
        <w:ind w:left="200" w:right="480" w:hanging="194"/>
        <w:spacing w:after="0" w:line="267" w:lineRule="auto"/>
        <w:tabs>
          <w:tab w:leader="none" w:pos="172" w:val="left"/>
        </w:tabs>
        <w:numPr>
          <w:ilvl w:val="0"/>
          <w:numId w:val="23"/>
        </w:numPr>
        <w:rPr>
          <w:rFonts w:ascii="Arial" w:cs="Arial" w:eastAsia="Arial" w:hAnsi="Arial"/>
          <w:sz w:val="15"/>
          <w:szCs w:val="15"/>
          <w:color w:val="006DB6"/>
        </w:rPr>
      </w:pPr>
      <w:r>
        <w:rPr>
          <w:rFonts w:ascii="Arial" w:cs="Arial" w:eastAsia="Arial" w:hAnsi="Arial"/>
          <w:sz w:val="15"/>
          <w:szCs w:val="15"/>
          <w:color w:val="auto"/>
        </w:rPr>
        <w:t>Reviews and discusses with our management the Compensation Discussion and Analysis and related disclosure included in our annual proxy statement.</w:t>
      </w:r>
    </w:p>
    <w:p>
      <w:pPr>
        <w:spacing w:after="0" w:line="78" w:lineRule="exact"/>
        <w:rPr>
          <w:sz w:val="20"/>
          <w:szCs w:val="20"/>
          <w:color w:val="auto"/>
        </w:rPr>
      </w:pPr>
    </w:p>
    <w:p>
      <w:pPr>
        <w:ind w:right="360"/>
        <w:spacing w:after="0" w:line="267" w:lineRule="auto"/>
        <w:rPr>
          <w:sz w:val="20"/>
          <w:szCs w:val="20"/>
          <w:color w:val="auto"/>
        </w:rPr>
      </w:pPr>
      <w:r>
        <w:rPr>
          <w:rFonts w:ascii="Arial" w:cs="Arial" w:eastAsia="Arial" w:hAnsi="Arial"/>
          <w:sz w:val="15"/>
          <w:szCs w:val="15"/>
          <w:color w:val="auto"/>
        </w:rPr>
        <w:t>The board of directors has determined that each of Messrs. Blankenship and Lambert and Ms. Moore is independent under applicable NYSE and SEC rules for board of director and compensation committee independence.</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A more detailed discussion of the Compensation Committee’s mission, composition and responsibilities is contained in the Compensation Committee charter, which is available on our website, www.civeo.com, by first clicking “Corporate Governance” under the “Investor Relations” heading and then “Compensation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175895</wp:posOffset>
            </wp:positionV>
            <wp:extent cx="7139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60"/>
            <w:col w:w="8300"/>
          </w:cols>
          <w:pgMar w:left="320" w:top="123" w:right="41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160"/>
          </w:cols>
          <w:pgMar w:left="320" w:top="123" w:right="4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642620</wp:posOffset>
            </wp:positionV>
            <wp:extent cx="1701165" cy="20104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01165"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Charles Szalkowski</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(Chair)</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Members: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Richard A. Navarre Timothy O.</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Wall</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Number of Meetings: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1208405</wp:posOffset>
            </wp:positionV>
            <wp:extent cx="1701165" cy="15138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01165" cy="1513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Nominating and Corporate Governance Committee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Responsibilities:</w:t>
      </w:r>
    </w:p>
    <w:p>
      <w:pPr>
        <w:spacing w:after="0" w:line="128" w:lineRule="exact"/>
        <w:rPr>
          <w:sz w:val="20"/>
          <w:szCs w:val="20"/>
          <w:color w:val="auto"/>
        </w:rPr>
      </w:pPr>
    </w:p>
    <w:p>
      <w:pPr>
        <w:ind w:left="160" w:hanging="154"/>
        <w:spacing w:after="0"/>
        <w:tabs>
          <w:tab w:leader="none" w:pos="160" w:val="left"/>
        </w:tabs>
        <w:numPr>
          <w:ilvl w:val="0"/>
          <w:numId w:val="24"/>
        </w:numPr>
        <w:rPr>
          <w:rFonts w:ascii="Arial" w:cs="Arial" w:eastAsia="Arial" w:hAnsi="Arial"/>
          <w:sz w:val="15"/>
          <w:szCs w:val="15"/>
          <w:color w:val="006DB6"/>
        </w:rPr>
      </w:pPr>
      <w:r>
        <w:rPr>
          <w:rFonts w:ascii="Arial" w:cs="Arial" w:eastAsia="Arial" w:hAnsi="Arial"/>
          <w:sz w:val="15"/>
          <w:szCs w:val="15"/>
          <w:color w:val="auto"/>
        </w:rPr>
        <w:t>Advises the board of directors about appropriate composition of the board of directors and its committees.</w:t>
      </w:r>
    </w:p>
    <w:p>
      <w:pPr>
        <w:spacing w:after="0" w:line="71" w:lineRule="exact"/>
        <w:rPr>
          <w:rFonts w:ascii="Arial" w:cs="Arial" w:eastAsia="Arial" w:hAnsi="Arial"/>
          <w:sz w:val="15"/>
          <w:szCs w:val="15"/>
          <w:color w:val="006DB6"/>
        </w:rPr>
      </w:pPr>
    </w:p>
    <w:p>
      <w:pPr>
        <w:ind w:left="160" w:hanging="154"/>
        <w:spacing w:after="0"/>
        <w:tabs>
          <w:tab w:leader="none" w:pos="160" w:val="left"/>
        </w:tabs>
        <w:numPr>
          <w:ilvl w:val="0"/>
          <w:numId w:val="24"/>
        </w:numPr>
        <w:rPr>
          <w:rFonts w:ascii="Arial" w:cs="Arial" w:eastAsia="Arial" w:hAnsi="Arial"/>
          <w:sz w:val="15"/>
          <w:szCs w:val="15"/>
          <w:color w:val="006DB6"/>
        </w:rPr>
      </w:pPr>
      <w:r>
        <w:rPr>
          <w:rFonts w:ascii="Arial" w:cs="Arial" w:eastAsia="Arial" w:hAnsi="Arial"/>
          <w:sz w:val="15"/>
          <w:szCs w:val="15"/>
          <w:color w:val="auto"/>
        </w:rPr>
        <w:t>Identifies and implements appropriate corporate governance policies.</w:t>
      </w:r>
    </w:p>
    <w:p>
      <w:pPr>
        <w:spacing w:after="0" w:line="83" w:lineRule="exact"/>
        <w:rPr>
          <w:rFonts w:ascii="Arial" w:cs="Arial" w:eastAsia="Arial" w:hAnsi="Arial"/>
          <w:sz w:val="15"/>
          <w:szCs w:val="15"/>
          <w:color w:val="006DB6"/>
        </w:rPr>
      </w:pPr>
    </w:p>
    <w:p>
      <w:pPr>
        <w:ind w:left="200" w:right="40" w:hanging="194"/>
        <w:spacing w:after="0" w:line="267" w:lineRule="auto"/>
        <w:tabs>
          <w:tab w:leader="none" w:pos="172" w:val="left"/>
        </w:tabs>
        <w:numPr>
          <w:ilvl w:val="0"/>
          <w:numId w:val="24"/>
        </w:numPr>
        <w:rPr>
          <w:rFonts w:ascii="Arial" w:cs="Arial" w:eastAsia="Arial" w:hAnsi="Arial"/>
          <w:sz w:val="15"/>
          <w:szCs w:val="15"/>
          <w:color w:val="006DB6"/>
        </w:rPr>
      </w:pPr>
      <w:r>
        <w:rPr>
          <w:rFonts w:ascii="Arial" w:cs="Arial" w:eastAsia="Arial" w:hAnsi="Arial"/>
          <w:sz w:val="15"/>
          <w:szCs w:val="15"/>
          <w:color w:val="auto"/>
        </w:rPr>
        <w:t>Makes proposals to the board of directors for candidates to be nominated by the board of directors to fill vacancies or for new directorship positions, if any, which may be created from time to time.</w:t>
      </w:r>
    </w:p>
    <w:p>
      <w:pPr>
        <w:spacing w:after="0" w:line="78" w:lineRule="exact"/>
        <w:rPr>
          <w:sz w:val="20"/>
          <w:szCs w:val="20"/>
          <w:color w:val="auto"/>
        </w:rPr>
      </w:pPr>
    </w:p>
    <w:p>
      <w:pPr>
        <w:ind w:right="220"/>
        <w:spacing w:after="0" w:line="267" w:lineRule="auto"/>
        <w:rPr>
          <w:sz w:val="20"/>
          <w:szCs w:val="20"/>
          <w:color w:val="auto"/>
        </w:rPr>
      </w:pPr>
      <w:r>
        <w:rPr>
          <w:rFonts w:ascii="Arial" w:cs="Arial" w:eastAsia="Arial" w:hAnsi="Arial"/>
          <w:sz w:val="15"/>
          <w:szCs w:val="15"/>
          <w:color w:val="auto"/>
        </w:rPr>
        <w:t>The board of directors has determined that each Messrs. Navarre, Szalkowski and Wall is independent under applicable NYSE rules.</w:t>
      </w:r>
    </w:p>
    <w:p>
      <w:pPr>
        <w:spacing w:after="0" w:line="78"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A more detailed discussion of the Nominating and Corporate Governance Committee’s mission, composition and responsibilities is contained in the Nominating and Corporate Governance Committee charter, which is available on our website, www.civeo.com, by first clicking “Corporate Governance” under the “Investor Relations” heading and then “Nominating and Corporate Governance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70485</wp:posOffset>
            </wp:positionV>
            <wp:extent cx="7139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40"/>
            <w:col w:w="8380"/>
          </w:cols>
          <w:pgMar w:left="320" w:top="123" w:right="339" w:bottom="1440" w:gutter="0" w:footer="0" w:header="0"/>
        </w:sectPr>
      </w:pPr>
    </w:p>
    <w:p>
      <w:pPr>
        <w:spacing w:after="0" w:line="164" w:lineRule="exact"/>
        <w:rPr>
          <w:sz w:val="20"/>
          <w:szCs w:val="20"/>
          <w:color w:val="auto"/>
        </w:rPr>
      </w:pPr>
    </w:p>
    <w:p>
      <w:pPr>
        <w:ind w:left="100" w:right="360"/>
        <w:spacing w:after="0" w:line="292" w:lineRule="auto"/>
        <w:rPr>
          <w:sz w:val="20"/>
          <w:szCs w:val="20"/>
          <w:color w:val="auto"/>
        </w:rPr>
      </w:pPr>
      <w:r>
        <w:rPr>
          <w:rFonts w:ascii="Arial" w:cs="Arial" w:eastAsia="Arial" w:hAnsi="Arial"/>
          <w:sz w:val="15"/>
          <w:szCs w:val="15"/>
          <w:b w:val="1"/>
          <w:bCs w:val="1"/>
          <w:color w:val="auto"/>
        </w:rPr>
        <w:t>C. Ronald Blankenship (Chair)</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Members: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Martin A. Lambert</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Timothy O. Wall</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Number of Meetings: 2</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b w:val="1"/>
          <w:bCs w:val="1"/>
          <w:color w:val="006DB6"/>
        </w:rPr>
        <w:t>Finance and Investment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706F6F"/>
        </w:rPr>
        <w:t>Responsibilities:</w:t>
      </w:r>
    </w:p>
    <w:p>
      <w:pPr>
        <w:spacing w:after="0" w:line="128" w:lineRule="exact"/>
        <w:rPr>
          <w:sz w:val="20"/>
          <w:szCs w:val="20"/>
          <w:color w:val="auto"/>
        </w:rPr>
      </w:pPr>
    </w:p>
    <w:p>
      <w:pPr>
        <w:ind w:left="200" w:right="160" w:hanging="194"/>
        <w:spacing w:after="0" w:line="258" w:lineRule="auto"/>
        <w:tabs>
          <w:tab w:leader="none" w:pos="172" w:val="left"/>
        </w:tabs>
        <w:numPr>
          <w:ilvl w:val="0"/>
          <w:numId w:val="25"/>
        </w:numPr>
        <w:rPr>
          <w:rFonts w:ascii="Arial" w:cs="Arial" w:eastAsia="Arial" w:hAnsi="Arial"/>
          <w:sz w:val="15"/>
          <w:szCs w:val="15"/>
          <w:color w:val="006DB6"/>
        </w:rPr>
      </w:pPr>
      <w:r>
        <w:rPr>
          <w:rFonts w:ascii="Arial" w:cs="Arial" w:eastAsia="Arial" w:hAnsi="Arial"/>
          <w:sz w:val="15"/>
          <w:szCs w:val="15"/>
          <w:color w:val="auto"/>
        </w:rPr>
        <w:t>Assists the board of directors in its consideration of opportunities to enhance our long-term performance and valuation, including reviewing including reviewing and making recommendations to the board of directors with respect to our strategic objectives and financial and operating metrics and performance.</w:t>
      </w:r>
    </w:p>
    <w:p>
      <w:pPr>
        <w:spacing w:after="0" w:line="85"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A more detailed discussion of the Finance and Investment Committee’s mission, composition and responsibilities is contained in the Finance and Investment Committee charter, which is available on our website, www.civeo.com, by first clicking “Corporate Governance” under the “Investor Relations” heading and then “Finance and Investment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70485</wp:posOffset>
            </wp:positionV>
            <wp:extent cx="71393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380"/>
          </w:cols>
          <w:pgMar w:left="320" w:top="123"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Committee Composition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Below is a summary of our committee structure and membership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706F6F"/>
                <w:w w:val="98"/>
              </w:rPr>
              <w:t>Nominating</w:t>
            </w:r>
          </w:p>
        </w:tc>
        <w:tc>
          <w:tcPr>
            <w:tcW w:w="1580" w:type="dxa"/>
            <w:vAlign w:val="bottom"/>
          </w:tcPr>
          <w:p>
            <w:pPr>
              <w:spacing w:after="0"/>
              <w:rPr>
                <w:sz w:val="14"/>
                <w:szCs w:val="14"/>
                <w:color w:val="auto"/>
              </w:rPr>
            </w:pPr>
          </w:p>
        </w:tc>
      </w:tr>
      <w:tr>
        <w:trPr>
          <w:trHeight w:val="154"/>
        </w:trPr>
        <w:tc>
          <w:tcPr>
            <w:tcW w:w="6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40" w:type="dxa"/>
            <w:vAlign w:val="bottom"/>
          </w:tcPr>
          <w:p>
            <w:pPr>
              <w:jc w:val="center"/>
              <w:spacing w:after="0" w:line="154" w:lineRule="exact"/>
              <w:rPr>
                <w:sz w:val="20"/>
                <w:szCs w:val="20"/>
                <w:color w:val="auto"/>
              </w:rPr>
            </w:pPr>
            <w:r>
              <w:rPr>
                <w:rFonts w:ascii="Arial" w:cs="Arial" w:eastAsia="Arial" w:hAnsi="Arial"/>
                <w:sz w:val="14"/>
                <w:szCs w:val="14"/>
                <w:b w:val="1"/>
                <w:bCs w:val="1"/>
                <w:color w:val="706F6F"/>
                <w:w w:val="96"/>
              </w:rPr>
              <w:t>and Corporate</w:t>
            </w:r>
          </w:p>
        </w:tc>
        <w:tc>
          <w:tcPr>
            <w:tcW w:w="1580" w:type="dxa"/>
            <w:vAlign w:val="bottom"/>
          </w:tcPr>
          <w:p>
            <w:pPr>
              <w:jc w:val="center"/>
              <w:spacing w:after="0" w:line="154" w:lineRule="exact"/>
              <w:rPr>
                <w:sz w:val="20"/>
                <w:szCs w:val="20"/>
                <w:color w:val="auto"/>
              </w:rPr>
            </w:pPr>
            <w:r>
              <w:rPr>
                <w:rFonts w:ascii="Arial" w:cs="Arial" w:eastAsia="Arial" w:hAnsi="Arial"/>
                <w:sz w:val="14"/>
                <w:szCs w:val="14"/>
                <w:b w:val="1"/>
                <w:bCs w:val="1"/>
                <w:color w:val="706F6F"/>
                <w:w w:val="97"/>
              </w:rPr>
              <w:t>Finance and</w:t>
            </w:r>
          </w:p>
        </w:tc>
      </w:tr>
      <w:tr>
        <w:trPr>
          <w:trHeight w:val="154"/>
        </w:trPr>
        <w:tc>
          <w:tcPr>
            <w:tcW w:w="6340" w:type="dxa"/>
            <w:vAlign w:val="bottom"/>
          </w:tcPr>
          <w:p>
            <w:pPr>
              <w:jc w:val="center"/>
              <w:ind w:left="4772"/>
              <w:spacing w:after="0" w:line="154" w:lineRule="exact"/>
              <w:rPr>
                <w:sz w:val="20"/>
                <w:szCs w:val="20"/>
                <w:color w:val="auto"/>
              </w:rPr>
            </w:pPr>
            <w:r>
              <w:rPr>
                <w:rFonts w:ascii="Arial" w:cs="Arial" w:eastAsia="Arial" w:hAnsi="Arial"/>
                <w:sz w:val="14"/>
                <w:szCs w:val="14"/>
                <w:b w:val="1"/>
                <w:bCs w:val="1"/>
                <w:color w:val="706F6F"/>
                <w:w w:val="94"/>
              </w:rPr>
              <w:t>Audit</w:t>
            </w:r>
          </w:p>
        </w:tc>
        <w:tc>
          <w:tcPr>
            <w:tcW w:w="1680" w:type="dxa"/>
            <w:vAlign w:val="bottom"/>
          </w:tcPr>
          <w:p>
            <w:pPr>
              <w:jc w:val="center"/>
              <w:spacing w:after="0" w:line="154" w:lineRule="exact"/>
              <w:rPr>
                <w:sz w:val="20"/>
                <w:szCs w:val="20"/>
                <w:color w:val="auto"/>
              </w:rPr>
            </w:pPr>
            <w:r>
              <w:rPr>
                <w:rFonts w:ascii="Arial" w:cs="Arial" w:eastAsia="Arial" w:hAnsi="Arial"/>
                <w:sz w:val="14"/>
                <w:szCs w:val="14"/>
                <w:b w:val="1"/>
                <w:bCs w:val="1"/>
                <w:color w:val="706F6F"/>
                <w:w w:val="96"/>
              </w:rPr>
              <w:t>Compensation</w:t>
            </w:r>
          </w:p>
        </w:tc>
        <w:tc>
          <w:tcPr>
            <w:tcW w:w="1640" w:type="dxa"/>
            <w:vAlign w:val="bottom"/>
          </w:tcPr>
          <w:p>
            <w:pPr>
              <w:jc w:val="center"/>
              <w:spacing w:after="0" w:line="154" w:lineRule="exact"/>
              <w:rPr>
                <w:sz w:val="20"/>
                <w:szCs w:val="20"/>
                <w:color w:val="auto"/>
              </w:rPr>
            </w:pPr>
            <w:r>
              <w:rPr>
                <w:rFonts w:ascii="Arial" w:cs="Arial" w:eastAsia="Arial" w:hAnsi="Arial"/>
                <w:sz w:val="14"/>
                <w:szCs w:val="14"/>
                <w:b w:val="1"/>
                <w:bCs w:val="1"/>
                <w:color w:val="706F6F"/>
                <w:w w:val="98"/>
              </w:rPr>
              <w:t>Governance</w:t>
            </w:r>
          </w:p>
        </w:tc>
        <w:tc>
          <w:tcPr>
            <w:tcW w:w="1580" w:type="dxa"/>
            <w:vAlign w:val="bottom"/>
          </w:tcPr>
          <w:p>
            <w:pPr>
              <w:jc w:val="center"/>
              <w:spacing w:after="0" w:line="154" w:lineRule="exact"/>
              <w:rPr>
                <w:sz w:val="20"/>
                <w:szCs w:val="20"/>
                <w:color w:val="auto"/>
              </w:rPr>
            </w:pPr>
            <w:r>
              <w:rPr>
                <w:rFonts w:ascii="Arial" w:cs="Arial" w:eastAsia="Arial" w:hAnsi="Arial"/>
                <w:sz w:val="14"/>
                <w:szCs w:val="14"/>
                <w:b w:val="1"/>
                <w:bCs w:val="1"/>
                <w:color w:val="706F6F"/>
                <w:w w:val="97"/>
              </w:rPr>
              <w:t>Investment</w:t>
            </w:r>
          </w:p>
        </w:tc>
      </w:tr>
      <w:tr>
        <w:trPr>
          <w:trHeight w:val="197"/>
        </w:trPr>
        <w:tc>
          <w:tcPr>
            <w:tcW w:w="6340" w:type="dxa"/>
            <w:vAlign w:val="bottom"/>
            <w:tcBorders>
              <w:bottom w:val="single" w:sz="8" w:color="006DB6"/>
            </w:tcBorders>
          </w:tcPr>
          <w:p>
            <w:pPr>
              <w:jc w:val="center"/>
              <w:ind w:left="4772"/>
              <w:spacing w:after="0"/>
              <w:rPr>
                <w:sz w:val="20"/>
                <w:szCs w:val="20"/>
                <w:color w:val="auto"/>
              </w:rPr>
            </w:pPr>
            <w:r>
              <w:rPr>
                <w:rFonts w:ascii="Arial" w:cs="Arial" w:eastAsia="Arial" w:hAnsi="Arial"/>
                <w:sz w:val="14"/>
                <w:szCs w:val="14"/>
                <w:b w:val="1"/>
                <w:bCs w:val="1"/>
                <w:color w:val="706F6F"/>
                <w:w w:val="96"/>
              </w:rPr>
              <w:t>Committee</w:t>
            </w:r>
          </w:p>
        </w:tc>
        <w:tc>
          <w:tcPr>
            <w:tcW w:w="1680" w:type="dxa"/>
            <w:vAlign w:val="bottom"/>
            <w:tcBorders>
              <w:bottom w:val="single" w:sz="8" w:color="006DB6"/>
            </w:tcBorders>
          </w:tcPr>
          <w:p>
            <w:pPr>
              <w:jc w:val="center"/>
              <w:spacing w:after="0"/>
              <w:rPr>
                <w:sz w:val="20"/>
                <w:szCs w:val="20"/>
                <w:color w:val="auto"/>
              </w:rPr>
            </w:pPr>
            <w:r>
              <w:rPr>
                <w:rFonts w:ascii="Arial" w:cs="Arial" w:eastAsia="Arial" w:hAnsi="Arial"/>
                <w:sz w:val="14"/>
                <w:szCs w:val="14"/>
                <w:b w:val="1"/>
                <w:bCs w:val="1"/>
                <w:color w:val="706F6F"/>
                <w:w w:val="96"/>
              </w:rPr>
              <w:t>Committee</w:t>
            </w:r>
          </w:p>
        </w:tc>
        <w:tc>
          <w:tcPr>
            <w:tcW w:w="1640" w:type="dxa"/>
            <w:vAlign w:val="bottom"/>
            <w:tcBorders>
              <w:bottom w:val="single" w:sz="8" w:color="006DB6"/>
            </w:tcBorders>
          </w:tcPr>
          <w:p>
            <w:pPr>
              <w:jc w:val="center"/>
              <w:spacing w:after="0"/>
              <w:rPr>
                <w:sz w:val="20"/>
                <w:szCs w:val="20"/>
                <w:color w:val="auto"/>
              </w:rPr>
            </w:pPr>
            <w:r>
              <w:rPr>
                <w:rFonts w:ascii="Arial" w:cs="Arial" w:eastAsia="Arial" w:hAnsi="Arial"/>
                <w:sz w:val="14"/>
                <w:szCs w:val="14"/>
                <w:b w:val="1"/>
                <w:bCs w:val="1"/>
                <w:color w:val="706F6F"/>
                <w:w w:val="99"/>
              </w:rPr>
              <w:t>Committee</w:t>
            </w:r>
          </w:p>
        </w:tc>
        <w:tc>
          <w:tcPr>
            <w:tcW w:w="1580" w:type="dxa"/>
            <w:vAlign w:val="bottom"/>
            <w:tcBorders>
              <w:bottom w:val="single" w:sz="8" w:color="006DB6"/>
            </w:tcBorders>
          </w:tcPr>
          <w:p>
            <w:pPr>
              <w:jc w:val="center"/>
              <w:spacing w:after="0"/>
              <w:rPr>
                <w:sz w:val="20"/>
                <w:szCs w:val="20"/>
                <w:color w:val="auto"/>
              </w:rPr>
            </w:pPr>
            <w:r>
              <w:rPr>
                <w:rFonts w:ascii="Arial" w:cs="Arial" w:eastAsia="Arial" w:hAnsi="Arial"/>
                <w:sz w:val="14"/>
                <w:szCs w:val="14"/>
                <w:b w:val="1"/>
                <w:bCs w:val="1"/>
                <w:color w:val="706F6F"/>
                <w:w w:val="99"/>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0</wp:posOffset>
            </wp:positionV>
            <wp:extent cx="97790" cy="977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7790" cy="977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006DB6"/>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106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305" cy="1060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106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305" cy="1060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106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305" cy="1060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106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305" cy="1060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106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305" cy="1060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93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128905</wp:posOffset>
            </wp:positionV>
            <wp:extent cx="97790" cy="977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7790" cy="97790"/>
                    </a:xfrm>
                    <a:prstGeom prst="rect">
                      <a:avLst/>
                    </a:prstGeom>
                    <a:noFill/>
                  </pic:spPr>
                </pic:pic>
              </a:graphicData>
            </a:graphic>
          </wp:anchor>
        </w:drawing>
      </w:r>
    </w:p>
    <w:p>
      <w:pPr>
        <w:spacing w:after="0" w:line="183" w:lineRule="exact"/>
        <w:rPr>
          <w:sz w:val="20"/>
          <w:szCs w:val="20"/>
          <w:color w:val="auto"/>
        </w:rPr>
      </w:pPr>
    </w:p>
    <w:p>
      <w:pPr>
        <w:ind w:left="420"/>
        <w:spacing w:after="0"/>
        <w:tabs>
          <w:tab w:leader="none" w:pos="1905" w:val="left"/>
          <w:tab w:leader="none" w:pos="3320" w:val="left"/>
          <w:tab w:leader="none" w:pos="3700" w:val="left"/>
        </w:tabs>
        <w:rPr>
          <w:sz w:val="20"/>
          <w:szCs w:val="20"/>
          <w:color w:val="auto"/>
        </w:rPr>
      </w:pPr>
      <w:r>
        <w:rPr>
          <w:rFonts w:ascii="Arial" w:cs="Arial" w:eastAsia="Arial" w:hAnsi="Arial"/>
          <w:sz w:val="14"/>
          <w:szCs w:val="14"/>
          <w:color w:val="auto"/>
        </w:rPr>
        <w:t>Chair</w:t>
      </w:r>
      <w:r>
        <w:rPr>
          <w:sz w:val="20"/>
          <w:szCs w:val="20"/>
          <w:color w:val="auto"/>
        </w:rPr>
        <w:tab/>
      </w:r>
      <w:r>
        <w:rPr>
          <w:sz w:val="1"/>
          <w:szCs w:val="1"/>
          <w:color w:val="auto"/>
        </w:rPr>
        <w:drawing>
          <wp:inline distT="0" distB="0" distL="0" distR="0">
            <wp:extent cx="97790" cy="9779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7790" cy="97790"/>
                    </a:xfrm>
                    <a:prstGeom prst="rect">
                      <a:avLst/>
                    </a:prstGeom>
                    <a:noFill/>
                    <a:ln>
                      <a:noFill/>
                    </a:ln>
                  </pic:spPr>
                </pic:pic>
              </a:graphicData>
            </a:graphic>
          </wp:inline>
        </w:drawing>
      </w:r>
      <w:r>
        <w:rPr>
          <w:rFonts w:ascii="Arial" w:cs="Arial" w:eastAsia="Arial" w:hAnsi="Arial"/>
          <w:sz w:val="14"/>
          <w:szCs w:val="14"/>
          <w:color w:val="auto"/>
        </w:rPr>
        <w:t xml:space="preserve">    Member</w:t>
      </w:r>
      <w:r>
        <w:rPr>
          <w:sz w:val="20"/>
          <w:szCs w:val="20"/>
          <w:color w:val="auto"/>
        </w:rPr>
        <w:tab/>
      </w:r>
      <w:r>
        <w:rPr>
          <w:rFonts w:ascii="Arial" w:cs="Arial" w:eastAsia="Arial" w:hAnsi="Arial"/>
          <w:sz w:val="14"/>
          <w:szCs w:val="14"/>
          <w:b w:val="1"/>
          <w:bCs w:val="1"/>
          <w:color w:val="auto"/>
        </w:rPr>
        <w:t>F</w:t>
      </w:r>
      <w:r>
        <w:rPr>
          <w:sz w:val="20"/>
          <w:szCs w:val="20"/>
          <w:color w:val="auto"/>
        </w:rPr>
        <w:tab/>
      </w:r>
      <w:r>
        <w:rPr>
          <w:rFonts w:ascii="Arial" w:cs="Arial" w:eastAsia="Arial" w:hAnsi="Arial"/>
          <w:sz w:val="13"/>
          <w:szCs w:val="13"/>
          <w:color w:val="auto"/>
        </w:rPr>
        <w:t>Financial Expert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ectPr>
          <w:pgSz w:w="11900" w:h="16838" w:orient="portrait"/>
          <w:cols w:equalWidth="0" w:num="1">
            <w:col w:w="11240"/>
          </w:cols>
          <w:pgMar w:left="320" w:top="12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of Directors—Practices, Policies and Processes</w:t>
      </w:r>
    </w:p>
    <w:p>
      <w:pPr>
        <w:spacing w:after="0" w:line="28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Commitment to Good Governance Practices</w:t>
      </w:r>
    </w:p>
    <w:p>
      <w:pPr>
        <w:sectPr>
          <w:pgSz w:w="11900" w:h="16838" w:orient="portrait"/>
          <w:cols w:equalWidth="0" w:num="1">
            <w:col w:w="11220"/>
          </w:cols>
          <w:pgMar w:left="320" w:top="123" w:right="35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3573780" cy="19862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73780" cy="1986280"/>
                    </a:xfrm>
                    <a:prstGeom prst="rect">
                      <a:avLst/>
                    </a:prstGeom>
                    <a:noFill/>
                  </pic:spPr>
                </pic:pic>
              </a:graphicData>
            </a:graphic>
          </wp:anchor>
        </w:drawing>
      </w:r>
    </w:p>
    <w:p>
      <w:pPr>
        <w:spacing w:after="0" w:line="20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21" w:lineRule="exact"/>
        <w:rPr>
          <w:sz w:val="20"/>
          <w:szCs w:val="20"/>
          <w:color w:val="auto"/>
        </w:rPr>
      </w:pPr>
    </w:p>
    <w:p>
      <w:pPr>
        <w:ind w:left="200" w:right="2060"/>
        <w:spacing w:after="0" w:line="346" w:lineRule="auto"/>
        <w:rPr>
          <w:sz w:val="20"/>
          <w:szCs w:val="20"/>
          <w:color w:val="auto"/>
        </w:rPr>
      </w:pPr>
      <w:r>
        <w:rPr>
          <w:sz w:val="1"/>
          <w:szCs w:val="1"/>
          <w:color w:val="auto"/>
        </w:rPr>
        <w:drawing>
          <wp:inline distT="0" distB="0" distL="0" distR="0">
            <wp:extent cx="65405" cy="571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All directors are independent except the CEO </w:t>
      </w:r>
      <w:r>
        <w:rPr>
          <w:sz w:val="1"/>
          <w:szCs w:val="1"/>
          <w:color w:val="auto"/>
        </w:rPr>
        <w:drawing>
          <wp:inline distT="0" distB="0" distL="0" distR="0">
            <wp:extent cx="65405" cy="571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Separate Chair and CEO roles</w:t>
      </w:r>
    </w:p>
    <w:p>
      <w:pPr>
        <w:spacing w:after="0" w:line="1" w:lineRule="exact"/>
        <w:rPr>
          <w:sz w:val="20"/>
          <w:szCs w:val="20"/>
          <w:color w:val="auto"/>
        </w:rPr>
      </w:pPr>
    </w:p>
    <w:p>
      <w:pPr>
        <w:ind w:left="380" w:right="360" w:hanging="193"/>
        <w:spacing w:after="0"/>
        <w:rPr>
          <w:sz w:val="20"/>
          <w:szCs w:val="20"/>
          <w:color w:val="auto"/>
        </w:rPr>
      </w:pPr>
      <w:r>
        <w:rPr>
          <w:sz w:val="1"/>
          <w:szCs w:val="1"/>
          <w:color w:val="auto"/>
        </w:rPr>
        <w:drawing>
          <wp:inline distT="0" distB="0" distL="0" distR="0">
            <wp:extent cx="65405" cy="571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Highly skilled board of directors with diversity in skills, background and experience</w:t>
      </w:r>
    </w:p>
    <w:p>
      <w:pPr>
        <w:spacing w:after="0" w:line="58" w:lineRule="exact"/>
        <w:rPr>
          <w:sz w:val="20"/>
          <w:szCs w:val="20"/>
          <w:color w:val="auto"/>
        </w:rPr>
      </w:pPr>
    </w:p>
    <w:p>
      <w:pPr>
        <w:ind w:left="200"/>
        <w:spacing w:after="0"/>
        <w:rPr>
          <w:sz w:val="20"/>
          <w:szCs w:val="20"/>
          <w:color w:val="auto"/>
        </w:rPr>
      </w:pPr>
      <w:r>
        <w:rPr>
          <w:sz w:val="1"/>
          <w:szCs w:val="1"/>
          <w:color w:val="auto"/>
        </w:rPr>
        <w:drawing>
          <wp:inline distT="0" distB="0" distL="0" distR="0">
            <wp:extent cx="65405" cy="571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All board committees are comprised of independent directors</w:t>
      </w:r>
    </w:p>
    <w:p>
      <w:pPr>
        <w:spacing w:after="0" w:line="82" w:lineRule="exact"/>
        <w:rPr>
          <w:sz w:val="20"/>
          <w:szCs w:val="20"/>
          <w:color w:val="auto"/>
        </w:rPr>
      </w:pPr>
    </w:p>
    <w:p>
      <w:pPr>
        <w:ind w:left="380" w:hanging="193"/>
        <w:spacing w:after="0"/>
        <w:rPr>
          <w:sz w:val="20"/>
          <w:szCs w:val="20"/>
          <w:color w:val="auto"/>
        </w:rPr>
      </w:pPr>
      <w:r>
        <w:rPr>
          <w:sz w:val="1"/>
          <w:szCs w:val="1"/>
          <w:color w:val="auto"/>
        </w:rPr>
        <w:drawing>
          <wp:inline distT="0" distB="0" distL="0" distR="0">
            <wp:extent cx="65405" cy="571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Independent directors regularly meet in executive session with no members of management present and generally meet at each board meeting</w:t>
      </w:r>
    </w:p>
    <w:p>
      <w:pPr>
        <w:spacing w:after="0" w:line="57" w:lineRule="exact"/>
        <w:rPr>
          <w:sz w:val="20"/>
          <w:szCs w:val="20"/>
          <w:color w:val="auto"/>
        </w:rPr>
      </w:pPr>
    </w:p>
    <w:p>
      <w:pPr>
        <w:ind w:left="380" w:right="140" w:hanging="193"/>
        <w:spacing w:after="0"/>
        <w:rPr>
          <w:sz w:val="20"/>
          <w:szCs w:val="20"/>
          <w:color w:val="auto"/>
        </w:rPr>
      </w:pPr>
      <w:r>
        <w:rPr>
          <w:sz w:val="1"/>
          <w:szCs w:val="1"/>
          <w:color w:val="auto"/>
        </w:rPr>
        <w:drawing>
          <wp:inline distT="0" distB="0" distL="0" distR="0">
            <wp:extent cx="65405" cy="571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Consistent and frequent director access to management and independent advisors</w:t>
      </w:r>
    </w:p>
    <w:p>
      <w:pPr>
        <w:spacing w:after="0" w:line="58" w:lineRule="exact"/>
        <w:rPr>
          <w:sz w:val="20"/>
          <w:szCs w:val="20"/>
          <w:color w:val="auto"/>
        </w:rPr>
      </w:pPr>
    </w:p>
    <w:p>
      <w:pPr>
        <w:ind w:left="200"/>
        <w:spacing w:after="0"/>
        <w:rPr>
          <w:sz w:val="20"/>
          <w:szCs w:val="20"/>
          <w:color w:val="auto"/>
        </w:rPr>
      </w:pPr>
      <w:r>
        <w:rPr>
          <w:sz w:val="1"/>
          <w:szCs w:val="1"/>
          <w:color w:val="auto"/>
        </w:rPr>
        <w:drawing>
          <wp:inline distT="0" distB="0" distL="0" distR="0">
            <wp:extent cx="65405" cy="571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Active board of director oversight of enterprise risk</w:t>
      </w:r>
    </w:p>
    <w:p>
      <w:pPr>
        <w:spacing w:after="0" w:line="82" w:lineRule="exact"/>
        <w:rPr>
          <w:sz w:val="20"/>
          <w:szCs w:val="20"/>
          <w:color w:val="auto"/>
        </w:rPr>
      </w:pPr>
    </w:p>
    <w:p>
      <w:pPr>
        <w:ind w:left="380" w:right="640" w:hanging="193"/>
        <w:spacing w:after="0"/>
        <w:rPr>
          <w:sz w:val="20"/>
          <w:szCs w:val="20"/>
          <w:color w:val="auto"/>
        </w:rPr>
      </w:pPr>
      <w:r>
        <w:rPr>
          <w:sz w:val="1"/>
          <w:szCs w:val="1"/>
          <w:color w:val="auto"/>
        </w:rPr>
        <w:drawing>
          <wp:inline distT="0" distB="0" distL="0" distR="0">
            <wp:extent cx="65405" cy="571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Annual performance self-evaluation of the board of directors, each individual director and each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-142875</wp:posOffset>
            </wp:positionV>
            <wp:extent cx="3565525" cy="19862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65525" cy="1986280"/>
                    </a:xfrm>
                    <a:prstGeom prst="rect">
                      <a:avLst/>
                    </a:prstGeom>
                    <a:noFill/>
                  </pic:spPr>
                </pic:pic>
              </a:graphicData>
            </a:graphic>
          </wp:anchor>
        </w:drawing>
      </w:r>
    </w:p>
    <w:p>
      <w:pPr>
        <w:spacing w:after="0" w:line="101" w:lineRule="exact"/>
        <w:rPr>
          <w:sz w:val="20"/>
          <w:szCs w:val="20"/>
          <w:color w:val="auto"/>
        </w:rPr>
      </w:pPr>
    </w:p>
    <w:p>
      <w:pPr>
        <w:ind w:left="200" w:right="480" w:hanging="193"/>
        <w:spacing w:after="0"/>
        <w:rPr>
          <w:sz w:val="20"/>
          <w:szCs w:val="20"/>
          <w:color w:val="auto"/>
        </w:rPr>
      </w:pPr>
      <w:r>
        <w:rPr>
          <w:sz w:val="1"/>
          <w:szCs w:val="1"/>
          <w:color w:val="auto"/>
        </w:rPr>
        <w:drawing>
          <wp:inline distT="0" distB="0" distL="0" distR="0">
            <wp:extent cx="65405" cy="571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Prohibition on hedging, pledging and trading transactions by executive officers or directors</w:t>
      </w:r>
    </w:p>
    <w:p>
      <w:pPr>
        <w:spacing w:after="0" w:line="69"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Stock ownership guidelines applicable to executive officers and directors</w:t>
      </w:r>
    </w:p>
    <w:p>
      <w:pPr>
        <w:spacing w:after="0" w:line="71" w:lineRule="exact"/>
        <w:rPr>
          <w:sz w:val="20"/>
          <w:szCs w:val="20"/>
          <w:color w:val="auto"/>
        </w:rPr>
      </w:pPr>
    </w:p>
    <w:p>
      <w:pPr>
        <w:ind w:left="200" w:right="260" w:hanging="193"/>
        <w:spacing w:after="0"/>
        <w:rPr>
          <w:sz w:val="20"/>
          <w:szCs w:val="20"/>
          <w:color w:val="auto"/>
        </w:rPr>
      </w:pPr>
      <w:r>
        <w:rPr>
          <w:sz w:val="1"/>
          <w:szCs w:val="1"/>
          <w:color w:val="auto"/>
        </w:rPr>
        <w:drawing>
          <wp:inline distT="0" distB="0" distL="0" distR="0">
            <wp:extent cx="65405" cy="571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Independent executive compensation consultant hired by and reporting to the Compensation Committee</w:t>
      </w:r>
    </w:p>
    <w:p>
      <w:pPr>
        <w:spacing w:after="0" w:line="58" w:lineRule="exact"/>
        <w:rPr>
          <w:sz w:val="20"/>
          <w:szCs w:val="20"/>
          <w:color w:val="auto"/>
        </w:rPr>
      </w:pPr>
    </w:p>
    <w:p>
      <w:pPr>
        <w:ind w:left="200" w:right="460" w:hanging="193"/>
        <w:spacing w:after="0"/>
        <w:rPr>
          <w:sz w:val="20"/>
          <w:szCs w:val="20"/>
          <w:color w:val="auto"/>
        </w:rPr>
      </w:pPr>
      <w:r>
        <w:rPr>
          <w:sz w:val="1"/>
          <w:szCs w:val="1"/>
          <w:color w:val="auto"/>
        </w:rPr>
        <w:drawing>
          <wp:inline distT="0" distB="0" distL="0" distR="0">
            <wp:extent cx="65405" cy="571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Change in control and severance benefits that are subject to a "double trigger"</w:t>
      </w:r>
    </w:p>
    <w:p>
      <w:pPr>
        <w:spacing w:after="0" w:line="69"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Robust Code of Conduct and third-party hotline reporting</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Executive succession planning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Clawback policy</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65405" cy="571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Enterprise risk management program, including relevant ESG related risks</w:t>
      </w:r>
    </w:p>
    <w:p>
      <w:pPr>
        <w:spacing w:after="0" w:line="394" w:lineRule="exact"/>
        <w:rPr>
          <w:sz w:val="20"/>
          <w:szCs w:val="20"/>
          <w:color w:val="auto"/>
        </w:rPr>
      </w:pPr>
    </w:p>
    <w:p>
      <w:pPr>
        <w:sectPr>
          <w:pgSz w:w="11900" w:h="16838" w:orient="portrait"/>
          <w:cols w:equalWidth="0" w:num="2">
            <w:col w:w="5480" w:space="340"/>
            <w:col w:w="5400"/>
          </w:cols>
          <w:pgMar w:left="320" w:top="123" w:right="35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Board of Directors and Committee Meetings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During 2020, the Civeo board of directors held ten meetings, the Audit Committee held eight meetings, the Compensation Committee held eight meetings, the Nominating and Corporate Governance Committee held three meetings and the Finance and Investment Committee held two meetings. Each of the directors attended 100% of the meetings of the board of directors and the committees on which he or she served. While we understand that scheduling conflicts may arise, we expect directors to make reasonable efforts to attend the annual general meeting of shareholders, meetings of the board of directors and the committees on which they serve. All of our directors attended the 2020 annual general meeting of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Board of Directors—Performance Evaluations</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Annually, the board of directors conducts a self-evaluation to determine whether it and its committees are functioning effectively. The Nominating and Corporate Governance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spacing w:after="0" w:line="8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Additionally, the Nominating and Corporate Governance Committee leads the board of directors in the annual performance review of each of the board's committees. As part of this process, the chair of each committee reports to the Nominating and Corporate Governance Committee Chair who then reports the results of the self-evaluations to the full board of directors about the committee’s annual evaluation of its performance and evaluation of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142240</wp:posOffset>
            </wp:positionV>
            <wp:extent cx="374650" cy="1873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220"/>
          </w:cols>
          <w:pgMar w:left="320" w:top="123" w:right="3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Director Orientation and Continuing Education</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w:t>
      </w:r>
    </w:p>
    <w:p>
      <w:pPr>
        <w:spacing w:after="0" w:line="74" w:lineRule="exact"/>
        <w:rPr>
          <w:sz w:val="20"/>
          <w:szCs w:val="20"/>
          <w:color w:val="auto"/>
        </w:rPr>
      </w:pPr>
    </w:p>
    <w:p>
      <w:pPr>
        <w:ind w:right="20"/>
        <w:spacing w:after="0" w:line="221" w:lineRule="auto"/>
        <w:rPr>
          <w:sz w:val="20"/>
          <w:szCs w:val="20"/>
          <w:color w:val="auto"/>
        </w:rPr>
      </w:pPr>
      <w:r>
        <w:rPr>
          <w:rFonts w:ascii="Arial" w:cs="Arial" w:eastAsia="Arial" w:hAnsi="Arial"/>
          <w:sz w:val="15"/>
          <w:szCs w:val="15"/>
          <w:color w:val="auto"/>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 [add discussion of operational reviews, site visits]</w:t>
      </w: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Corporate Governance Guidelines</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ensure that the interests of the board of directors and management are aligned with the interests of the shareholders. Civeo’s Corporate Governance Guidelines are available at www.civeo.com by first clicking “Corporate Governance” under the “Investor Relations” heading and then “Corporate Governance Guidelines.”</w:t>
      </w:r>
    </w:p>
    <w:p>
      <w:pPr>
        <w:spacing w:after="0" w:line="21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Communications with Directors; Accounting and Auditing Concerns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Corporate Secretary of Civeo to the addressee without review by management.</w:t>
      </w:r>
    </w:p>
    <w:p>
      <w:pPr>
        <w:spacing w:after="0" w:line="87"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Certain Relationships and Related-Party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transactions or relationships required to be disclosed under Item 404(a) of Regulation S-K during the past two fiscal years.</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88"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Our Code of Conduct prohibits conflicts of interest. Any waivers of these guidelines must be approved by the Nominating and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32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bl>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and Corporate Governance Committee, our board of directors or our independent registered public accounting firm, as deemed appropriate, and discussed with management. As part of this review, the following factors will generally be considered:</w:t>
      </w:r>
    </w:p>
    <w:p>
      <w:pPr>
        <w:spacing w:after="0" w:line="87"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the nature of the related party’s interest in the transaction;</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the material terms of the transaction, including, without limitation, the amount and type of the transaction;</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the importance of the transaction to the related party;</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the importance of the transaction to us;</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whether the transaction would impair the judgment of a director or executive officer to act in Civeo’s best interest;</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whether the transaction might affect the status of a director as independent under the independence standards of the NYSE; and</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26"/>
        </w:numPr>
        <w:rPr>
          <w:rFonts w:ascii="Arial" w:cs="Arial" w:eastAsia="Arial" w:hAnsi="Arial"/>
          <w:sz w:val="15"/>
          <w:szCs w:val="15"/>
          <w:color w:val="006DB6"/>
        </w:rPr>
      </w:pPr>
      <w:r>
        <w:rPr>
          <w:rFonts w:ascii="Arial" w:cs="Arial" w:eastAsia="Arial" w:hAnsi="Arial"/>
          <w:sz w:val="15"/>
          <w:szCs w:val="15"/>
          <w:color w:val="auto"/>
        </w:rPr>
        <w:t>any other matters deemed appropriate with respect to the particular transaction.</w:t>
      </w:r>
    </w:p>
    <w:p>
      <w:pPr>
        <w:spacing w:after="0" w:line="11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Ultimately, all material related-party transactions must be approved or ratified by the Nominating and Corporate Governance Committee of our board of directors. Any member of the Nominating and Corporate Governance Committee who is a related party with respect to a transaction would be recused from the review of the transaction.</w:t>
      </w:r>
    </w:p>
    <w:p>
      <w:pPr>
        <w:spacing w:after="0" w:line="85"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85" w:lineRule="exact"/>
        <w:rPr>
          <w:sz w:val="20"/>
          <w:szCs w:val="20"/>
          <w:color w:val="auto"/>
        </w:rPr>
      </w:pPr>
    </w:p>
    <w:p>
      <w:pPr>
        <w:jc w:val="both"/>
        <w:ind w:right="340"/>
        <w:spacing w:after="0" w:line="255" w:lineRule="auto"/>
        <w:rPr>
          <w:sz w:val="20"/>
          <w:szCs w:val="20"/>
          <w:color w:val="auto"/>
        </w:rPr>
      </w:pPr>
      <w:r>
        <w:rPr>
          <w:rFonts w:ascii="Arial" w:cs="Arial" w:eastAsia="Arial" w:hAnsi="Arial"/>
          <w:sz w:val="15"/>
          <w:szCs w:val="15"/>
          <w:color w:val="auto"/>
        </w:rPr>
        <w:t>We also have other policies and procedures to prevent conflicts of interest, including related-party transactions. For example, the charter of our Nominating and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To establish restrictions with regard to corporate participation in the political system as imposed by law, the following guidelines are contained in our Code of</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Conduct:</w:t>
      </w:r>
    </w:p>
    <w:p>
      <w:pPr>
        <w:spacing w:after="0" w:line="110" w:lineRule="exact"/>
        <w:rPr>
          <w:sz w:val="20"/>
          <w:szCs w:val="20"/>
          <w:color w:val="auto"/>
        </w:rPr>
      </w:pPr>
    </w:p>
    <w:p>
      <w:pPr>
        <w:ind w:left="180" w:right="560" w:hanging="177"/>
        <w:spacing w:after="0" w:line="267" w:lineRule="auto"/>
        <w:tabs>
          <w:tab w:leader="none" w:pos="152" w:val="left"/>
        </w:tabs>
        <w:numPr>
          <w:ilvl w:val="0"/>
          <w:numId w:val="27"/>
        </w:numPr>
        <w:rPr>
          <w:rFonts w:ascii="Arial" w:cs="Arial" w:eastAsia="Arial" w:hAnsi="Arial"/>
          <w:sz w:val="15"/>
          <w:szCs w:val="15"/>
          <w:color w:val="006DB6"/>
        </w:rPr>
      </w:pPr>
      <w:r>
        <w:rPr>
          <w:rFonts w:ascii="Arial" w:cs="Arial" w:eastAsia="Arial" w:hAnsi="Arial"/>
          <w:sz w:val="15"/>
          <w:szCs w:val="15"/>
          <w:color w:val="auto"/>
        </w:rPr>
        <w:t>None of Civeo’s funds, assets or services will be used for political contributions, directly or indirectly, unless allowed by applicable foreign and U.S. law and approved in advance by our board of directors.</w:t>
      </w:r>
    </w:p>
    <w:p>
      <w:pPr>
        <w:spacing w:after="0" w:line="39" w:lineRule="exact"/>
        <w:rPr>
          <w:rFonts w:ascii="Arial" w:cs="Arial" w:eastAsia="Arial" w:hAnsi="Arial"/>
          <w:sz w:val="15"/>
          <w:szCs w:val="15"/>
          <w:color w:val="006DB6"/>
        </w:rPr>
      </w:pPr>
    </w:p>
    <w:p>
      <w:pPr>
        <w:ind w:left="160" w:hanging="157"/>
        <w:spacing w:after="0"/>
        <w:tabs>
          <w:tab w:leader="none" w:pos="160" w:val="left"/>
        </w:tabs>
        <w:numPr>
          <w:ilvl w:val="0"/>
          <w:numId w:val="27"/>
        </w:numPr>
        <w:rPr>
          <w:rFonts w:ascii="Arial" w:cs="Arial" w:eastAsia="Arial" w:hAnsi="Arial"/>
          <w:sz w:val="15"/>
          <w:szCs w:val="15"/>
          <w:color w:val="006DB6"/>
        </w:rPr>
      </w:pPr>
      <w:r>
        <w:rPr>
          <w:rFonts w:ascii="Arial" w:cs="Arial" w:eastAsia="Arial" w:hAnsi="Arial"/>
          <w:sz w:val="15"/>
          <w:szCs w:val="15"/>
          <w:color w:val="auto"/>
        </w:rPr>
        <w:t>Any contributions by Civeo to support or oppose public referenda or similar ballot issues are only permitted with advance approval of our board of directors.</w:t>
      </w:r>
    </w:p>
    <w:p>
      <w:pPr>
        <w:spacing w:after="0" w:line="83" w:lineRule="exact"/>
        <w:rPr>
          <w:rFonts w:ascii="Arial" w:cs="Arial" w:eastAsia="Arial" w:hAnsi="Arial"/>
          <w:sz w:val="15"/>
          <w:szCs w:val="15"/>
          <w:color w:val="006DB6"/>
        </w:rPr>
      </w:pPr>
    </w:p>
    <w:p>
      <w:pPr>
        <w:ind w:left="180" w:hanging="177"/>
        <w:spacing w:after="0" w:line="255" w:lineRule="auto"/>
        <w:tabs>
          <w:tab w:leader="none" w:pos="152" w:val="left"/>
        </w:tabs>
        <w:numPr>
          <w:ilvl w:val="0"/>
          <w:numId w:val="27"/>
        </w:numPr>
        <w:rPr>
          <w:rFonts w:ascii="Arial" w:cs="Arial" w:eastAsia="Arial" w:hAnsi="Arial"/>
          <w:sz w:val="15"/>
          <w:szCs w:val="15"/>
          <w:color w:val="006DB6"/>
        </w:rPr>
      </w:pPr>
      <w:r>
        <w:rPr>
          <w:rFonts w:ascii="Arial" w:cs="Arial" w:eastAsia="Arial" w:hAnsi="Arial"/>
          <w:sz w:val="15"/>
          <w:szCs w:val="15"/>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color w:val="FFC03C"/>
        </w:rPr>
        <w:t>Noralta Acquisition</w:t>
      </w:r>
    </w:p>
    <w:p>
      <w:pPr>
        <w:spacing w:after="0" w:line="109" w:lineRule="exact"/>
        <w:rPr>
          <w:sz w:val="20"/>
          <w:szCs w:val="20"/>
          <w:color w:val="auto"/>
        </w:rPr>
      </w:pPr>
    </w:p>
    <w:p>
      <w:pPr>
        <w:jc w:val="both"/>
        <w:ind w:right="180"/>
        <w:spacing w:after="0" w:line="254" w:lineRule="auto"/>
        <w:rPr>
          <w:sz w:val="20"/>
          <w:szCs w:val="20"/>
          <w:color w:val="auto"/>
        </w:rPr>
      </w:pPr>
      <w:r>
        <w:rPr>
          <w:rFonts w:ascii="Arial" w:cs="Arial" w:eastAsia="Arial" w:hAnsi="Arial"/>
          <w:sz w:val="15"/>
          <w:szCs w:val="15"/>
          <w:color w:val="auto"/>
        </w:rPr>
        <w:t>On April 2, 2018, we acquired the equity of Noralta Lodge Ltd. ("Noralta"), located in Alberta, Canada (the "Noralta Acquisition"). The total consideration, subject to adjustment in accordance with the terms of the definitive agreement, included (i) C$207.7 million (or approximately US$161.2 million) in cash, (ii) 2.7 million of our common shares, of which 1.1 million shares are held in escrow and will be released based on certain conditions related to Noralta customer contracts remaining in place, and (iii) 9,679 Class A Series 1 Preferred Shares (the “preferred shares”) with an initial liquidation preference of $96.8 million and initially convertible into 2.4 million of our common shares.</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During the second quarter of 2020, $5.0 million in cash was released to us from escrow to cover certain agreed upon indemnification claims. During the first quarter of 2019, $2.1 million in cash was released to us from escrow to cover certain agreed upon indemnification claims. During the fourth quarter of 2018, $10.4 million in cash, 0.2 million common shares and 637 preferred shares were released to us, and $1.2 million in cash, 15 thousand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87"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Holders of the preferred shares are entitled to receive a 2% annual dividend on the liquidation preference, paid quarterly in cash or, at our option, by increasing the preferred shares’ liquidation preference. The preferred shares are convertible into common shares at a conversion price of $39.60 per preferred share, subject to customary anti-dilution adjustments (the “Conversion Price”). We have the right to elect to convert the preferred shares into common shares if the 15-day volume weighted average price of the common shares is equal to or exceeds the Conversion Price. Holders of the preferred shares have the right to convert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144145</wp:posOffset>
            </wp:positionV>
            <wp:extent cx="374650" cy="1873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240"/>
          </w:cols>
          <w:pgMar w:left="320" w:top="12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363" w:lineRule="exact"/>
        <w:rPr>
          <w:sz w:val="20"/>
          <w:szCs w:val="20"/>
          <w:color w:val="auto"/>
        </w:rPr>
      </w:pPr>
    </w:p>
    <w:p>
      <w:pPr>
        <w:ind w:right="260"/>
        <w:spacing w:after="0" w:line="257" w:lineRule="auto"/>
        <w:rPr>
          <w:sz w:val="20"/>
          <w:szCs w:val="20"/>
          <w:color w:val="auto"/>
        </w:rPr>
      </w:pPr>
      <w:r>
        <w:rPr>
          <w:rFonts w:ascii="Arial" w:cs="Arial" w:eastAsia="Arial" w:hAnsi="Arial"/>
          <w:sz w:val="15"/>
          <w:szCs w:val="15"/>
          <w:color w:val="auto"/>
        </w:rPr>
        <w:t>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 connection with closing of the Noralta Acquisition, we entered into the registration rights, lock-up and standstill agreement, dated April 2, 2018 (the “Registration Rights Agreement”), with Torgerson Family Trust (“Torgerson Trust”) and 989677 Alberta Ltd. (collectively, the “Restricted Shareholders”). Pursuant to the Registration Rights Agreement, for a period of 18 months following the closing, the Restricted Shareholders agreed not to transfer any of their common shares without our prior written consent, with certain limited exceptions for permitted transfers. Following such 18-month period, the Restricted Shareholders are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Pursuant to the Registration Rights Agreement, we filed a shelf registration statement under the Securities Act covering the public offering of the registrable securities held by the Restricted Shareholders, which became effective on September 5, 2019. In addition, the Restricted Shareholders have customary “piggy-back” rights with respect to public offerings of common shares by Civeo.</w:t>
      </w:r>
    </w:p>
    <w:p>
      <w:pPr>
        <w:spacing w:after="0" w:line="85"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bl>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Director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Process</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Our non-employee directors receive compensation for their services on the board of directors. The Compensation Committee conducts annual reviews of director compensation, engages Mercer, LLC ("Mercer"), the Compensation Committee's independent compensation consultant, to provide market data bi-annually related to director compensation, and makes a recommendation to the board of directors regarding the form and amount of director compensation. Director compensation should be adequate to compensate directors for their time and effort expended in satisfying their obligations. The Compensation Committee will,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 of compensation to) a director or an organization with which the director is affiliated.</w:t>
      </w:r>
    </w:p>
    <w:p>
      <w:pPr>
        <w:spacing w:after="0" w:line="91"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Directors who are also our employees do not receive a retainer or fees for service on our board of directors or any committees. Accordingly, Mr. Dodson, a director of Civeo and Civeo’s President and Chief Executive Officer, does not receive director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components of compensation paid by Civeo to non-employee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Component</w:t>
            </w:r>
          </w:p>
        </w:tc>
        <w:tc>
          <w:tcPr>
            <w:tcW w:w="7940" w:type="dxa"/>
            <w:vAlign w:val="bottom"/>
            <w:tcBorders>
              <w:bottom w:val="single" w:sz="8" w:color="006DB6"/>
            </w:tcBorders>
          </w:tcPr>
          <w:p>
            <w:pPr>
              <w:ind w:left="380"/>
              <w:spacing w:after="0"/>
              <w:rPr>
                <w:sz w:val="20"/>
                <w:szCs w:val="20"/>
                <w:color w:val="auto"/>
              </w:rPr>
            </w:pPr>
            <w:r>
              <w:rPr>
                <w:rFonts w:ascii="Arial" w:cs="Arial" w:eastAsia="Arial" w:hAnsi="Arial"/>
                <w:sz w:val="14"/>
                <w:szCs w:val="14"/>
                <w:b w:val="1"/>
                <w:bCs w:val="1"/>
                <w:color w:val="706F6F"/>
              </w:rPr>
              <w:t>Non-Employee Director Compensation</w:t>
            </w:r>
          </w:p>
        </w:tc>
      </w:tr>
      <w:tr>
        <w:trPr>
          <w:trHeight w:val="23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xml:space="preserve">Annual Cash Retainer </w:t>
            </w:r>
            <w:r>
              <w:rPr>
                <w:rFonts w:ascii="Arial" w:cs="Arial" w:eastAsia="Arial" w:hAnsi="Arial"/>
                <w:sz w:val="19"/>
                <w:szCs w:val="19"/>
                <w:color w:val="auto"/>
                <w:vertAlign w:val="superscript"/>
              </w:rPr>
              <w:t>(1)</w:t>
            </w:r>
          </w:p>
        </w:tc>
        <w:tc>
          <w:tcPr>
            <w:tcW w:w="7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$65,000</w:t>
            </w:r>
          </w:p>
        </w:tc>
      </w:tr>
      <w:tr>
        <w:trPr>
          <w:trHeight w:val="224"/>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xml:space="preserve">Annual Equity Retainer </w:t>
            </w:r>
            <w:r>
              <w:rPr>
                <w:rFonts w:ascii="Arial" w:cs="Arial" w:eastAsia="Arial" w:hAnsi="Arial"/>
                <w:sz w:val="19"/>
                <w:szCs w:val="19"/>
                <w:color w:val="auto"/>
                <w:vertAlign w:val="superscript"/>
              </w:rPr>
              <w:t>(2) (3)</w:t>
            </w:r>
          </w:p>
        </w:tc>
        <w:tc>
          <w:tcPr>
            <w:tcW w:w="7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Stock award equal to $125,000</w:t>
            </w:r>
          </w:p>
        </w:tc>
      </w:tr>
      <w:tr>
        <w:trPr>
          <w:trHeight w:val="224"/>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xml:space="preserve">Chair of the Board Retainer </w:t>
            </w:r>
            <w:r>
              <w:rPr>
                <w:rFonts w:ascii="Arial" w:cs="Arial" w:eastAsia="Arial" w:hAnsi="Arial"/>
                <w:sz w:val="19"/>
                <w:szCs w:val="19"/>
                <w:color w:val="auto"/>
                <w:vertAlign w:val="superscript"/>
              </w:rPr>
              <w:t>(4)</w:t>
            </w:r>
          </w:p>
        </w:tc>
        <w:tc>
          <w:tcPr>
            <w:tcW w:w="7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Annual retainer of $75,000, paid quarterly 50% in cash and 50% in fully vested common shares</w:t>
            </w:r>
          </w:p>
        </w:tc>
      </w:tr>
      <w:tr>
        <w:trPr>
          <w:trHeight w:val="200"/>
        </w:trPr>
        <w:tc>
          <w:tcPr>
            <w:tcW w:w="3300" w:type="dxa"/>
            <w:vAlign w:val="bottom"/>
          </w:tcPr>
          <w:p>
            <w:pPr>
              <w:ind w:left="20"/>
              <w:spacing w:after="0"/>
              <w:rPr>
                <w:sz w:val="20"/>
                <w:szCs w:val="20"/>
                <w:color w:val="auto"/>
              </w:rPr>
            </w:pPr>
            <w:r>
              <w:rPr>
                <w:rFonts w:ascii="Arial" w:cs="Arial" w:eastAsia="Arial" w:hAnsi="Arial"/>
                <w:sz w:val="15"/>
                <w:szCs w:val="15"/>
                <w:color w:val="auto"/>
              </w:rPr>
              <w:t>Committee Chair Annual Cash Retainer</w:t>
            </w:r>
          </w:p>
        </w:tc>
        <w:tc>
          <w:tcPr>
            <w:tcW w:w="7940" w:type="dxa"/>
            <w:vAlign w:val="bottom"/>
          </w:tcPr>
          <w:p>
            <w:pPr>
              <w:ind w:left="380"/>
              <w:spacing w:after="0"/>
              <w:rPr>
                <w:sz w:val="20"/>
                <w:szCs w:val="20"/>
                <w:color w:val="auto"/>
              </w:rPr>
            </w:pPr>
            <w:r>
              <w:rPr>
                <w:rFonts w:ascii="Arial" w:cs="Arial" w:eastAsia="Arial" w:hAnsi="Arial"/>
                <w:sz w:val="15"/>
                <w:szCs w:val="15"/>
                <w:color w:val="auto"/>
              </w:rPr>
              <w:t>Audit - $27,500</w:t>
            </w:r>
          </w:p>
        </w:tc>
      </w:tr>
      <w:tr>
        <w:trPr>
          <w:trHeight w:val="179"/>
        </w:trPr>
        <w:tc>
          <w:tcPr>
            <w:tcW w:w="3300" w:type="dxa"/>
            <w:vAlign w:val="bottom"/>
          </w:tcPr>
          <w:p>
            <w:pPr>
              <w:spacing w:after="0"/>
              <w:rPr>
                <w:sz w:val="15"/>
                <w:szCs w:val="15"/>
                <w:color w:val="auto"/>
              </w:rPr>
            </w:pPr>
          </w:p>
        </w:tc>
        <w:tc>
          <w:tcPr>
            <w:tcW w:w="7940" w:type="dxa"/>
            <w:vAlign w:val="bottom"/>
          </w:tcPr>
          <w:p>
            <w:pPr>
              <w:ind w:left="380"/>
              <w:spacing w:after="0"/>
              <w:rPr>
                <w:sz w:val="20"/>
                <w:szCs w:val="20"/>
                <w:color w:val="auto"/>
              </w:rPr>
            </w:pPr>
            <w:r>
              <w:rPr>
                <w:rFonts w:ascii="Arial" w:cs="Arial" w:eastAsia="Arial" w:hAnsi="Arial"/>
                <w:sz w:val="15"/>
                <w:szCs w:val="15"/>
                <w:color w:val="auto"/>
              </w:rPr>
              <w:t>Compensation - $23,000</w:t>
            </w:r>
          </w:p>
        </w:tc>
      </w:tr>
      <w:tr>
        <w:trPr>
          <w:trHeight w:val="179"/>
        </w:trPr>
        <w:tc>
          <w:tcPr>
            <w:tcW w:w="3300" w:type="dxa"/>
            <w:vAlign w:val="bottom"/>
          </w:tcPr>
          <w:p>
            <w:pPr>
              <w:spacing w:after="0"/>
              <w:rPr>
                <w:sz w:val="15"/>
                <w:szCs w:val="15"/>
                <w:color w:val="auto"/>
              </w:rPr>
            </w:pPr>
          </w:p>
        </w:tc>
        <w:tc>
          <w:tcPr>
            <w:tcW w:w="7940" w:type="dxa"/>
            <w:vAlign w:val="bottom"/>
          </w:tcPr>
          <w:p>
            <w:pPr>
              <w:ind w:left="380"/>
              <w:spacing w:after="0"/>
              <w:rPr>
                <w:sz w:val="20"/>
                <w:szCs w:val="20"/>
                <w:color w:val="auto"/>
              </w:rPr>
            </w:pPr>
            <w:r>
              <w:rPr>
                <w:rFonts w:ascii="Arial" w:cs="Arial" w:eastAsia="Arial" w:hAnsi="Arial"/>
                <w:sz w:val="15"/>
                <w:szCs w:val="15"/>
                <w:color w:val="auto"/>
              </w:rPr>
              <w:t>Nominating and Corporate Governance - $18,000</w:t>
            </w:r>
          </w:p>
        </w:tc>
      </w:tr>
      <w:tr>
        <w:trPr>
          <w:trHeight w:val="196"/>
        </w:trPr>
        <w:tc>
          <w:tcPr>
            <w:tcW w:w="3300" w:type="dxa"/>
            <w:vAlign w:val="bottom"/>
            <w:tcBorders>
              <w:bottom w:val="single" w:sz="8" w:color="auto"/>
            </w:tcBorders>
          </w:tcPr>
          <w:p>
            <w:pPr>
              <w:spacing w:after="0"/>
              <w:rPr>
                <w:sz w:val="17"/>
                <w:szCs w:val="17"/>
                <w:color w:val="auto"/>
              </w:rPr>
            </w:pPr>
          </w:p>
        </w:tc>
        <w:tc>
          <w:tcPr>
            <w:tcW w:w="7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Finance and Investment - $18,000</w:t>
            </w:r>
          </w:p>
        </w:tc>
      </w:tr>
      <w:tr>
        <w:trPr>
          <w:trHeight w:val="207"/>
        </w:trPr>
        <w:tc>
          <w:tcPr>
            <w:tcW w:w="3300" w:type="dxa"/>
            <w:vAlign w:val="bottom"/>
          </w:tcPr>
          <w:p>
            <w:pPr>
              <w:ind w:left="20"/>
              <w:spacing w:after="0"/>
              <w:rPr>
                <w:sz w:val="20"/>
                <w:szCs w:val="20"/>
                <w:color w:val="auto"/>
              </w:rPr>
            </w:pPr>
            <w:r>
              <w:rPr>
                <w:rFonts w:ascii="Arial" w:cs="Arial" w:eastAsia="Arial" w:hAnsi="Arial"/>
                <w:sz w:val="15"/>
                <w:szCs w:val="15"/>
                <w:color w:val="auto"/>
              </w:rPr>
              <w:t>Committee Member Annual Cash Retainer</w:t>
            </w:r>
          </w:p>
        </w:tc>
        <w:tc>
          <w:tcPr>
            <w:tcW w:w="7940" w:type="dxa"/>
            <w:vAlign w:val="bottom"/>
          </w:tcPr>
          <w:p>
            <w:pPr>
              <w:ind w:left="380"/>
              <w:spacing w:after="0"/>
              <w:rPr>
                <w:sz w:val="20"/>
                <w:szCs w:val="20"/>
                <w:color w:val="auto"/>
              </w:rPr>
            </w:pPr>
            <w:r>
              <w:rPr>
                <w:rFonts w:ascii="Arial" w:cs="Arial" w:eastAsia="Arial" w:hAnsi="Arial"/>
                <w:sz w:val="15"/>
                <w:szCs w:val="15"/>
                <w:color w:val="auto"/>
              </w:rPr>
              <w:t>Audit - $18,000</w:t>
            </w:r>
          </w:p>
        </w:tc>
      </w:tr>
      <w:tr>
        <w:trPr>
          <w:trHeight w:val="179"/>
        </w:trPr>
        <w:tc>
          <w:tcPr>
            <w:tcW w:w="3300" w:type="dxa"/>
            <w:vAlign w:val="bottom"/>
          </w:tcPr>
          <w:p>
            <w:pPr>
              <w:spacing w:after="0"/>
              <w:rPr>
                <w:sz w:val="15"/>
                <w:szCs w:val="15"/>
                <w:color w:val="auto"/>
              </w:rPr>
            </w:pPr>
          </w:p>
        </w:tc>
        <w:tc>
          <w:tcPr>
            <w:tcW w:w="7940" w:type="dxa"/>
            <w:vAlign w:val="bottom"/>
          </w:tcPr>
          <w:p>
            <w:pPr>
              <w:ind w:left="380"/>
              <w:spacing w:after="0"/>
              <w:rPr>
                <w:sz w:val="20"/>
                <w:szCs w:val="20"/>
                <w:color w:val="auto"/>
              </w:rPr>
            </w:pPr>
            <w:r>
              <w:rPr>
                <w:rFonts w:ascii="Arial" w:cs="Arial" w:eastAsia="Arial" w:hAnsi="Arial"/>
                <w:sz w:val="15"/>
                <w:szCs w:val="15"/>
                <w:color w:val="auto"/>
              </w:rPr>
              <w:t>Compensation - $13,000</w:t>
            </w:r>
          </w:p>
        </w:tc>
      </w:tr>
      <w:tr>
        <w:trPr>
          <w:trHeight w:val="179"/>
        </w:trPr>
        <w:tc>
          <w:tcPr>
            <w:tcW w:w="3300" w:type="dxa"/>
            <w:vAlign w:val="bottom"/>
          </w:tcPr>
          <w:p>
            <w:pPr>
              <w:spacing w:after="0"/>
              <w:rPr>
                <w:sz w:val="15"/>
                <w:szCs w:val="15"/>
                <w:color w:val="auto"/>
              </w:rPr>
            </w:pPr>
          </w:p>
        </w:tc>
        <w:tc>
          <w:tcPr>
            <w:tcW w:w="7940" w:type="dxa"/>
            <w:vAlign w:val="bottom"/>
          </w:tcPr>
          <w:p>
            <w:pPr>
              <w:ind w:left="380"/>
              <w:spacing w:after="0"/>
              <w:rPr>
                <w:sz w:val="20"/>
                <w:szCs w:val="20"/>
                <w:color w:val="auto"/>
              </w:rPr>
            </w:pPr>
            <w:r>
              <w:rPr>
                <w:rFonts w:ascii="Arial" w:cs="Arial" w:eastAsia="Arial" w:hAnsi="Arial"/>
                <w:sz w:val="15"/>
                <w:szCs w:val="15"/>
                <w:color w:val="auto"/>
              </w:rPr>
              <w:t>Nominating and Corporate Governance - $13,000</w:t>
            </w:r>
          </w:p>
        </w:tc>
      </w:tr>
      <w:tr>
        <w:trPr>
          <w:trHeight w:val="196"/>
        </w:trPr>
        <w:tc>
          <w:tcPr>
            <w:tcW w:w="3300" w:type="dxa"/>
            <w:vAlign w:val="bottom"/>
            <w:tcBorders>
              <w:bottom w:val="single" w:sz="8" w:color="auto"/>
            </w:tcBorders>
          </w:tcPr>
          <w:p>
            <w:pPr>
              <w:spacing w:after="0"/>
              <w:rPr>
                <w:sz w:val="17"/>
                <w:szCs w:val="17"/>
                <w:color w:val="auto"/>
              </w:rPr>
            </w:pPr>
          </w:p>
        </w:tc>
        <w:tc>
          <w:tcPr>
            <w:tcW w:w="7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Finance and Investment - $13,000</w:t>
            </w:r>
          </w:p>
        </w:tc>
      </w:tr>
    </w:tbl>
    <w:p>
      <w:pPr>
        <w:spacing w:after="0" w:line="104" w:lineRule="exact"/>
        <w:rPr>
          <w:sz w:val="20"/>
          <w:szCs w:val="20"/>
          <w:color w:val="auto"/>
        </w:rPr>
      </w:pPr>
    </w:p>
    <w:p>
      <w:pPr>
        <w:ind w:left="620" w:right="480" w:hanging="310"/>
        <w:spacing w:after="0" w:line="258"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 as of April 1, 2020, in light of the then current market environment including the near term outlook for oil and gas activity, the non-employee directors voluntarily agreed to an annual retainer reduction to $52,000, a 20% reduction, effective as of April 1, 2020. The retainers were reinstated to $65,000 as of January 1, 2021.</w:t>
      </w:r>
    </w:p>
    <w:p>
      <w:pPr>
        <w:spacing w:after="0" w:line="33" w:lineRule="exact"/>
        <w:rPr>
          <w:rFonts w:ascii="Arial" w:cs="Arial" w:eastAsia="Arial" w:hAnsi="Arial"/>
          <w:sz w:val="15"/>
          <w:szCs w:val="15"/>
          <w:color w:val="auto"/>
        </w:rPr>
      </w:pPr>
    </w:p>
    <w:p>
      <w:pPr>
        <w:ind w:left="620" w:right="40" w:hanging="310"/>
        <w:spacing w:after="0" w:line="255"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Newly elected non-employee directors receive restricted stock awards valued at $125,000 after their initial appointment. In addition, non-employee directors who have served for not less than six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w:t>
      </w:r>
    </w:p>
    <w:p>
      <w:pPr>
        <w:spacing w:after="0" w:line="36" w:lineRule="exact"/>
        <w:rPr>
          <w:rFonts w:ascii="Arial" w:cs="Arial" w:eastAsia="Arial" w:hAnsi="Arial"/>
          <w:sz w:val="15"/>
          <w:szCs w:val="15"/>
          <w:color w:val="auto"/>
        </w:rPr>
      </w:pPr>
    </w:p>
    <w:p>
      <w:pPr>
        <w:ind w:left="620" w:right="20"/>
        <w:spacing w:after="0" w:line="258" w:lineRule="auto"/>
        <w:rPr>
          <w:rFonts w:ascii="Arial" w:cs="Arial" w:eastAsia="Arial" w:hAnsi="Arial"/>
          <w:sz w:val="15"/>
          <w:szCs w:val="15"/>
          <w:color w:val="auto"/>
        </w:rPr>
      </w:pPr>
      <w:r>
        <w:rPr>
          <w:rFonts w:ascii="Arial" w:cs="Arial" w:eastAsia="Arial" w:hAnsi="Arial"/>
          <w:sz w:val="15"/>
          <w:szCs w:val="15"/>
          <w:color w:val="auto"/>
        </w:rPr>
        <w:t>Commencing with annual grants made in 2019, our non-employee directors were permitted to elect to receive their annual restricted stock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spacing w:after="0" w:line="33" w:lineRule="exact"/>
        <w:rPr>
          <w:rFonts w:ascii="Arial" w:cs="Arial" w:eastAsia="Arial" w:hAnsi="Arial"/>
          <w:sz w:val="15"/>
          <w:szCs w:val="15"/>
          <w:color w:val="auto"/>
        </w:rPr>
      </w:pPr>
    </w:p>
    <w:p>
      <w:pPr>
        <w:ind w:left="620" w:right="400" w:hanging="310"/>
        <w:spacing w:after="0" w:line="258"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 as of April 1, 2020, in light of the Company's then current stock price and the desire to limit shareholder dilution, the non-employee directors replaced the annual stock award for 2020 with an additional cash retainer of $100,000, which will be paid on the date of the 2021 annual shareholders’ meeting. The annual stock awards are expected to be reinstated at the 2021 annual shareholders meeting.</w:t>
      </w:r>
    </w:p>
    <w:p>
      <w:pPr>
        <w:spacing w:after="0" w:line="33" w:lineRule="exact"/>
        <w:rPr>
          <w:rFonts w:ascii="Arial" w:cs="Arial" w:eastAsia="Arial" w:hAnsi="Arial"/>
          <w:sz w:val="15"/>
          <w:szCs w:val="15"/>
          <w:color w:val="auto"/>
        </w:rPr>
      </w:pPr>
    </w:p>
    <w:p>
      <w:pPr>
        <w:ind w:left="620" w:right="160" w:hanging="310"/>
        <w:spacing w:after="0" w:line="258"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 as of April 1, 2020, in light of the then current market environment including the near term outlook for oil and gas activity, Mr. Navarre also voluntarily agreed to reduce the additional Chair retainer to $60,000, a 20% reduction, to be paid quarterly 100% in cash, effective as of April 1, 2020. The retainer was reinstated to $75,000 as of January 1, 2021.</w:t>
      </w:r>
    </w:p>
    <w:p>
      <w:pPr>
        <w:spacing w:after="0" w:line="85" w:lineRule="exact"/>
        <w:rPr>
          <w:sz w:val="20"/>
          <w:szCs w:val="20"/>
          <w:color w:val="auto"/>
        </w:rPr>
      </w:pPr>
    </w:p>
    <w:p>
      <w:pPr>
        <w:ind w:right="540"/>
        <w:spacing w:after="0" w:line="258" w:lineRule="auto"/>
        <w:rPr>
          <w:sz w:val="20"/>
          <w:szCs w:val="20"/>
          <w:color w:val="auto"/>
        </w:rPr>
      </w:pPr>
      <w:r>
        <w:rPr>
          <w:rFonts w:ascii="Arial" w:cs="Arial" w:eastAsia="Arial" w:hAnsi="Arial"/>
          <w:sz w:val="15"/>
          <w:szCs w:val="15"/>
          <w:color w:val="auto"/>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150495</wp:posOffset>
            </wp:positionV>
            <wp:extent cx="374650" cy="1873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240"/>
          </w:cols>
          <w:pgMar w:left="320" w:top="12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7139305" cy="569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9305"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right="200"/>
        <w:spacing w:after="0" w:line="258" w:lineRule="auto"/>
        <w:rPr>
          <w:sz w:val="20"/>
          <w:szCs w:val="20"/>
          <w:color w:val="auto"/>
        </w:rPr>
      </w:pPr>
      <w:r>
        <w:rPr>
          <w:rFonts w:ascii="Arial" w:cs="Arial" w:eastAsia="Arial" w:hAnsi="Arial"/>
          <w:sz w:val="15"/>
          <w:szCs w:val="15"/>
          <w:color w:val="auto"/>
        </w:rPr>
        <w:t>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Nominating and Corporate Governance Committee annually reviews compliance with share ownership guidelines.</w:t>
      </w:r>
    </w:p>
    <w:p>
      <w:pPr>
        <w:spacing w:after="0" w:line="34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Director Compensation Table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compensation paid by Civeo to non-employee directors for the fiscal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18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706F6F"/>
              </w:rPr>
              <w:t>Fees Earned or</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Arial" w:cs="Arial" w:eastAsia="Arial" w:hAnsi="Arial"/>
                <w:sz w:val="14"/>
                <w:szCs w:val="14"/>
                <w:b w:val="1"/>
                <w:bCs w:val="1"/>
                <w:color w:val="706F6F"/>
              </w:rPr>
              <w:t>Share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41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ind w:right="105"/>
              <w:spacing w:after="0" w:line="140" w:lineRule="exact"/>
              <w:rPr>
                <w:sz w:val="20"/>
                <w:szCs w:val="20"/>
                <w:color w:val="auto"/>
              </w:rPr>
            </w:pPr>
            <w:r>
              <w:rPr>
                <w:rFonts w:ascii="Arial" w:cs="Arial" w:eastAsia="Arial" w:hAnsi="Arial"/>
                <w:sz w:val="14"/>
                <w:szCs w:val="14"/>
                <w:b w:val="1"/>
                <w:bCs w:val="1"/>
                <w:color w:val="706F6F"/>
              </w:rPr>
              <w:t>Awards</w:t>
            </w:r>
            <w:r>
              <w:rPr>
                <w:rFonts w:ascii="Arial" w:cs="Arial" w:eastAsia="Arial" w:hAnsi="Arial"/>
                <w:sz w:val="8"/>
                <w:szCs w:val="8"/>
                <w:b w:val="1"/>
                <w:bCs w:val="1"/>
                <w:color w:val="706F6F"/>
              </w:rPr>
              <w:t>(1)</w:t>
            </w:r>
          </w:p>
        </w:tc>
        <w:tc>
          <w:tcPr>
            <w:tcW w:w="3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Total</w:t>
            </w:r>
          </w:p>
        </w:tc>
        <w:tc>
          <w:tcPr>
            <w:tcW w:w="0" w:type="dxa"/>
            <w:vAlign w:val="bottom"/>
          </w:tcPr>
          <w:p>
            <w:pPr>
              <w:spacing w:after="0"/>
              <w:rPr>
                <w:sz w:val="1"/>
                <w:szCs w:val="1"/>
                <w:color w:val="auto"/>
              </w:rPr>
            </w:pPr>
          </w:p>
        </w:tc>
      </w:tr>
      <w:tr>
        <w:trPr>
          <w:trHeight w:val="154"/>
        </w:trPr>
        <w:tc>
          <w:tcPr>
            <w:tcW w:w="4700" w:type="dxa"/>
            <w:vAlign w:val="bottom"/>
            <w:tcBorders>
              <w:bottom w:val="single" w:sz="8" w:color="006DB6"/>
            </w:tcBorders>
            <w:vMerge w:val="continue"/>
          </w:tcPr>
          <w:p>
            <w:pPr>
              <w:spacing w:after="0"/>
              <w:rPr>
                <w:sz w:val="13"/>
                <w:szCs w:val="13"/>
                <w:color w:val="auto"/>
              </w:rPr>
            </w:pPr>
          </w:p>
        </w:tc>
        <w:tc>
          <w:tcPr>
            <w:tcW w:w="3180" w:type="dxa"/>
            <w:vAlign w:val="bottom"/>
            <w:tcBorders>
              <w:bottom w:val="single" w:sz="8" w:color="006DB6"/>
            </w:tcBorders>
          </w:tcPr>
          <w:p>
            <w:pPr>
              <w:spacing w:after="0"/>
              <w:rPr>
                <w:sz w:val="13"/>
                <w:szCs w:val="13"/>
                <w:color w:val="auto"/>
              </w:rPr>
            </w:pPr>
          </w:p>
        </w:tc>
        <w:tc>
          <w:tcPr>
            <w:tcW w:w="1000" w:type="dxa"/>
            <w:vAlign w:val="bottom"/>
            <w:tcBorders>
              <w:bottom w:val="single" w:sz="8" w:color="006DB6"/>
            </w:tcBorders>
          </w:tcPr>
          <w:p>
            <w:pPr>
              <w:jc w:val="right"/>
              <w:ind w:right="104"/>
              <w:spacing w:after="0" w:line="154" w:lineRule="exact"/>
              <w:rPr>
                <w:sz w:val="20"/>
                <w:szCs w:val="20"/>
                <w:color w:val="auto"/>
              </w:rPr>
            </w:pPr>
            <w:r>
              <w:rPr>
                <w:rFonts w:ascii="Arial" w:cs="Arial" w:eastAsia="Arial" w:hAnsi="Arial"/>
                <w:sz w:val="14"/>
                <w:szCs w:val="14"/>
                <w:b w:val="1"/>
                <w:bCs w:val="1"/>
                <w:color w:val="706F6F"/>
                <w:w w:val="95"/>
              </w:rPr>
              <w:t>Paid in Cash</w:t>
            </w:r>
          </w:p>
        </w:tc>
        <w:tc>
          <w:tcPr>
            <w:tcW w:w="360" w:type="dxa"/>
            <w:vAlign w:val="bottom"/>
            <w:tcBorders>
              <w:bottom w:val="single" w:sz="8" w:color="006DB6"/>
            </w:tcBorders>
          </w:tcPr>
          <w:p>
            <w:pPr>
              <w:spacing w:after="0"/>
              <w:rPr>
                <w:sz w:val="13"/>
                <w:szCs w:val="13"/>
                <w:color w:val="auto"/>
              </w:rPr>
            </w:pPr>
          </w:p>
        </w:tc>
        <w:tc>
          <w:tcPr>
            <w:tcW w:w="900" w:type="dxa"/>
            <w:vAlign w:val="bottom"/>
            <w:tcBorders>
              <w:bottom w:val="single" w:sz="8" w:color="006DB6"/>
            </w:tcBorders>
          </w:tcPr>
          <w:p>
            <w:pPr>
              <w:spacing w:after="0"/>
              <w:rPr>
                <w:sz w:val="13"/>
                <w:szCs w:val="13"/>
                <w:color w:val="auto"/>
              </w:rPr>
            </w:pPr>
          </w:p>
        </w:tc>
        <w:tc>
          <w:tcPr>
            <w:tcW w:w="360" w:type="dxa"/>
            <w:vAlign w:val="bottom"/>
            <w:tcBorders>
              <w:bottom w:val="single" w:sz="8" w:color="006DB6"/>
            </w:tcBorders>
          </w:tcPr>
          <w:p>
            <w:pPr>
              <w:spacing w:after="0"/>
              <w:rPr>
                <w:sz w:val="13"/>
                <w:szCs w:val="13"/>
                <w:color w:val="auto"/>
              </w:rPr>
            </w:pPr>
          </w:p>
        </w:tc>
        <w:tc>
          <w:tcPr>
            <w:tcW w:w="740" w:type="dxa"/>
            <w:vAlign w:val="bottom"/>
            <w:tcBorders>
              <w:bottom w:val="single" w:sz="8" w:color="006DB6"/>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Richard A. Navarre</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122,625</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9,419</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132,044</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C. Ronald Blankenship</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104,250</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104,250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Martin A. Lambert</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91,250</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91,250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Constance B. Moore</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95,750</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95,750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Charles Szalkowski</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91,250</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91,250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706F6F"/>
            </w:tcBorders>
          </w:tcPr>
          <w:p>
            <w:pPr>
              <w:ind w:left="20"/>
              <w:spacing w:after="0"/>
              <w:rPr>
                <w:sz w:val="20"/>
                <w:szCs w:val="20"/>
                <w:color w:val="auto"/>
              </w:rPr>
            </w:pPr>
            <w:r>
              <w:rPr>
                <w:rFonts w:ascii="Arial" w:cs="Arial" w:eastAsia="Arial" w:hAnsi="Arial"/>
                <w:sz w:val="15"/>
                <w:szCs w:val="15"/>
                <w:b w:val="1"/>
                <w:bCs w:val="1"/>
                <w:color w:val="006DB6"/>
              </w:rPr>
              <w:t>Timothy O. Wall</w:t>
            </w:r>
          </w:p>
        </w:tc>
        <w:tc>
          <w:tcPr>
            <w:tcW w:w="3180" w:type="dxa"/>
            <w:vAlign w:val="bottom"/>
            <w:tcBorders>
              <w:bottom w:val="single" w:sz="8" w:color="706F6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706F6F"/>
            </w:tcBorders>
          </w:tcPr>
          <w:p>
            <w:pPr>
              <w:jc w:val="right"/>
              <w:ind w:right="144"/>
              <w:spacing w:after="0"/>
              <w:rPr>
                <w:sz w:val="20"/>
                <w:szCs w:val="20"/>
                <w:color w:val="auto"/>
              </w:rPr>
            </w:pPr>
            <w:r>
              <w:rPr>
                <w:rFonts w:ascii="Arial" w:cs="Arial" w:eastAsia="Arial" w:hAnsi="Arial"/>
                <w:sz w:val="15"/>
                <w:szCs w:val="15"/>
                <w:color w:val="auto"/>
              </w:rPr>
              <w:t>81,250</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06F6F"/>
            </w:tcBorders>
          </w:tcPr>
          <w:p>
            <w:pPr>
              <w:jc w:val="right"/>
              <w:ind w:right="16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06F6F"/>
            </w:tcBorders>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706F6F"/>
            </w:tcBorders>
          </w:tcPr>
          <w:p>
            <w:pPr>
              <w:jc w:val="right"/>
              <w:ind w:right="4"/>
              <w:spacing w:after="0"/>
              <w:rPr>
                <w:sz w:val="20"/>
                <w:szCs w:val="20"/>
                <w:color w:val="auto"/>
              </w:rPr>
            </w:pPr>
            <w:r>
              <w:rPr>
                <w:rFonts w:ascii="Arial" w:cs="Arial" w:eastAsia="Arial" w:hAnsi="Arial"/>
                <w:sz w:val="15"/>
                <w:szCs w:val="15"/>
                <w:color w:val="auto"/>
              </w:rPr>
              <w:t>81,250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40" w:right="100" w:hanging="237"/>
        <w:spacing w:after="0" w:line="231" w:lineRule="auto"/>
        <w:tabs>
          <w:tab w:leader="none" w:pos="243"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amounts in the “Share Awards” column reflect the aggregate grant date fair value of restricted stock awards granted in 2020 calculated in accordance with FASB ASC Topic 718 —Stock Compensation. Please see Note 18 to the notes to consolidated financial statements included in Item 8 of Civeo’s Annual Report on Form 10-K for the year ended December 31, 2020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$9.419 of Civeo common shares as part of his fees as Chair of the Board, which vested on the grant date. As of December 31, 2020, none of the directors held unvested equity awards.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Share Ownership Guidelines</w:t>
      </w:r>
    </w:p>
    <w:p>
      <w:pPr>
        <w:spacing w:after="0" w:line="152" w:lineRule="exact"/>
        <w:rPr>
          <w:sz w:val="20"/>
          <w:szCs w:val="20"/>
          <w:color w:val="auto"/>
        </w:rPr>
      </w:pPr>
    </w:p>
    <w:p>
      <w:pPr>
        <w:jc w:val="both"/>
        <w:ind w:right="140"/>
        <w:spacing w:after="0" w:line="255" w:lineRule="auto"/>
        <w:rPr>
          <w:sz w:val="20"/>
          <w:szCs w:val="20"/>
          <w:color w:val="auto"/>
        </w:rPr>
      </w:pPr>
      <w:r>
        <w:rPr>
          <w:rFonts w:ascii="Arial" w:cs="Arial" w:eastAsia="Arial" w:hAnsi="Arial"/>
          <w:sz w:val="15"/>
          <w:szCs w:val="15"/>
          <w:color w:val="auto"/>
        </w:rPr>
        <w:t>Non-employee directors are subject to Civeo’s share ownership guidelines pursuant to which they are expected to retain shares from restricted stock awards, after payment of applicable taxes, valued at five times the annual retainer amount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As of March 24, 2021, all non-employee directors were in compliance with the guidelines as demonstrated in the chart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260" w:type="dxa"/>
            <w:vAlign w:val="bottom"/>
            <w:tcBorders>
              <w:bottom w:val="single" w:sz="8" w:color="006DB6"/>
            </w:tcBorders>
            <w:gridSpan w:val="2"/>
          </w:tcPr>
          <w:p>
            <w:pPr>
              <w:jc w:val="right"/>
              <w:ind w:right="885"/>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11"/>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860" w:type="dxa"/>
            <w:vAlign w:val="bottom"/>
            <w:tcBorders>
              <w:bottom w:val="single" w:sz="8" w:color="006DB6"/>
            </w:tcBorders>
          </w:tcPr>
          <w:p>
            <w:pPr>
              <w:jc w:val="right"/>
              <w:ind w:right="205"/>
              <w:spacing w:after="0"/>
              <w:rPr>
                <w:sz w:val="20"/>
                <w:szCs w:val="20"/>
                <w:color w:val="auto"/>
              </w:rPr>
            </w:pPr>
            <w:r>
              <w:rPr>
                <w:rFonts w:ascii="Arial" w:cs="Arial" w:eastAsia="Arial" w:hAnsi="Arial"/>
                <w:sz w:val="14"/>
                <w:szCs w:val="14"/>
                <w:b w:val="1"/>
                <w:bCs w:val="1"/>
                <w:color w:val="706F6F"/>
              </w:rPr>
              <w:t>Target Ownership</w:t>
            </w:r>
          </w:p>
        </w:tc>
        <w:tc>
          <w:tcPr>
            <w:tcW w:w="14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780" w:type="dxa"/>
            <w:vAlign w:val="bottom"/>
            <w:tcBorders>
              <w:bottom w:val="single" w:sz="8" w:color="006DB6"/>
            </w:tcBorders>
          </w:tcPr>
          <w:p>
            <w:pPr>
              <w:spacing w:after="0"/>
              <w:rPr>
                <w:sz w:val="18"/>
                <w:szCs w:val="18"/>
                <w:color w:val="auto"/>
              </w:rPr>
            </w:pPr>
          </w:p>
        </w:tc>
        <w:tc>
          <w:tcPr>
            <w:tcW w:w="500" w:type="dxa"/>
            <w:vAlign w:val="bottom"/>
            <w:tcBorders>
              <w:bottom w:val="single" w:sz="8" w:color="006DB6"/>
            </w:tcBorders>
          </w:tcPr>
          <w:p>
            <w:pPr>
              <w:jc w:val="right"/>
              <w:spacing w:after="0" w:line="155" w:lineRule="exact"/>
              <w:rPr>
                <w:sz w:val="20"/>
                <w:szCs w:val="20"/>
                <w:color w:val="auto"/>
              </w:rPr>
            </w:pPr>
            <w:r>
              <w:rPr>
                <w:rFonts w:ascii="Arial" w:cs="Arial" w:eastAsia="Arial" w:hAnsi="Arial"/>
                <w:sz w:val="14"/>
                <w:szCs w:val="14"/>
                <w:b w:val="1"/>
                <w:bCs w:val="1"/>
                <w:color w:val="706F6F"/>
              </w:rPr>
              <w:t>Y/N</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Richard A. Navarre</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18,678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27,176</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 Ronald Blankenship</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18,678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21,297</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Martin A. Lambert</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18,678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82,666</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Constance B. Moore</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18,678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22,240</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Charles Szalkowski</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18,678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21,338</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Timothy O. Wall</w:t>
            </w:r>
          </w:p>
        </w:tc>
        <w:tc>
          <w:tcPr>
            <w:tcW w:w="18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12,311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13,355</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Yes</w:t>
            </w:r>
          </w:p>
        </w:tc>
      </w:tr>
      <w:tr>
        <w:trPr>
          <w:trHeight w:val="514"/>
        </w:trPr>
        <w:tc>
          <w:tcPr>
            <w:tcW w:w="6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80" w:type="dxa"/>
            <w:vAlign w:val="bottom"/>
            <w:gridSpan w:val="2"/>
          </w:tcPr>
          <w:p>
            <w:pPr>
              <w:ind w:left="800"/>
              <w:spacing w:after="0"/>
              <w:rPr>
                <w:sz w:val="20"/>
                <w:szCs w:val="20"/>
                <w:color w:val="auto"/>
              </w:rPr>
            </w:pPr>
            <w:r>
              <w:rPr>
                <w:rFonts w:ascii="Arial" w:cs="Arial" w:eastAsia="Arial" w:hAnsi="Arial"/>
                <w:sz w:val="14"/>
                <w:szCs w:val="14"/>
                <w:color w:val="auto"/>
                <w:w w:val="98"/>
              </w:rPr>
              <w:t>2021 Proxy Statement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bl>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Arial" w:cs="Arial" w:eastAsia="Arial" w:hAnsi="Arial"/>
          <w:sz w:val="43"/>
          <w:szCs w:val="43"/>
          <w:b w:val="1"/>
          <w:bCs w:val="1"/>
          <w:color w:val="006DB6"/>
        </w:rPr>
        <w:t>Executive Officers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84455</wp:posOffset>
            </wp:positionV>
            <wp:extent cx="5836920" cy="5861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36920" cy="586105"/>
                    </a:xfrm>
                    <a:prstGeom prst="rect">
                      <a:avLst/>
                    </a:prstGeom>
                    <a:noFill/>
                  </pic:spPr>
                </pic:pic>
              </a:graphicData>
            </a:graphic>
          </wp:anchor>
        </w:drawing>
      </w:r>
    </w:p>
    <w:p>
      <w:pPr>
        <w:spacing w:after="0" w:line="316" w:lineRule="exact"/>
        <w:rPr>
          <w:sz w:val="20"/>
          <w:szCs w:val="20"/>
          <w:color w:val="auto"/>
        </w:rPr>
      </w:pPr>
    </w:p>
    <w:p>
      <w:pPr>
        <w:ind w:left="2080"/>
        <w:spacing w:after="0"/>
        <w:rPr>
          <w:sz w:val="20"/>
          <w:szCs w:val="20"/>
          <w:color w:val="auto"/>
        </w:rPr>
      </w:pPr>
      <w:r>
        <w:rPr>
          <w:rFonts w:ascii="Arial" w:cs="Arial" w:eastAsia="Arial" w:hAnsi="Arial"/>
          <w:sz w:val="24"/>
          <w:szCs w:val="24"/>
          <w:b w:val="1"/>
          <w:bCs w:val="1"/>
          <w:color w:val="006DB6"/>
        </w:rPr>
        <w:t xml:space="preserve">Bradley J. Dodson, </w:t>
      </w:r>
      <w:r>
        <w:rPr>
          <w:rFonts w:ascii="Arial" w:cs="Arial" w:eastAsia="Arial" w:hAnsi="Arial"/>
          <w:sz w:val="24"/>
          <w:szCs w:val="24"/>
          <w:color w:val="006DB6"/>
        </w:rPr>
        <w:t>47</w:t>
      </w:r>
    </w:p>
    <w:p>
      <w:pPr>
        <w:spacing w:after="0" w:line="36" w:lineRule="exact"/>
        <w:rPr>
          <w:sz w:val="20"/>
          <w:szCs w:val="20"/>
          <w:color w:val="auto"/>
        </w:rPr>
      </w:pPr>
    </w:p>
    <w:p>
      <w:pPr>
        <w:ind w:left="2080"/>
        <w:spacing w:after="0"/>
        <w:rPr>
          <w:sz w:val="20"/>
          <w:szCs w:val="20"/>
          <w:color w:val="auto"/>
        </w:rPr>
      </w:pPr>
      <w:r>
        <w:rPr>
          <w:rFonts w:ascii="Arial" w:cs="Arial" w:eastAsia="Arial" w:hAnsi="Arial"/>
          <w:sz w:val="15"/>
          <w:szCs w:val="15"/>
          <w:color w:val="706F6F"/>
        </w:rPr>
        <w:t>President, Chief Executive Officer and Director</w:t>
      </w:r>
    </w:p>
    <w:p>
      <w:pPr>
        <w:spacing w:after="0" w:line="200" w:lineRule="exact"/>
        <w:rPr>
          <w:sz w:val="20"/>
          <w:szCs w:val="20"/>
          <w:color w:val="auto"/>
        </w:rPr>
      </w:pPr>
    </w:p>
    <w:p>
      <w:pPr>
        <w:spacing w:after="0" w:line="251"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706F6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-106680</wp:posOffset>
            </wp:positionV>
            <wp:extent cx="903605" cy="8382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3605" cy="838200"/>
                    </a:xfrm>
                    <a:prstGeom prst="rect">
                      <a:avLst/>
                    </a:prstGeom>
                    <a:noFill/>
                  </pic:spPr>
                </pic:pic>
              </a:graphicData>
            </a:graphic>
          </wp:anchor>
        </w:drawing>
      </w:r>
    </w:p>
    <w:p>
      <w:pPr>
        <w:spacing w:after="0" w:line="5" w:lineRule="exact"/>
        <w:rPr>
          <w:sz w:val="20"/>
          <w:szCs w:val="20"/>
          <w:color w:val="auto"/>
        </w:rPr>
      </w:pPr>
    </w:p>
    <w:p>
      <w:pPr>
        <w:ind w:left="2080"/>
        <w:spacing w:after="0" w:line="252" w:lineRule="auto"/>
        <w:rPr>
          <w:sz w:val="20"/>
          <w:szCs w:val="20"/>
          <w:color w:val="auto"/>
        </w:rPr>
      </w:pPr>
      <w:r>
        <w:rPr>
          <w:rFonts w:ascii="Arial" w:cs="Arial" w:eastAsia="Arial" w:hAnsi="Arial"/>
          <w:sz w:val="15"/>
          <w:szCs w:val="15"/>
          <w:color w:val="auto"/>
        </w:rPr>
        <w:t>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90"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He holds a M.B.A. degree from The University of Texas at Austin and a B.A. degree in economics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9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776605</wp:posOffset>
            </wp:positionV>
            <wp:extent cx="5836920" cy="5861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3692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80"/>
        <w:spacing w:after="0"/>
        <w:rPr>
          <w:sz w:val="20"/>
          <w:szCs w:val="20"/>
          <w:color w:val="auto"/>
        </w:rPr>
      </w:pPr>
      <w:r>
        <w:rPr>
          <w:rFonts w:ascii="Arial" w:cs="Arial" w:eastAsia="Arial" w:hAnsi="Arial"/>
          <w:sz w:val="24"/>
          <w:szCs w:val="24"/>
          <w:b w:val="1"/>
          <w:bCs w:val="1"/>
          <w:color w:val="006DB6"/>
        </w:rPr>
        <w:t xml:space="preserve">Carolyn J. Stone, </w:t>
      </w:r>
      <w:r>
        <w:rPr>
          <w:rFonts w:ascii="Arial" w:cs="Arial" w:eastAsia="Arial" w:hAnsi="Arial"/>
          <w:sz w:val="24"/>
          <w:szCs w:val="24"/>
          <w:color w:val="006DB6"/>
        </w:rPr>
        <w:t>48</w:t>
      </w:r>
    </w:p>
    <w:p>
      <w:pPr>
        <w:spacing w:after="0" w:line="36" w:lineRule="exact"/>
        <w:rPr>
          <w:sz w:val="20"/>
          <w:szCs w:val="20"/>
          <w:color w:val="auto"/>
        </w:rPr>
      </w:pPr>
    </w:p>
    <w:p>
      <w:pPr>
        <w:ind w:left="2080"/>
        <w:spacing w:after="0"/>
        <w:rPr>
          <w:sz w:val="20"/>
          <w:szCs w:val="20"/>
          <w:color w:val="auto"/>
        </w:rPr>
      </w:pPr>
      <w:r>
        <w:rPr>
          <w:rFonts w:ascii="Arial" w:cs="Arial" w:eastAsia="Arial" w:hAnsi="Arial"/>
          <w:sz w:val="15"/>
          <w:szCs w:val="15"/>
          <w:color w:val="706F6F"/>
        </w:rPr>
        <w:t>Senior Vice President, Chief Financial Officer and Treasurer</w:t>
      </w:r>
    </w:p>
    <w:p>
      <w:pPr>
        <w:spacing w:after="0" w:line="200" w:lineRule="exact"/>
        <w:rPr>
          <w:sz w:val="20"/>
          <w:szCs w:val="20"/>
          <w:color w:val="auto"/>
        </w:rPr>
      </w:pPr>
    </w:p>
    <w:p>
      <w:pPr>
        <w:spacing w:after="0" w:line="251"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left="2080" w:right="40"/>
        <w:spacing w:after="0" w:line="251" w:lineRule="auto"/>
        <w:rPr>
          <w:sz w:val="20"/>
          <w:szCs w:val="20"/>
          <w:color w:val="auto"/>
        </w:rPr>
      </w:pPr>
      <w:r>
        <w:rPr>
          <w:rFonts w:ascii="Arial" w:cs="Arial" w:eastAsia="Arial" w:hAnsi="Arial"/>
          <w:sz w:val="15"/>
          <w:szCs w:val="15"/>
          <w:color w:val="auto"/>
        </w:rPr>
        <w:t>Carolyn J. Stone has been Senior Vice President, Chief Financial Officer and Treasurer of Civeo since November 2019. Prior to her appointment, Carolyn served as Chief Accounting Officer since May 2019 and Vice President, Controller and Corporate Secretary of Civeo since May 2014. From April 2014 to May 2014, Ms. Stone was a consultant to Oil States. Ms. Stone served as Executive Vice President and Chief Financial Officer of Synagro Technologies Inc ("Synagro") from March 2012 to September 2013. In April 2013, Synagro and various affiliates filed for bankruptcy under Chapter 11 of the U.S. Bankruptcy Code. Prior to joining Synagro, Ms. Stone was at Dynegy Inc. from November 2001 until March 2012. She served as Senior Vice President and Chief Accounting Officer of Dynegy Inc.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-1015365</wp:posOffset>
            </wp:positionV>
            <wp:extent cx="903605" cy="8464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03605" cy="846455"/>
                    </a:xfrm>
                    <a:prstGeom prst="rect">
                      <a:avLst/>
                    </a:prstGeom>
                    <a:noFill/>
                  </pic:spPr>
                </pic:pic>
              </a:graphicData>
            </a:graphic>
          </wp:anchor>
        </w:drawing>
      </w:r>
    </w:p>
    <w:p>
      <w:pPr>
        <w:spacing w:after="0" w:line="74" w:lineRule="exact"/>
        <w:rPr>
          <w:sz w:val="20"/>
          <w:szCs w:val="20"/>
          <w:color w:val="auto"/>
        </w:rPr>
      </w:pPr>
    </w:p>
    <w:p>
      <w:pPr>
        <w:ind w:left="2080" w:right="20"/>
        <w:spacing w:after="0" w:line="267" w:lineRule="auto"/>
        <w:rPr>
          <w:sz w:val="20"/>
          <w:szCs w:val="20"/>
          <w:color w:val="auto"/>
        </w:rPr>
      </w:pPr>
      <w:r>
        <w:rPr>
          <w:rFonts w:ascii="Arial" w:cs="Arial" w:eastAsia="Arial" w:hAnsi="Arial"/>
          <w:sz w:val="15"/>
          <w:szCs w:val="15"/>
          <w:color w:val="auto"/>
        </w:rPr>
        <w:t>Ms. Stone received a Bachelor of Business Administration degree and a Master of Professional Accounting degree from the University of Texas. She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71393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894715</wp:posOffset>
            </wp:positionV>
            <wp:extent cx="374650" cy="1873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220"/>
          </w:cols>
          <w:pgMar w:left="320" w:top="917"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color w:val="006D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372745</wp:posOffset>
            </wp:positionV>
            <wp:extent cx="5836920" cy="586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3692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6DB6"/>
        </w:rPr>
        <w:t xml:space="preserve">Peter L. McCann, </w:t>
      </w:r>
      <w:r>
        <w:rPr>
          <w:rFonts w:ascii="Arial" w:cs="Arial" w:eastAsia="Arial" w:hAnsi="Arial"/>
          <w:sz w:val="24"/>
          <w:szCs w:val="24"/>
          <w:color w:val="006DB6"/>
        </w:rPr>
        <w:t>52</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5"/>
          <w:szCs w:val="15"/>
          <w:color w:val="706F6F"/>
        </w:rPr>
        <w:t>Senior Vice President,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-93980</wp:posOffset>
            </wp:positionV>
            <wp:extent cx="903605" cy="8464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03605" cy="8464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706F6F"/>
        </w:rPr>
        <w:t>Background:</w:t>
      </w:r>
    </w:p>
    <w:p>
      <w:pPr>
        <w:spacing w:after="0" w:line="25" w:lineRule="exact"/>
        <w:rPr>
          <w:sz w:val="20"/>
          <w:szCs w:val="20"/>
          <w:color w:val="auto"/>
        </w:rPr>
      </w:pPr>
    </w:p>
    <w:p>
      <w:pPr>
        <w:ind w:left="960" w:right="80"/>
        <w:spacing w:after="0" w:line="257" w:lineRule="auto"/>
        <w:rPr>
          <w:sz w:val="20"/>
          <w:szCs w:val="20"/>
          <w:color w:val="auto"/>
        </w:rPr>
      </w:pPr>
      <w:r>
        <w:rPr>
          <w:rFonts w:ascii="Arial" w:cs="Arial" w:eastAsia="Arial" w:hAnsi="Arial"/>
          <w:sz w:val="15"/>
          <w:szCs w:val="15"/>
          <w:color w:val="auto"/>
        </w:rPr>
        <w:t>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color w:val="auto"/>
        </w:rPr>
        <w:t>Mr. McCann holds a Bachelor of Commerce degree in accountancy from the University of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173990</wp:posOffset>
            </wp:positionV>
            <wp:extent cx="71393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475615</wp:posOffset>
            </wp:positionV>
            <wp:extent cx="5836920" cy="5861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3692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6DB6"/>
        </w:rPr>
        <w:t xml:space="preserve">Allan D. Schoening, </w:t>
      </w:r>
      <w:r>
        <w:rPr>
          <w:rFonts w:ascii="Arial" w:cs="Arial" w:eastAsia="Arial" w:hAnsi="Arial"/>
          <w:sz w:val="24"/>
          <w:szCs w:val="24"/>
          <w:color w:val="006DB6"/>
        </w:rPr>
        <w:t>62</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5"/>
          <w:szCs w:val="15"/>
          <w:color w:val="706F6F"/>
        </w:rPr>
        <w:t>Senior Vice President, Canada</w:t>
      </w:r>
    </w:p>
    <w:p>
      <w:pPr>
        <w:spacing w:after="0" w:line="200" w:lineRule="exact"/>
        <w:rPr>
          <w:sz w:val="20"/>
          <w:szCs w:val="20"/>
          <w:color w:val="auto"/>
        </w:rPr>
      </w:pPr>
    </w:p>
    <w:p>
      <w:pPr>
        <w:spacing w:after="0" w:line="25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706F6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-66040</wp:posOffset>
            </wp:positionV>
            <wp:extent cx="903605" cy="8464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03605" cy="846455"/>
                    </a:xfrm>
                    <a:prstGeom prst="rect">
                      <a:avLst/>
                    </a:prstGeom>
                    <a:noFill/>
                  </pic:spPr>
                </pic:pic>
              </a:graphicData>
            </a:graphic>
          </wp:anchor>
        </w:drawing>
      </w:r>
    </w:p>
    <w:p>
      <w:pPr>
        <w:spacing w:after="0" w:line="5" w:lineRule="exact"/>
        <w:rPr>
          <w:sz w:val="20"/>
          <w:szCs w:val="20"/>
          <w:color w:val="auto"/>
        </w:rPr>
      </w:pPr>
    </w:p>
    <w:p>
      <w:pPr>
        <w:ind w:left="960" w:right="20"/>
        <w:spacing w:after="0" w:line="251" w:lineRule="auto"/>
        <w:rPr>
          <w:sz w:val="20"/>
          <w:szCs w:val="20"/>
          <w:color w:val="auto"/>
        </w:rPr>
      </w:pPr>
      <w:r>
        <w:rPr>
          <w:rFonts w:ascii="Arial" w:cs="Arial" w:eastAsia="Arial" w:hAnsi="Arial"/>
          <w:sz w:val="15"/>
          <w:szCs w:val="15"/>
          <w:color w:val="auto"/>
        </w:rPr>
        <w:t>Allan D. Schoening has served as Senior Vice President, Canada since November 2018. Prior to his appointment, Mr. Schoening served as Senior 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w:t>
      </w:r>
    </w:p>
    <w:p>
      <w:pPr>
        <w:spacing w:after="0" w:line="9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Mr. Schoening holds a B.A., Psychology (Spec.) from the University of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459105</wp:posOffset>
            </wp:positionV>
            <wp:extent cx="71393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24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bl>
    <w:p>
      <w:pPr>
        <w:sectPr>
          <w:pgSz w:w="11900" w:h="16838" w:orient="portrait"/>
          <w:cols w:equalWidth="0" w:num="1">
            <w:col w:w="10120"/>
          </w:cols>
          <w:pgMar w:left="1440" w:top="123" w:right="339" w:bottom="1440" w:gutter="0" w:footer="0" w:header="0"/>
        </w:sectPr>
      </w:pPr>
    </w:p>
    <w:bookmarkStart w:id="34" w:name="page35"/>
    <w:bookmarkEnd w:id="34"/>
    <w:p>
      <w:pPr>
        <w:spacing w:after="0"/>
        <w:rPr>
          <w:sz w:val="20"/>
          <w:szCs w:val="20"/>
          <w:color w:val="auto"/>
        </w:rPr>
      </w:pPr>
      <w:r>
        <w:rPr>
          <w:rFonts w:ascii="Arial" w:cs="Arial" w:eastAsia="Arial" w:hAnsi="Arial"/>
          <w:sz w:val="43"/>
          <w:szCs w:val="43"/>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7139305" cy="4559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9305" cy="45593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6DB6"/>
        </w:rPr>
        <w:t>PROPOSAL 2</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006DB6"/>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393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We are asking that you vote for approval, on an advisory basis, of the compensation of our named executive officers as disclosed in this proxy statement, commonly referred to as a “Say-on-Pay” proposal. As approved by our shareholders at the 2015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2022 annual meeting of shareholders.</w:t>
      </w:r>
    </w:p>
    <w:p>
      <w:pPr>
        <w:spacing w:after="0" w:line="87"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We are requesting your nonbinding vote on the following resolution:</w:t>
      </w:r>
    </w:p>
    <w:p>
      <w:pPr>
        <w:spacing w:after="0" w:line="110"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“RESOLVED, that the shareholders approve, on a non-binding, advisory basis, the compensation of Civeo’s named executive officers as disclosed in Civeo’s proxy statement for its 2021 annual general meeting of shareholders, pursuant to Item 402 of Regulation S-K, including the Compensation Discussion and Analysis, the executive compensation tables and the accompanying narrative discussion.”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139305" cy="6350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9305" cy="635000"/>
                    </a:xfrm>
                    <a:prstGeom prst="rect">
                      <a:avLst/>
                    </a:prstGeom>
                    <a:noFill/>
                  </pic:spPr>
                </pic:pic>
              </a:graphicData>
            </a:graphic>
          </wp:anchor>
        </w:drawing>
      </w:r>
    </w:p>
    <w:p>
      <w:pPr>
        <w:spacing w:after="0" w:line="306" w:lineRule="exact"/>
        <w:rPr>
          <w:sz w:val="20"/>
          <w:szCs w:val="20"/>
          <w:color w:val="auto"/>
        </w:rPr>
      </w:pPr>
    </w:p>
    <w:p>
      <w:pPr>
        <w:ind w:left="140" w:right="200"/>
        <w:spacing w:after="0" w:line="271" w:lineRule="auto"/>
        <w:rPr>
          <w:sz w:val="20"/>
          <w:szCs w:val="20"/>
          <w:color w:val="auto"/>
        </w:rPr>
      </w:pPr>
      <w:r>
        <w:rPr>
          <w:rFonts w:ascii="Arial" w:cs="Arial" w:eastAsia="Arial" w:hAnsi="Arial"/>
          <w:sz w:val="15"/>
          <w:szCs w:val="15"/>
          <w:color w:val="auto"/>
        </w:rPr>
        <w:t>Civeo’s board of directors recommends a vote “</w:t>
      </w:r>
      <w:r>
        <w:rPr>
          <w:rFonts w:ascii="Arial" w:cs="Arial" w:eastAsia="Arial" w:hAnsi="Arial"/>
          <w:sz w:val="15"/>
          <w:szCs w:val="15"/>
          <w:b w:val="1"/>
          <w:bCs w:val="1"/>
          <w:color w:val="006DB6"/>
        </w:rPr>
        <w:t>FOR</w:t>
      </w:r>
      <w:r>
        <w:rPr>
          <w:rFonts w:ascii="Arial" w:cs="Arial" w:eastAsia="Arial" w:hAnsi="Arial"/>
          <w:sz w:val="15"/>
          <w:szCs w:val="15"/>
          <w:color w:val="auto"/>
        </w:rPr>
        <w:t>”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502285</wp:posOffset>
            </wp:positionV>
            <wp:extent cx="374650" cy="1873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240"/>
          </w:cols>
          <w:pgMar w:left="320" w:top="91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Compensation Discussion and Analysis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 for 2020. Our NEO’s for 2020 were:</w:t>
      </w:r>
    </w:p>
    <w:p>
      <w:pPr>
        <w:spacing w:after="0" w:line="166" w:lineRule="exact"/>
        <w:rPr>
          <w:sz w:val="20"/>
          <w:szCs w:val="20"/>
          <w:color w:val="auto"/>
        </w:rPr>
      </w:pPr>
    </w:p>
    <w:p>
      <w:pPr>
        <w:ind w:left="600" w:hanging="290"/>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Bradley J. Dodson, President and Chief Executive Officer;</w:t>
      </w:r>
    </w:p>
    <w:p>
      <w:pPr>
        <w:spacing w:after="0" w:line="6" w:lineRule="exact"/>
        <w:rPr>
          <w:rFonts w:ascii="Arial" w:cs="Arial" w:eastAsia="Arial" w:hAnsi="Arial"/>
          <w:sz w:val="15"/>
          <w:szCs w:val="15"/>
          <w:color w:val="auto"/>
        </w:rPr>
      </w:pPr>
    </w:p>
    <w:p>
      <w:pPr>
        <w:ind w:left="600" w:hanging="290"/>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Carolyn J. Stone, Senior Vice President, Chief Financial Officer and Treasurer;</w:t>
      </w:r>
    </w:p>
    <w:p>
      <w:pPr>
        <w:spacing w:after="0" w:line="6" w:lineRule="exact"/>
        <w:rPr>
          <w:rFonts w:ascii="Arial" w:cs="Arial" w:eastAsia="Arial" w:hAnsi="Arial"/>
          <w:sz w:val="15"/>
          <w:szCs w:val="15"/>
          <w:color w:val="auto"/>
        </w:rPr>
      </w:pPr>
    </w:p>
    <w:p>
      <w:pPr>
        <w:ind w:left="600" w:hanging="290"/>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Peter L. McCann, Senior Vice President, Australia; and</w:t>
      </w:r>
    </w:p>
    <w:p>
      <w:pPr>
        <w:spacing w:after="0" w:line="6" w:lineRule="exact"/>
        <w:rPr>
          <w:rFonts w:ascii="Arial" w:cs="Arial" w:eastAsia="Arial" w:hAnsi="Arial"/>
          <w:sz w:val="15"/>
          <w:szCs w:val="15"/>
          <w:color w:val="auto"/>
        </w:rPr>
      </w:pPr>
    </w:p>
    <w:p>
      <w:pPr>
        <w:ind w:left="600" w:hanging="290"/>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Allan D. Schoening, Senior Vice President, Canada.</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Executive Overview</w:t>
      </w:r>
    </w:p>
    <w:p>
      <w:pPr>
        <w:spacing w:after="0" w:line="139"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Civeo achieved its safety, operational, strategic and financial goals in 2020 while successfully navigating the COVID-19 pandemic and the global downturn in the oil market. The pandemic caused significant dislocations and demand destruction in the global oil market, negatively impacting our North American customers’ operations and spending, and therefore our occupancy. Our Canadian operations experienced a 32% decline in billed rooms in 2020 compared to 2019. In order to keep our locations open and operating, as well as keep our guests and employees safe, we implemented strict safety protocols. These measures include stringent screening for all individuals that enter our facilities, strict social distancing practices, enhanced cleaning and deep sanitization, the suspension of all nonessential employee travel, and work-from-home policies.</w:t>
      </w:r>
    </w:p>
    <w:p>
      <w:pPr>
        <w:spacing w:after="0" w:line="98"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Despite these headwinds, Civeo’s strategy remained unchanged: operate safely, generate free cash flow and reduce our leverage. In addition to improving our global safety performance in 2020 compared to 2019, we exceeded our 2020 Adjusted EBITDA budget by 12.1%, generated $111 million of free cash flow, reduced total debt by $108 million and reduced our leverage ratio to 2.11 times. The Company’s resilient performance was the result of the global collaboration and leadership of Civeo’s executive, operational and safety teams. The Compensation Committee considered each and all of these achievements to be extraordinary given the 2020 pandemic business environment in which they were accomplished.</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Specific 2020 Accomplishments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From an operational standpoint, the Company’s primary focus in 2020 was, and continues to be, the safety and wellbeing of our guests and employees.</w:t>
      </w:r>
    </w:p>
    <w:p>
      <w:pPr>
        <w:spacing w:after="0"/>
        <w:rPr>
          <w:sz w:val="20"/>
          <w:szCs w:val="20"/>
          <w:color w:val="auto"/>
        </w:rPr>
      </w:pPr>
      <w:r>
        <w:rPr>
          <w:rFonts w:ascii="Arial" w:cs="Arial" w:eastAsia="Arial" w:hAnsi="Arial"/>
          <w:sz w:val="15"/>
          <w:szCs w:val="15"/>
          <w:color w:val="auto"/>
        </w:rPr>
        <w:t>Operationally, Mr. Dodson and our global leadership team’s effective operations in an unprecedented environment included the following:</w:t>
      </w:r>
    </w:p>
    <w:p>
      <w:pPr>
        <w:spacing w:after="0" w:line="97" w:lineRule="exact"/>
        <w:rPr>
          <w:sz w:val="20"/>
          <w:szCs w:val="20"/>
          <w:color w:val="auto"/>
        </w:rPr>
      </w:pPr>
    </w:p>
    <w:p>
      <w:pPr>
        <w:ind w:left="160" w:hanging="157"/>
        <w:spacing w:after="0"/>
        <w:tabs>
          <w:tab w:leader="none" w:pos="160" w:val="left"/>
        </w:tabs>
        <w:numPr>
          <w:ilvl w:val="0"/>
          <w:numId w:val="31"/>
        </w:numPr>
        <w:rPr>
          <w:rFonts w:ascii="Arial" w:cs="Arial" w:eastAsia="Arial" w:hAnsi="Arial"/>
          <w:sz w:val="15"/>
          <w:szCs w:val="15"/>
          <w:color w:val="006DB6"/>
        </w:rPr>
      </w:pPr>
      <w:r>
        <w:rPr>
          <w:rFonts w:ascii="Arial" w:cs="Arial" w:eastAsia="Arial" w:hAnsi="Arial"/>
          <w:sz w:val="15"/>
          <w:szCs w:val="15"/>
          <w:color w:val="auto"/>
        </w:rPr>
        <w:t>Developed, implemented and maintained global protocols to mitigate the transmission of the COVID-19 virus in our locations;</w:t>
      </w:r>
    </w:p>
    <w:p>
      <w:pPr>
        <w:spacing w:after="0" w:line="71" w:lineRule="exact"/>
        <w:rPr>
          <w:rFonts w:ascii="Arial" w:cs="Arial" w:eastAsia="Arial" w:hAnsi="Arial"/>
          <w:sz w:val="15"/>
          <w:szCs w:val="15"/>
          <w:color w:val="006DB6"/>
        </w:rPr>
      </w:pPr>
    </w:p>
    <w:p>
      <w:pPr>
        <w:ind w:left="180" w:right="240" w:hanging="177"/>
        <w:spacing w:after="0" w:line="267" w:lineRule="auto"/>
        <w:tabs>
          <w:tab w:leader="none" w:pos="152" w:val="left"/>
        </w:tabs>
        <w:numPr>
          <w:ilvl w:val="0"/>
          <w:numId w:val="31"/>
        </w:numPr>
        <w:rPr>
          <w:rFonts w:ascii="Arial" w:cs="Arial" w:eastAsia="Arial" w:hAnsi="Arial"/>
          <w:sz w:val="15"/>
          <w:szCs w:val="15"/>
          <w:color w:val="006DB6"/>
        </w:rPr>
      </w:pPr>
      <w:r>
        <w:rPr>
          <w:rFonts w:ascii="Arial" w:cs="Arial" w:eastAsia="Arial" w:hAnsi="Arial"/>
          <w:sz w:val="15"/>
          <w:szCs w:val="15"/>
          <w:color w:val="auto"/>
        </w:rPr>
        <w:t>Reacted quickly and definitively to the decline in North American occupancy due to the oil macroeconomic environment, reducing overhead and SG&amp;A costs for 2020 by approximately $7.8 million, or 26%, from 2019;</w:t>
      </w:r>
    </w:p>
    <w:p>
      <w:pPr>
        <w:spacing w:after="0" w:line="52" w:lineRule="exact"/>
        <w:rPr>
          <w:rFonts w:ascii="Arial" w:cs="Arial" w:eastAsia="Arial" w:hAnsi="Arial"/>
          <w:sz w:val="15"/>
          <w:szCs w:val="15"/>
          <w:color w:val="006DB6"/>
        </w:rPr>
      </w:pPr>
    </w:p>
    <w:p>
      <w:pPr>
        <w:ind w:left="180" w:right="340" w:hanging="177"/>
        <w:spacing w:after="0" w:line="267" w:lineRule="auto"/>
        <w:tabs>
          <w:tab w:leader="none" w:pos="152" w:val="left"/>
        </w:tabs>
        <w:numPr>
          <w:ilvl w:val="0"/>
          <w:numId w:val="31"/>
        </w:numPr>
        <w:rPr>
          <w:rFonts w:ascii="Arial" w:cs="Arial" w:eastAsia="Arial" w:hAnsi="Arial"/>
          <w:sz w:val="15"/>
          <w:szCs w:val="15"/>
          <w:color w:val="006DB6"/>
        </w:rPr>
      </w:pPr>
      <w:r>
        <w:rPr>
          <w:rFonts w:ascii="Arial" w:cs="Arial" w:eastAsia="Arial" w:hAnsi="Arial"/>
          <w:sz w:val="15"/>
          <w:szCs w:val="15"/>
          <w:color w:val="auto"/>
        </w:rPr>
        <w:t>Successfully integrated the Action Catering acquisition in Australia, including expanding Action’s revenues in 2020 by approximately A$87 million compared to 2019;</w:t>
      </w:r>
    </w:p>
    <w:p>
      <w:pPr>
        <w:spacing w:after="0" w:line="39" w:lineRule="exact"/>
        <w:rPr>
          <w:rFonts w:ascii="Arial" w:cs="Arial" w:eastAsia="Arial" w:hAnsi="Arial"/>
          <w:sz w:val="15"/>
          <w:szCs w:val="15"/>
          <w:color w:val="006DB6"/>
        </w:rPr>
      </w:pPr>
    </w:p>
    <w:p>
      <w:pPr>
        <w:ind w:left="160" w:hanging="157"/>
        <w:spacing w:after="0"/>
        <w:tabs>
          <w:tab w:leader="none" w:pos="160" w:val="left"/>
        </w:tabs>
        <w:numPr>
          <w:ilvl w:val="0"/>
          <w:numId w:val="31"/>
        </w:numPr>
        <w:rPr>
          <w:rFonts w:ascii="Arial" w:cs="Arial" w:eastAsia="Arial" w:hAnsi="Arial"/>
          <w:sz w:val="15"/>
          <w:szCs w:val="15"/>
          <w:color w:val="006DB6"/>
        </w:rPr>
      </w:pPr>
      <w:r>
        <w:rPr>
          <w:rFonts w:ascii="Arial" w:cs="Arial" w:eastAsia="Arial" w:hAnsi="Arial"/>
          <w:sz w:val="15"/>
          <w:szCs w:val="15"/>
          <w:color w:val="auto"/>
        </w:rPr>
        <w:t>Profitably executed on the Company’s contracts related to LNGC Canada and Coastal Gaslink Pipeline projects; and</w:t>
      </w:r>
    </w:p>
    <w:p>
      <w:pPr>
        <w:spacing w:after="0" w:line="71" w:lineRule="exact"/>
        <w:rPr>
          <w:rFonts w:ascii="Arial" w:cs="Arial" w:eastAsia="Arial" w:hAnsi="Arial"/>
          <w:sz w:val="15"/>
          <w:szCs w:val="15"/>
          <w:color w:val="006DB6"/>
        </w:rPr>
      </w:pPr>
    </w:p>
    <w:p>
      <w:pPr>
        <w:ind w:left="180" w:right="320" w:hanging="177"/>
        <w:spacing w:after="0" w:line="267" w:lineRule="auto"/>
        <w:tabs>
          <w:tab w:leader="none" w:pos="152" w:val="left"/>
        </w:tabs>
        <w:numPr>
          <w:ilvl w:val="0"/>
          <w:numId w:val="31"/>
        </w:numPr>
        <w:rPr>
          <w:rFonts w:ascii="Arial" w:cs="Arial" w:eastAsia="Arial" w:hAnsi="Arial"/>
          <w:sz w:val="15"/>
          <w:szCs w:val="15"/>
          <w:color w:val="006DB6"/>
        </w:rPr>
      </w:pPr>
      <w:r>
        <w:rPr>
          <w:rFonts w:ascii="Arial" w:cs="Arial" w:eastAsia="Arial" w:hAnsi="Arial"/>
          <w:sz w:val="15"/>
          <w:szCs w:val="15"/>
          <w:color w:val="auto"/>
        </w:rPr>
        <w:t>Continued strong safety performance across all regions, resulting in a full year aggregate Total Recordable Incident Rate ("TRIR") of 0.45, compared to 0.56 in 2019.</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Company’s strategic and financial focus remained the same in 2020 as it was in 2019: continue to focus on free cash flow generation and debt reduction.</w:t>
      </w:r>
    </w:p>
    <w:p>
      <w:pPr>
        <w:spacing w:after="0"/>
        <w:rPr>
          <w:sz w:val="20"/>
          <w:szCs w:val="20"/>
          <w:color w:val="auto"/>
        </w:rPr>
      </w:pPr>
      <w:r>
        <w:rPr>
          <w:rFonts w:ascii="Arial" w:cs="Arial" w:eastAsia="Arial" w:hAnsi="Arial"/>
          <w:sz w:val="15"/>
          <w:szCs w:val="15"/>
          <w:color w:val="auto"/>
        </w:rPr>
        <w:t>Significant financial achievements in 2020 included:</w:t>
      </w:r>
    </w:p>
    <w:p>
      <w:pPr>
        <w:spacing w:after="0" w:line="97" w:lineRule="exact"/>
        <w:rPr>
          <w:sz w:val="20"/>
          <w:szCs w:val="20"/>
          <w:color w:val="auto"/>
        </w:rPr>
      </w:pPr>
    </w:p>
    <w:p>
      <w:pPr>
        <w:ind w:left="180" w:hanging="177"/>
        <w:spacing w:after="0" w:line="249" w:lineRule="auto"/>
        <w:tabs>
          <w:tab w:leader="none" w:pos="152"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Exceeded the Company’s consolidated Adjusted EBITDA budget by 12.1%; the Company’s Adjusted EBITDA budget was approved by Civeo’s Board in December 2019 and was unadjusted for the impact of the pandemic;</w:t>
      </w:r>
    </w:p>
    <w:p>
      <w:pPr>
        <w:spacing w:after="0" w:line="57" w:lineRule="exact"/>
        <w:rPr>
          <w:rFonts w:ascii="Arial" w:cs="Arial" w:eastAsia="Arial" w:hAnsi="Arial"/>
          <w:sz w:val="15"/>
          <w:szCs w:val="15"/>
          <w:color w:val="006DB6"/>
        </w:rPr>
      </w:pPr>
    </w:p>
    <w:p>
      <w:pPr>
        <w:ind w:left="180" w:hanging="177"/>
        <w:spacing w:after="0"/>
        <w:tabs>
          <w:tab w:leader="none" w:pos="180" w:val="left"/>
        </w:tabs>
        <w:numPr>
          <w:ilvl w:val="0"/>
          <w:numId w:val="32"/>
        </w:numPr>
        <w:rPr>
          <w:rFonts w:ascii="Arial" w:cs="Arial" w:eastAsia="Arial" w:hAnsi="Arial"/>
          <w:sz w:val="19"/>
          <w:szCs w:val="19"/>
          <w:b w:val="1"/>
          <w:bCs w:val="1"/>
          <w:i w:val="1"/>
          <w:iCs w:val="1"/>
          <w:color w:val="006DB6"/>
        </w:rPr>
      </w:pPr>
      <w:r>
        <w:rPr>
          <w:rFonts w:ascii="Arial" w:cs="Arial" w:eastAsia="Arial" w:hAnsi="Arial"/>
          <w:sz w:val="15"/>
          <w:szCs w:val="15"/>
          <w:color w:val="auto"/>
        </w:rPr>
        <w:t>Generated $111 million of free cash flow;</w:t>
      </w:r>
    </w:p>
    <w:p>
      <w:pPr>
        <w:spacing w:after="0" w:line="71" w:lineRule="exact"/>
        <w:rPr>
          <w:rFonts w:ascii="Arial" w:cs="Arial" w:eastAsia="Arial" w:hAnsi="Arial"/>
          <w:sz w:val="19"/>
          <w:szCs w:val="19"/>
          <w:b w:val="1"/>
          <w:bCs w:val="1"/>
          <w:i w:val="1"/>
          <w:iCs w:val="1"/>
          <w:color w:val="006DB6"/>
        </w:rPr>
      </w:pPr>
    </w:p>
    <w:p>
      <w:pPr>
        <w:ind w:left="160" w:hanging="157"/>
        <w:spacing w:after="0"/>
        <w:tabs>
          <w:tab w:leader="none" w:pos="160"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Reduced total debt by $108 million;</w:t>
      </w:r>
    </w:p>
    <w:p>
      <w:pPr>
        <w:spacing w:after="0" w:line="71" w:lineRule="exact"/>
        <w:rPr>
          <w:rFonts w:ascii="Arial" w:cs="Arial" w:eastAsia="Arial" w:hAnsi="Arial"/>
          <w:sz w:val="15"/>
          <w:szCs w:val="15"/>
          <w:color w:val="006DB6"/>
        </w:rPr>
      </w:pPr>
    </w:p>
    <w:p>
      <w:pPr>
        <w:ind w:left="180" w:hanging="177"/>
        <w:spacing w:after="0"/>
        <w:tabs>
          <w:tab w:leader="none" w:pos="180" w:val="left"/>
        </w:tabs>
        <w:numPr>
          <w:ilvl w:val="0"/>
          <w:numId w:val="32"/>
        </w:numPr>
        <w:rPr>
          <w:rFonts w:ascii="Arial" w:cs="Arial" w:eastAsia="Arial" w:hAnsi="Arial"/>
          <w:sz w:val="15"/>
          <w:szCs w:val="15"/>
          <w:b w:val="1"/>
          <w:bCs w:val="1"/>
          <w:i w:val="1"/>
          <w:iCs w:val="1"/>
          <w:color w:val="006DB6"/>
        </w:rPr>
      </w:pPr>
      <w:r>
        <w:rPr>
          <w:rFonts w:ascii="Arial" w:cs="Arial" w:eastAsia="Arial" w:hAnsi="Arial"/>
          <w:sz w:val="15"/>
          <w:szCs w:val="15"/>
          <w:color w:val="auto"/>
        </w:rPr>
        <w:t>Decreased our leverage ratio to 2.11 times at December 31, 2020 from 2.98 times at December 31, 2019;</w:t>
      </w:r>
    </w:p>
    <w:p>
      <w:pPr>
        <w:spacing w:after="0" w:line="83" w:lineRule="exact"/>
        <w:rPr>
          <w:rFonts w:ascii="Arial" w:cs="Arial" w:eastAsia="Arial" w:hAnsi="Arial"/>
          <w:sz w:val="15"/>
          <w:szCs w:val="15"/>
          <w:b w:val="1"/>
          <w:bCs w:val="1"/>
          <w:i w:val="1"/>
          <w:iCs w:val="1"/>
          <w:color w:val="006DB6"/>
        </w:rPr>
      </w:pPr>
    </w:p>
    <w:p>
      <w:pPr>
        <w:ind w:left="160" w:hanging="157"/>
        <w:spacing w:after="0"/>
        <w:tabs>
          <w:tab w:leader="none" w:pos="160"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Exceeded the divisional EBITDA budget in both Canada and Australia;</w:t>
      </w:r>
    </w:p>
    <w:p>
      <w:pPr>
        <w:spacing w:after="0" w:line="71" w:lineRule="exact"/>
        <w:rPr>
          <w:rFonts w:ascii="Arial" w:cs="Arial" w:eastAsia="Arial" w:hAnsi="Arial"/>
          <w:sz w:val="15"/>
          <w:szCs w:val="15"/>
          <w:color w:val="006DB6"/>
        </w:rPr>
      </w:pPr>
    </w:p>
    <w:p>
      <w:pPr>
        <w:ind w:left="180" w:right="80" w:hanging="177"/>
        <w:spacing w:after="0" w:line="267" w:lineRule="auto"/>
        <w:tabs>
          <w:tab w:leader="none" w:pos="152"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Extended key client contracts in both Canada and Australia, including four key contracts for the Action Catering business in Australia with expected total revenues of A$135 million;</w:t>
      </w:r>
    </w:p>
    <w:p>
      <w:pPr>
        <w:spacing w:after="0" w:line="39" w:lineRule="exact"/>
        <w:rPr>
          <w:rFonts w:ascii="Arial" w:cs="Arial" w:eastAsia="Arial" w:hAnsi="Arial"/>
          <w:sz w:val="15"/>
          <w:szCs w:val="15"/>
          <w:color w:val="006DB6"/>
        </w:rPr>
      </w:pPr>
    </w:p>
    <w:p>
      <w:pPr>
        <w:ind w:left="160" w:hanging="157"/>
        <w:spacing w:after="0"/>
        <w:tabs>
          <w:tab w:leader="none" w:pos="160"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Extended the maturity of all our outstanding debt by 18 months to May 2023; and</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32"/>
        </w:numPr>
        <w:rPr>
          <w:rFonts w:ascii="Arial" w:cs="Arial" w:eastAsia="Arial" w:hAnsi="Arial"/>
          <w:sz w:val="15"/>
          <w:szCs w:val="15"/>
          <w:color w:val="006DB6"/>
        </w:rPr>
      </w:pPr>
      <w:r>
        <w:rPr>
          <w:rFonts w:ascii="Arial" w:cs="Arial" w:eastAsia="Arial" w:hAnsi="Arial"/>
          <w:sz w:val="15"/>
          <w:szCs w:val="15"/>
          <w:color w:val="auto"/>
        </w:rPr>
        <w:t>Achieved relative total shareholder returns in 2020 in the top quartile compared to our compensation peer group.</w:t>
      </w:r>
    </w:p>
    <w:p>
      <w:pPr>
        <w:spacing w:after="0" w:line="97" w:lineRule="exact"/>
        <w:rPr>
          <w:sz w:val="20"/>
          <w:szCs w:val="20"/>
          <w:color w:val="auto"/>
        </w:rPr>
      </w:pPr>
    </w:p>
    <w:p>
      <w:pPr>
        <w:jc w:val="both"/>
        <w:ind w:right="100"/>
        <w:spacing w:after="0"/>
        <w:rPr>
          <w:sz w:val="20"/>
          <w:szCs w:val="20"/>
          <w:color w:val="auto"/>
        </w:rPr>
      </w:pPr>
      <w:r>
        <w:rPr>
          <w:rFonts w:ascii="Arial" w:cs="Arial" w:eastAsia="Arial" w:hAnsi="Arial"/>
          <w:sz w:val="15"/>
          <w:szCs w:val="15"/>
          <w:color w:val="auto"/>
        </w:rPr>
        <w:t>Considering the 2020 market environment, in April, Mr. Dodson voluntarily reduced his annualized salary to $600,000, a 20% reduction from his then current salary, with a corresponding reduction to his 2020 target AICP, effective as of April 2, 2020. Effective January 1, 2021, the Compensation Committee returned Mr. Dodson’s annualized salary to previously targeted level of $750,000.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bl>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Our Approach to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Compensation Governance</w:t>
      </w:r>
    </w:p>
    <w:p>
      <w:pPr>
        <w:spacing w:after="0" w:line="126" w:lineRule="exact"/>
        <w:rPr>
          <w:sz w:val="20"/>
          <w:szCs w:val="20"/>
          <w:color w:val="auto"/>
        </w:rPr>
      </w:pPr>
    </w:p>
    <w:p>
      <w:pPr>
        <w:ind w:right="580"/>
        <w:spacing w:after="0" w:line="267" w:lineRule="auto"/>
        <w:rPr>
          <w:sz w:val="20"/>
          <w:szCs w:val="20"/>
          <w:color w:val="auto"/>
        </w:rPr>
      </w:pPr>
      <w:r>
        <w:rPr>
          <w:rFonts w:ascii="Arial" w:cs="Arial" w:eastAsia="Arial" w:hAnsi="Arial"/>
          <w:sz w:val="15"/>
          <w:szCs w:val="15"/>
          <w:color w:val="auto"/>
        </w:rPr>
        <w:t>In keeping with our commitment to strong governance standards across our business, our executive compensation governance framework is built around the following:</w:t>
      </w:r>
    </w:p>
    <w:p>
      <w:pPr>
        <w:spacing w:after="0" w:line="78" w:lineRule="exact"/>
        <w:rPr>
          <w:sz w:val="20"/>
          <w:szCs w:val="20"/>
          <w:color w:val="auto"/>
        </w:rPr>
      </w:pPr>
    </w:p>
    <w:p>
      <w:pPr>
        <w:ind w:left="180" w:right="280" w:hanging="177"/>
        <w:spacing w:after="0" w:line="267" w:lineRule="auto"/>
        <w:tabs>
          <w:tab w:leader="none" w:pos="152" w:val="left"/>
        </w:tabs>
        <w:numPr>
          <w:ilvl w:val="0"/>
          <w:numId w:val="33"/>
        </w:numPr>
        <w:rPr>
          <w:rFonts w:ascii="Arial" w:cs="Arial" w:eastAsia="Arial" w:hAnsi="Arial"/>
          <w:sz w:val="15"/>
          <w:szCs w:val="15"/>
          <w:color w:val="006DB6"/>
        </w:rPr>
      </w:pPr>
      <w:r>
        <w:rPr>
          <w:rFonts w:ascii="Arial" w:cs="Arial" w:eastAsia="Arial" w:hAnsi="Arial"/>
          <w:sz w:val="15"/>
          <w:szCs w:val="15"/>
          <w:color w:val="auto"/>
        </w:rPr>
        <w:t>A Compensation Committee comprised of individuals with deep relevant business experience, all of whom have served previously as chief executive officers of energy or real estate related companies. All members of the Compensation Committee are independent in accordance with NYSE listing standards;</w:t>
      </w:r>
    </w:p>
    <w:p>
      <w:pPr>
        <w:spacing w:after="0" w:line="39" w:lineRule="exact"/>
        <w:rPr>
          <w:rFonts w:ascii="Arial" w:cs="Arial" w:eastAsia="Arial" w:hAnsi="Arial"/>
          <w:sz w:val="15"/>
          <w:szCs w:val="15"/>
          <w:color w:val="006DB6"/>
        </w:rPr>
      </w:pPr>
    </w:p>
    <w:p>
      <w:pPr>
        <w:ind w:left="180" w:right="100" w:hanging="177"/>
        <w:spacing w:after="0" w:line="258" w:lineRule="auto"/>
        <w:tabs>
          <w:tab w:leader="none" w:pos="152" w:val="left"/>
        </w:tabs>
        <w:numPr>
          <w:ilvl w:val="0"/>
          <w:numId w:val="33"/>
        </w:numPr>
        <w:rPr>
          <w:rFonts w:ascii="Arial" w:cs="Arial" w:eastAsia="Arial" w:hAnsi="Arial"/>
          <w:sz w:val="15"/>
          <w:szCs w:val="15"/>
          <w:color w:val="006DB6"/>
        </w:rPr>
      </w:pPr>
      <w:r>
        <w:rPr>
          <w:rFonts w:ascii="Arial" w:cs="Arial" w:eastAsia="Arial" w:hAnsi="Arial"/>
          <w:sz w:val="15"/>
          <w:szCs w:val="15"/>
          <w:color w:val="auto"/>
        </w:rPr>
        <w:t>A clearly defined decision-making framework and delegation of authority that ensures all material compensation decisions for section 16 officers are made solely by the Compensation Committee, whose priority is to ensure our policies and procedures allow Civeo to attract, reward and retain executives who are focused on delivering long-term results for shareholders; and</w:t>
      </w:r>
    </w:p>
    <w:p>
      <w:pPr>
        <w:spacing w:after="0" w:line="46" w:lineRule="exact"/>
        <w:rPr>
          <w:rFonts w:ascii="Arial" w:cs="Arial" w:eastAsia="Arial" w:hAnsi="Arial"/>
          <w:sz w:val="15"/>
          <w:szCs w:val="15"/>
          <w:color w:val="006DB6"/>
        </w:rPr>
      </w:pPr>
    </w:p>
    <w:p>
      <w:pPr>
        <w:ind w:left="160" w:hanging="157"/>
        <w:spacing w:after="0"/>
        <w:tabs>
          <w:tab w:leader="none" w:pos="160" w:val="left"/>
        </w:tabs>
        <w:numPr>
          <w:ilvl w:val="0"/>
          <w:numId w:val="33"/>
        </w:numPr>
        <w:rPr>
          <w:rFonts w:ascii="Arial" w:cs="Arial" w:eastAsia="Arial" w:hAnsi="Arial"/>
          <w:sz w:val="15"/>
          <w:szCs w:val="15"/>
          <w:color w:val="006DB6"/>
        </w:rPr>
      </w:pPr>
      <w:r>
        <w:rPr>
          <w:rFonts w:ascii="Arial" w:cs="Arial" w:eastAsia="Arial" w:hAnsi="Arial"/>
          <w:sz w:val="15"/>
          <w:szCs w:val="15"/>
          <w:color w:val="auto"/>
        </w:rPr>
        <w:t>Clearly defined compensation policies structured to accommodate circumstances that are characteristic of a cyclical industry sector.</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CEO and NEO Compensation Mix</w:t>
      </w:r>
    </w:p>
    <w:p>
      <w:pPr>
        <w:spacing w:after="0" w:line="113" w:lineRule="exact"/>
        <w:rPr>
          <w:sz w:val="20"/>
          <w:szCs w:val="20"/>
          <w:color w:val="auto"/>
        </w:rPr>
      </w:pPr>
    </w:p>
    <w:p>
      <w:pPr>
        <w:ind w:right="240"/>
        <w:spacing w:after="0"/>
        <w:rPr>
          <w:sz w:val="20"/>
          <w:szCs w:val="20"/>
          <w:color w:val="auto"/>
        </w:rPr>
      </w:pPr>
      <w:r>
        <w:rPr>
          <w:rFonts w:ascii="Arial" w:cs="Arial" w:eastAsia="Arial" w:hAnsi="Arial"/>
          <w:sz w:val="15"/>
          <w:szCs w:val="15"/>
          <w:color w:val="auto"/>
        </w:rPr>
        <w:t>This section outlines each of the components of our compensation program. Compensation decisions specific to our named executive officers for 2020 for each of these components are discussed in greater detail following this section.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713930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3760" w:val="left"/>
          <w:tab w:leader="none" w:pos="750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3"/>
          <w:szCs w:val="13"/>
          <w:b w:val="1"/>
          <w:bCs w:val="1"/>
          <w:color w:val="FFC03C"/>
        </w:rPr>
        <w:t>Long-Term</w:t>
      </w:r>
    </w:p>
    <w:p>
      <w:pPr>
        <w:spacing w:after="0" w:line="9" w:lineRule="exact"/>
        <w:rPr>
          <w:sz w:val="20"/>
          <w:szCs w:val="20"/>
          <w:color w:val="auto"/>
        </w:rPr>
      </w:pPr>
    </w:p>
    <w:p>
      <w:pPr>
        <w:ind w:left="20"/>
        <w:spacing w:after="0"/>
        <w:tabs>
          <w:tab w:leader="none" w:pos="3760" w:val="left"/>
          <w:tab w:leader="none" w:pos="750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3"/>
          <w:szCs w:val="13"/>
          <w:b w:val="1"/>
          <w:bCs w:val="1"/>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1393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47"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5"/>
          <w:szCs w:val="15"/>
          <w:color w:val="auto"/>
        </w:rPr>
        <w:t>Base salary recognizes the job being performed and</w:t>
        <w:tab/>
        <w:t>The key objective of Civeo’s AICP is to reward the</w:t>
      </w:r>
    </w:p>
    <w:p>
      <w:pPr>
        <w:spacing w:after="0" w:line="7"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5"/>
          <w:szCs w:val="15"/>
          <w:color w:val="auto"/>
        </w:rPr>
        <w:t>the value of that job in the competitive market. Base</w:t>
        <w:tab/>
        <w:t>achievement of defined annual financial and safety</w:t>
      </w:r>
    </w:p>
    <w:p>
      <w:pPr>
        <w:spacing w:after="0" w:line="7"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5"/>
          <w:szCs w:val="15"/>
          <w:color w:val="auto"/>
        </w:rPr>
        <w:t>salary must be sufficient to attract and retain the</w:t>
      </w:r>
      <w:r>
        <w:rPr>
          <w:sz w:val="20"/>
          <w:szCs w:val="20"/>
          <w:color w:val="auto"/>
        </w:rPr>
        <w:tab/>
      </w:r>
      <w:r>
        <w:rPr>
          <w:rFonts w:ascii="Arial" w:cs="Arial" w:eastAsia="Arial" w:hAnsi="Arial"/>
          <w:sz w:val="15"/>
          <w:szCs w:val="15"/>
          <w:color w:val="auto"/>
        </w:rPr>
        <w:t>objectives and to incentivize employee activities that</w:t>
      </w:r>
    </w:p>
    <w:p>
      <w:pPr>
        <w:spacing w:after="0" w:line="7"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5"/>
          <w:szCs w:val="15"/>
          <w:color w:val="auto"/>
        </w:rPr>
        <w:t>executive talent necessary for our success and</w:t>
      </w:r>
      <w:r>
        <w:rPr>
          <w:sz w:val="20"/>
          <w:szCs w:val="20"/>
          <w:color w:val="auto"/>
        </w:rPr>
        <w:tab/>
      </w:r>
      <w:r>
        <w:rPr>
          <w:rFonts w:ascii="Arial" w:cs="Arial" w:eastAsia="Arial" w:hAnsi="Arial"/>
          <w:sz w:val="15"/>
          <w:szCs w:val="15"/>
          <w:color w:val="auto"/>
        </w:rPr>
        <w:t>will continually improve Civeo, both on a business unit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provides an element of compensation that is not at risk and company-wide basis.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 avoid fluctuations in compensation that could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distract our executives from the performance of their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393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Civeo’s LTIP, established under the Equity Participation Plan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2">
            <w:col w:w="7460" w:space="60"/>
            <w:col w:w="3720"/>
          </w:cols>
          <w:pgMar w:left="320" w:top="123" w:right="3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Our Variable Compensation Performance Metrics and Their Relation to Our Strategy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Performance Metrics</w:t>
            </w:r>
          </w:p>
        </w:tc>
        <w:tc>
          <w:tcPr>
            <w:tcW w:w="904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6F6F"/>
              </w:rPr>
              <w:t>How The Performance Metrics Tie to Our Strategy</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9040" w:type="dxa"/>
            <w:vAlign w:val="bottom"/>
            <w:vMerge w:val="restart"/>
          </w:tcPr>
          <w:p>
            <w:pPr>
              <w:ind w:left="80"/>
              <w:spacing w:after="0"/>
              <w:rPr>
                <w:sz w:val="20"/>
                <w:szCs w:val="20"/>
                <w:color w:val="auto"/>
              </w:rPr>
            </w:pPr>
            <w:r>
              <w:rPr>
                <w:rFonts w:ascii="Arial" w:cs="Arial" w:eastAsia="Arial" w:hAnsi="Arial"/>
                <w:sz w:val="15"/>
                <w:szCs w:val="15"/>
                <w:color w:val="auto"/>
              </w:rPr>
              <w:t>Adjusted EBITDA is widely recognized as a primary valuation and comparable financial metric used in the industry and, for this</w:t>
            </w: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17"/>
                <w:szCs w:val="17"/>
                <w:color w:val="auto"/>
              </w:rPr>
            </w:pPr>
          </w:p>
        </w:tc>
        <w:tc>
          <w:tcPr>
            <w:tcW w:w="90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reason, was selected as an appropriate financial metric for 2020.</w:t>
            </w:r>
          </w:p>
        </w:tc>
        <w:tc>
          <w:tcPr>
            <w:tcW w:w="0" w:type="dxa"/>
            <w:vAlign w:val="bottom"/>
          </w:tcPr>
          <w:p>
            <w:pPr>
              <w:spacing w:after="0"/>
              <w:rPr>
                <w:sz w:val="1"/>
                <w:szCs w:val="1"/>
                <w:color w:val="auto"/>
              </w:rPr>
            </w:pPr>
          </w:p>
        </w:tc>
      </w:tr>
      <w:tr>
        <w:trPr>
          <w:trHeight w:val="207"/>
        </w:trPr>
        <w:tc>
          <w:tcPr>
            <w:tcW w:w="2200" w:type="dxa"/>
            <w:vAlign w:val="bottom"/>
          </w:tcPr>
          <w:p>
            <w:pPr>
              <w:ind w:left="20"/>
              <w:spacing w:after="0"/>
              <w:rPr>
                <w:sz w:val="20"/>
                <w:szCs w:val="20"/>
                <w:color w:val="auto"/>
              </w:rPr>
            </w:pPr>
            <w:r>
              <w:rPr>
                <w:rFonts w:ascii="Arial" w:cs="Arial" w:eastAsia="Arial" w:hAnsi="Arial"/>
                <w:sz w:val="15"/>
                <w:szCs w:val="15"/>
                <w:color w:val="auto"/>
              </w:rPr>
              <w:t>Total Recordable Incident Rate</w:t>
            </w:r>
          </w:p>
        </w:tc>
        <w:tc>
          <w:tcPr>
            <w:tcW w:w="9040" w:type="dxa"/>
            <w:vAlign w:val="bottom"/>
          </w:tcPr>
          <w:p>
            <w:pPr>
              <w:ind w:left="80"/>
              <w:spacing w:after="0"/>
              <w:rPr>
                <w:sz w:val="20"/>
                <w:szCs w:val="20"/>
                <w:color w:val="auto"/>
              </w:rPr>
            </w:pPr>
            <w:r>
              <w:rPr>
                <w:rFonts w:ascii="Arial" w:cs="Arial" w:eastAsia="Arial" w:hAnsi="Arial"/>
                <w:sz w:val="15"/>
                <w:szCs w:val="15"/>
                <w:color w:val="auto"/>
              </w:rPr>
              <w:t>TRIR is a globally recognized measure of safety performance. Safety is one of Civeo's core values and therefore it is an important</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("TRIR")</w:t>
            </w:r>
          </w:p>
        </w:tc>
        <w:tc>
          <w:tcPr>
            <w:tcW w:w="90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measure of Company performance.</w:t>
            </w:r>
          </w:p>
        </w:tc>
        <w:tc>
          <w:tcPr>
            <w:tcW w:w="0" w:type="dxa"/>
            <w:vAlign w:val="bottom"/>
          </w:tcPr>
          <w:p>
            <w:pPr>
              <w:spacing w:after="0"/>
              <w:rPr>
                <w:sz w:val="1"/>
                <w:szCs w:val="1"/>
                <w:color w:val="auto"/>
              </w:rPr>
            </w:pPr>
          </w:p>
        </w:tc>
      </w:tr>
      <w:tr>
        <w:trPr>
          <w:trHeight w:val="207"/>
        </w:trPr>
        <w:tc>
          <w:tcPr>
            <w:tcW w:w="2200" w:type="dxa"/>
            <w:vAlign w:val="bottom"/>
          </w:tcPr>
          <w:p>
            <w:pPr>
              <w:ind w:left="20"/>
              <w:spacing w:after="0"/>
              <w:rPr>
                <w:sz w:val="20"/>
                <w:szCs w:val="20"/>
                <w:color w:val="auto"/>
              </w:rPr>
            </w:pPr>
            <w:r>
              <w:rPr>
                <w:rFonts w:ascii="Arial" w:cs="Arial" w:eastAsia="Arial" w:hAnsi="Arial"/>
                <w:sz w:val="15"/>
                <w:szCs w:val="15"/>
                <w:color w:val="auto"/>
              </w:rPr>
              <w:t>Relative Total Shareholder</w:t>
            </w:r>
          </w:p>
        </w:tc>
        <w:tc>
          <w:tcPr>
            <w:tcW w:w="9040" w:type="dxa"/>
            <w:vAlign w:val="bottom"/>
          </w:tcPr>
          <w:p>
            <w:pPr>
              <w:ind w:left="80"/>
              <w:spacing w:after="0"/>
              <w:rPr>
                <w:sz w:val="20"/>
                <w:szCs w:val="20"/>
                <w:color w:val="auto"/>
              </w:rPr>
            </w:pPr>
            <w:r>
              <w:rPr>
                <w:rFonts w:ascii="Arial" w:cs="Arial" w:eastAsia="Arial" w:hAnsi="Arial"/>
                <w:sz w:val="15"/>
                <w:szCs w:val="15"/>
                <w:color w:val="auto"/>
              </w:rPr>
              <w:t>Relative TSR is a valuable metric to assess performance against our peer group over a performance period. This allows the</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Return ("TSR")</w:t>
            </w:r>
          </w:p>
        </w:tc>
        <w:tc>
          <w:tcPr>
            <w:tcW w:w="90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company to ensure we are aligned with shareholder 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139305" cy="976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9305" cy="976630"/>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Adjusted EBITDA</w:t>
      </w:r>
    </w:p>
    <w:p>
      <w:pPr>
        <w:spacing w:after="0" w:line="97" w:lineRule="exact"/>
        <w:rPr>
          <w:sz w:val="20"/>
          <w:szCs w:val="20"/>
          <w:color w:val="auto"/>
        </w:rPr>
      </w:pPr>
    </w:p>
    <w:p>
      <w:pPr>
        <w:ind w:left="20" w:right="100"/>
        <w:spacing w:after="0"/>
        <w:rPr>
          <w:sz w:val="20"/>
          <w:szCs w:val="20"/>
          <w:color w:val="auto"/>
        </w:rPr>
      </w:pPr>
      <w:r>
        <w:rPr>
          <w:rFonts w:ascii="Arial" w:cs="Arial" w:eastAsia="Arial" w:hAnsi="Arial"/>
          <w:sz w:val="15"/>
          <w:szCs w:val="15"/>
          <w:b w:val="1"/>
          <w:bCs w:val="1"/>
          <w:color w:val="auto"/>
        </w:rPr>
        <w:t>Earnings Before Interest, Taxes, Depreciation and Amortization ("EBITDA") is a non-GAAP financial measure that is defined as net income plus interest, taxes, depreciation and amortization. Adjusted EBITDA is a non-GAAP financial measure that is defined as EBITDA adjusted to exclude impairment charges and certain other items. Please see the Appendix for a reconciliation of Adjusted EBITDA to GAAP. Adjustments to EBITDA under the AICP also reflect one-time, unanticipated financial events incurred following approval of the 2020 budget, including unbudgeted variability in stock-based compensation expense, changes in foreign exchange rates and certain other unbudgeted costs (approved by the board of directors). The AICP adjustments to EBITDA in 2020 were consistent with past practices; none of these adjustments were related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240665</wp:posOffset>
            </wp:positionV>
            <wp:extent cx="374650" cy="1873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240"/>
          </w:cols>
          <w:pgMar w:left="320" w:top="123"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Highlights of 2020 Performance and Impact on Executive Compensation</w:t>
      </w:r>
    </w:p>
    <w:p>
      <w:pPr>
        <w:spacing w:after="0" w:line="113" w:lineRule="exact"/>
        <w:rPr>
          <w:sz w:val="20"/>
          <w:szCs w:val="20"/>
          <w:color w:val="auto"/>
        </w:rPr>
      </w:pPr>
    </w:p>
    <w:p>
      <w:pPr>
        <w:jc w:val="both"/>
        <w:ind w:right="100"/>
        <w:spacing w:after="0"/>
        <w:rPr>
          <w:sz w:val="20"/>
          <w:szCs w:val="20"/>
          <w:color w:val="auto"/>
        </w:rPr>
      </w:pPr>
      <w:r>
        <w:rPr>
          <w:rFonts w:ascii="Arial" w:cs="Arial" w:eastAsia="Arial" w:hAnsi="Arial"/>
          <w:sz w:val="15"/>
          <w:szCs w:val="15"/>
          <w:color w:val="auto"/>
        </w:rPr>
        <w:t>Despite continuing headwinds faced by the energy sector throughout 2020, a number of significant financial and operational objectives were successfully completed through Mr. Dodson’s leadership. On the financial front, we continued to strengthen our balance sheet and reduce our leverage, a highlight not broadly seen across our sector. In particular, during 2020 we achieved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560" w:type="dxa"/>
            <w:vAlign w:val="bottom"/>
            <w:shd w:val="clear" w:color="auto" w:fill="E8EEF7"/>
          </w:tcPr>
          <w:p>
            <w:pPr>
              <w:ind w:left="20"/>
              <w:spacing w:after="0"/>
              <w:rPr>
                <w:sz w:val="20"/>
                <w:szCs w:val="20"/>
                <w:color w:val="auto"/>
              </w:rPr>
            </w:pPr>
            <w:r>
              <w:rPr>
                <w:rFonts w:ascii="Arial" w:cs="Arial" w:eastAsia="Arial" w:hAnsi="Arial"/>
                <w:sz w:val="15"/>
                <w:szCs w:val="15"/>
                <w:color w:val="auto"/>
              </w:rPr>
              <w:t>Reduced total debt by $108 million from December</w:t>
            </w:r>
          </w:p>
        </w:tc>
        <w:tc>
          <w:tcPr>
            <w:tcW w:w="220" w:type="dxa"/>
            <w:vAlign w:val="bottom"/>
          </w:tcPr>
          <w:p>
            <w:pPr>
              <w:spacing w:after="0"/>
              <w:rPr>
                <w:sz w:val="22"/>
                <w:szCs w:val="22"/>
                <w:color w:val="auto"/>
              </w:rPr>
            </w:pPr>
          </w:p>
        </w:tc>
        <w:tc>
          <w:tcPr>
            <w:tcW w:w="3680" w:type="dxa"/>
            <w:vAlign w:val="bottom"/>
            <w:gridSpan w:val="3"/>
            <w:shd w:val="clear" w:color="auto" w:fill="E8EEF7"/>
          </w:tcPr>
          <w:p>
            <w:pPr>
              <w:spacing w:after="0"/>
              <w:rPr>
                <w:sz w:val="20"/>
                <w:szCs w:val="20"/>
                <w:color w:val="auto"/>
              </w:rPr>
            </w:pPr>
            <w:r>
              <w:rPr>
                <w:rFonts w:ascii="Arial" w:cs="Arial" w:eastAsia="Arial" w:hAnsi="Arial"/>
                <w:sz w:val="15"/>
                <w:szCs w:val="15"/>
                <w:color w:val="auto"/>
              </w:rPr>
              <w:t>Decreased our leverage ratio to 2.11 times at</w:t>
            </w:r>
          </w:p>
        </w:tc>
        <w:tc>
          <w:tcPr>
            <w:tcW w:w="200" w:type="dxa"/>
            <w:vAlign w:val="bottom"/>
          </w:tcPr>
          <w:p>
            <w:pPr>
              <w:spacing w:after="0"/>
              <w:rPr>
                <w:sz w:val="22"/>
                <w:szCs w:val="22"/>
                <w:color w:val="auto"/>
              </w:rPr>
            </w:pPr>
          </w:p>
        </w:tc>
        <w:tc>
          <w:tcPr>
            <w:tcW w:w="3580" w:type="dxa"/>
            <w:vAlign w:val="bottom"/>
            <w:shd w:val="clear" w:color="auto" w:fill="E8EEF7"/>
          </w:tcPr>
          <w:p>
            <w:pPr>
              <w:ind w:left="20"/>
              <w:spacing w:after="0"/>
              <w:rPr>
                <w:sz w:val="20"/>
                <w:szCs w:val="20"/>
                <w:color w:val="auto"/>
              </w:rPr>
            </w:pPr>
            <w:r>
              <w:rPr>
                <w:rFonts w:ascii="Arial" w:cs="Arial" w:eastAsia="Arial" w:hAnsi="Arial"/>
                <w:sz w:val="15"/>
                <w:szCs w:val="15"/>
                <w:color w:val="auto"/>
              </w:rPr>
              <w:t>Generated strong free cash flow of $111 million</w:t>
            </w:r>
          </w:p>
        </w:tc>
      </w:tr>
      <w:tr>
        <w:trPr>
          <w:trHeight w:val="179"/>
        </w:trPr>
        <w:tc>
          <w:tcPr>
            <w:tcW w:w="3560" w:type="dxa"/>
            <w:vAlign w:val="bottom"/>
            <w:shd w:val="clear" w:color="auto" w:fill="E8EEF7"/>
          </w:tcPr>
          <w:p>
            <w:pPr>
              <w:ind w:left="20"/>
              <w:spacing w:after="0"/>
              <w:rPr>
                <w:sz w:val="20"/>
                <w:szCs w:val="20"/>
                <w:color w:val="auto"/>
              </w:rPr>
            </w:pPr>
            <w:r>
              <w:rPr>
                <w:rFonts w:ascii="Arial" w:cs="Arial" w:eastAsia="Arial" w:hAnsi="Arial"/>
                <w:sz w:val="15"/>
                <w:szCs w:val="15"/>
                <w:color w:val="auto"/>
              </w:rPr>
              <w:t>31, 2019 to December 31, 2020</w:t>
            </w:r>
          </w:p>
        </w:tc>
        <w:tc>
          <w:tcPr>
            <w:tcW w:w="220" w:type="dxa"/>
            <w:vAlign w:val="bottom"/>
          </w:tcPr>
          <w:p>
            <w:pPr>
              <w:spacing w:after="0"/>
              <w:rPr>
                <w:sz w:val="15"/>
                <w:szCs w:val="15"/>
                <w:color w:val="auto"/>
              </w:rPr>
            </w:pPr>
          </w:p>
        </w:tc>
        <w:tc>
          <w:tcPr>
            <w:tcW w:w="3680" w:type="dxa"/>
            <w:vAlign w:val="bottom"/>
            <w:gridSpan w:val="3"/>
            <w:shd w:val="clear" w:color="auto" w:fill="E8EEF7"/>
          </w:tcPr>
          <w:p>
            <w:pPr>
              <w:spacing w:after="0"/>
              <w:rPr>
                <w:sz w:val="20"/>
                <w:szCs w:val="20"/>
                <w:color w:val="auto"/>
              </w:rPr>
            </w:pPr>
            <w:r>
              <w:rPr>
                <w:rFonts w:ascii="Arial" w:cs="Arial" w:eastAsia="Arial" w:hAnsi="Arial"/>
                <w:sz w:val="15"/>
                <w:szCs w:val="15"/>
                <w:color w:val="auto"/>
              </w:rPr>
              <w:t>December 31, 2020, from 2.98 times at</w:t>
            </w:r>
          </w:p>
        </w:tc>
        <w:tc>
          <w:tcPr>
            <w:tcW w:w="200" w:type="dxa"/>
            <w:vAlign w:val="bottom"/>
          </w:tcPr>
          <w:p>
            <w:pPr>
              <w:spacing w:after="0"/>
              <w:rPr>
                <w:sz w:val="15"/>
                <w:szCs w:val="15"/>
                <w:color w:val="auto"/>
              </w:rPr>
            </w:pPr>
          </w:p>
        </w:tc>
        <w:tc>
          <w:tcPr>
            <w:tcW w:w="3580" w:type="dxa"/>
            <w:vAlign w:val="bottom"/>
            <w:shd w:val="clear" w:color="auto" w:fill="E8EEF7"/>
          </w:tcPr>
          <w:p>
            <w:pPr>
              <w:ind w:left="20"/>
              <w:spacing w:after="0"/>
              <w:rPr>
                <w:sz w:val="20"/>
                <w:szCs w:val="20"/>
                <w:color w:val="auto"/>
              </w:rPr>
            </w:pPr>
            <w:r>
              <w:rPr>
                <w:rFonts w:ascii="Arial" w:cs="Arial" w:eastAsia="Arial" w:hAnsi="Arial"/>
                <w:sz w:val="15"/>
                <w:szCs w:val="15"/>
                <w:color w:val="auto"/>
              </w:rPr>
              <w:t>during the year</w:t>
            </w:r>
          </w:p>
        </w:tc>
      </w:tr>
      <w:tr>
        <w:trPr>
          <w:trHeight w:val="185"/>
        </w:trPr>
        <w:tc>
          <w:tcPr>
            <w:tcW w:w="3560" w:type="dxa"/>
            <w:vAlign w:val="bottom"/>
            <w:shd w:val="clear" w:color="auto" w:fill="E8EEF7"/>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shd w:val="clear" w:color="auto" w:fill="E8EEF7"/>
          </w:tcPr>
          <w:p>
            <w:pPr>
              <w:spacing w:after="0"/>
              <w:rPr>
                <w:sz w:val="20"/>
                <w:szCs w:val="20"/>
                <w:color w:val="auto"/>
              </w:rPr>
            </w:pPr>
            <w:r>
              <w:rPr>
                <w:rFonts w:ascii="Arial" w:cs="Arial" w:eastAsia="Arial" w:hAnsi="Arial"/>
                <w:sz w:val="15"/>
                <w:szCs w:val="15"/>
                <w:color w:val="auto"/>
              </w:rPr>
              <w:t>December 31, 2019</w:t>
            </w:r>
          </w:p>
        </w:tc>
        <w:tc>
          <w:tcPr>
            <w:tcW w:w="220" w:type="dxa"/>
            <w:vAlign w:val="bottom"/>
            <w:shd w:val="clear" w:color="auto" w:fill="E8EEF7"/>
          </w:tcPr>
          <w:p>
            <w:pPr>
              <w:spacing w:after="0"/>
              <w:rPr>
                <w:sz w:val="16"/>
                <w:szCs w:val="16"/>
                <w:color w:val="auto"/>
              </w:rPr>
            </w:pPr>
          </w:p>
        </w:tc>
        <w:tc>
          <w:tcPr>
            <w:tcW w:w="174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shd w:val="clear" w:color="auto" w:fill="E8EEF7"/>
          </w:tcPr>
          <w:p>
            <w:pPr>
              <w:spacing w:after="0"/>
              <w:rPr>
                <w:sz w:val="16"/>
                <w:szCs w:val="16"/>
                <w:color w:val="auto"/>
              </w:rPr>
            </w:pPr>
          </w:p>
        </w:tc>
      </w:tr>
      <w:tr>
        <w:trPr>
          <w:trHeight w:val="69"/>
        </w:trPr>
        <w:tc>
          <w:tcPr>
            <w:tcW w:w="3560" w:type="dxa"/>
            <w:vAlign w:val="bottom"/>
            <w:shd w:val="clear" w:color="auto" w:fill="E8EEF7"/>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shd w:val="clear" w:color="auto" w:fill="E8EEF7"/>
          </w:tcPr>
          <w:p>
            <w:pPr>
              <w:spacing w:after="0"/>
              <w:rPr>
                <w:sz w:val="6"/>
                <w:szCs w:val="6"/>
                <w:color w:val="auto"/>
              </w:rPr>
            </w:pPr>
          </w:p>
        </w:tc>
        <w:tc>
          <w:tcPr>
            <w:tcW w:w="220" w:type="dxa"/>
            <w:vAlign w:val="bottom"/>
            <w:shd w:val="clear" w:color="auto" w:fill="E8EEF7"/>
          </w:tcPr>
          <w:p>
            <w:pPr>
              <w:spacing w:after="0"/>
              <w:rPr>
                <w:sz w:val="6"/>
                <w:szCs w:val="6"/>
                <w:color w:val="auto"/>
              </w:rPr>
            </w:pPr>
          </w:p>
        </w:tc>
        <w:tc>
          <w:tcPr>
            <w:tcW w:w="174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3580" w:type="dxa"/>
            <w:vAlign w:val="bottom"/>
            <w:shd w:val="clear" w:color="auto" w:fill="E8EEF7"/>
          </w:tcPr>
          <w:p>
            <w:pPr>
              <w:spacing w:after="0"/>
              <w:rPr>
                <w:sz w:val="6"/>
                <w:szCs w:val="6"/>
                <w:color w:val="auto"/>
              </w:rPr>
            </w:pPr>
          </w:p>
        </w:tc>
      </w:tr>
      <w:tr>
        <w:trPr>
          <w:trHeight w:val="90"/>
        </w:trPr>
        <w:tc>
          <w:tcPr>
            <w:tcW w:w="5500" w:type="dxa"/>
            <w:vAlign w:val="bottom"/>
            <w:gridSpan w:val="3"/>
          </w:tcPr>
          <w:p>
            <w:pPr>
              <w:spacing w:after="0"/>
              <w:rPr>
                <w:sz w:val="7"/>
                <w:szCs w:val="7"/>
                <w:color w:val="auto"/>
              </w:rPr>
            </w:pPr>
          </w:p>
        </w:tc>
        <w:tc>
          <w:tcPr>
            <w:tcW w:w="220" w:type="dxa"/>
            <w:vAlign w:val="bottom"/>
          </w:tcPr>
          <w:p>
            <w:pPr>
              <w:spacing w:after="0"/>
              <w:rPr>
                <w:sz w:val="7"/>
                <w:szCs w:val="7"/>
                <w:color w:val="auto"/>
              </w:rPr>
            </w:pPr>
          </w:p>
        </w:tc>
        <w:tc>
          <w:tcPr>
            <w:tcW w:w="5520" w:type="dxa"/>
            <w:vAlign w:val="bottom"/>
            <w:gridSpan w:val="3"/>
          </w:tcPr>
          <w:p>
            <w:pPr>
              <w:spacing w:after="0"/>
              <w:rPr>
                <w:sz w:val="7"/>
                <w:szCs w:val="7"/>
                <w:color w:val="auto"/>
              </w:rPr>
            </w:pPr>
          </w:p>
        </w:tc>
      </w:tr>
      <w:tr>
        <w:trPr>
          <w:trHeight w:val="258"/>
        </w:trPr>
        <w:tc>
          <w:tcPr>
            <w:tcW w:w="5500" w:type="dxa"/>
            <w:vAlign w:val="bottom"/>
            <w:gridSpan w:val="3"/>
            <w:shd w:val="clear" w:color="auto" w:fill="E8EEF7"/>
          </w:tcPr>
          <w:p>
            <w:pPr>
              <w:ind w:left="20"/>
              <w:spacing w:after="0"/>
              <w:rPr>
                <w:sz w:val="20"/>
                <w:szCs w:val="20"/>
                <w:color w:val="auto"/>
              </w:rPr>
            </w:pPr>
            <w:r>
              <w:rPr>
                <w:rFonts w:ascii="Arial" w:cs="Arial" w:eastAsia="Arial" w:hAnsi="Arial"/>
                <w:sz w:val="15"/>
                <w:szCs w:val="15"/>
                <w:color w:val="auto"/>
              </w:rPr>
              <w:t>Extended maturity of current credit agreement by18 months to May 30, 2023</w:t>
            </w:r>
          </w:p>
        </w:tc>
        <w:tc>
          <w:tcPr>
            <w:tcW w:w="220" w:type="dxa"/>
            <w:vAlign w:val="bottom"/>
          </w:tcPr>
          <w:p>
            <w:pPr>
              <w:spacing w:after="0"/>
              <w:rPr>
                <w:sz w:val="22"/>
                <w:szCs w:val="22"/>
                <w:color w:val="auto"/>
              </w:rPr>
            </w:pPr>
          </w:p>
        </w:tc>
        <w:tc>
          <w:tcPr>
            <w:tcW w:w="5520" w:type="dxa"/>
            <w:vAlign w:val="bottom"/>
            <w:gridSpan w:val="3"/>
            <w:shd w:val="clear" w:color="auto" w:fill="E8EEF7"/>
          </w:tcPr>
          <w:p>
            <w:pPr>
              <w:ind w:left="20"/>
              <w:spacing w:after="0"/>
              <w:rPr>
                <w:sz w:val="20"/>
                <w:szCs w:val="20"/>
                <w:color w:val="auto"/>
              </w:rPr>
            </w:pPr>
            <w:r>
              <w:rPr>
                <w:rFonts w:ascii="Arial" w:cs="Arial" w:eastAsia="Arial" w:hAnsi="Arial"/>
                <w:sz w:val="15"/>
                <w:szCs w:val="15"/>
                <w:color w:val="auto"/>
              </w:rPr>
              <w:t>Achieved relative TSR in the top quartile compared to our compensation peer</w:t>
            </w:r>
          </w:p>
        </w:tc>
      </w:tr>
      <w:tr>
        <w:trPr>
          <w:trHeight w:val="185"/>
        </w:trPr>
        <w:tc>
          <w:tcPr>
            <w:tcW w:w="3560" w:type="dxa"/>
            <w:vAlign w:val="bottom"/>
            <w:shd w:val="clear" w:color="auto" w:fill="E8EEF7"/>
          </w:tcPr>
          <w:p>
            <w:pPr>
              <w:spacing w:after="0"/>
              <w:rPr>
                <w:sz w:val="16"/>
                <w:szCs w:val="16"/>
                <w:color w:val="auto"/>
              </w:rPr>
            </w:pPr>
          </w:p>
        </w:tc>
        <w:tc>
          <w:tcPr>
            <w:tcW w:w="220" w:type="dxa"/>
            <w:vAlign w:val="bottom"/>
            <w:shd w:val="clear" w:color="auto" w:fill="E8EEF7"/>
          </w:tcPr>
          <w:p>
            <w:pPr>
              <w:spacing w:after="0"/>
              <w:rPr>
                <w:sz w:val="16"/>
                <w:szCs w:val="16"/>
                <w:color w:val="auto"/>
              </w:rPr>
            </w:pPr>
          </w:p>
        </w:tc>
        <w:tc>
          <w:tcPr>
            <w:tcW w:w="1720" w:type="dxa"/>
            <w:vAlign w:val="bottom"/>
            <w:shd w:val="clear" w:color="auto" w:fill="E8EEF7"/>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shd w:val="clear" w:color="auto" w:fill="E8EEF7"/>
          </w:tcPr>
          <w:p>
            <w:pPr>
              <w:ind w:left="20"/>
              <w:spacing w:after="0"/>
              <w:rPr>
                <w:sz w:val="20"/>
                <w:szCs w:val="20"/>
                <w:color w:val="auto"/>
              </w:rPr>
            </w:pPr>
            <w:r>
              <w:rPr>
                <w:rFonts w:ascii="Arial" w:cs="Arial" w:eastAsia="Arial" w:hAnsi="Arial"/>
                <w:sz w:val="15"/>
                <w:szCs w:val="15"/>
                <w:color w:val="auto"/>
              </w:rPr>
              <w:t>group</w:t>
            </w:r>
          </w:p>
        </w:tc>
        <w:tc>
          <w:tcPr>
            <w:tcW w:w="200" w:type="dxa"/>
            <w:vAlign w:val="bottom"/>
            <w:shd w:val="clear" w:color="auto" w:fill="E8EEF7"/>
          </w:tcPr>
          <w:p>
            <w:pPr>
              <w:spacing w:after="0"/>
              <w:rPr>
                <w:sz w:val="16"/>
                <w:szCs w:val="16"/>
                <w:color w:val="auto"/>
              </w:rPr>
            </w:pPr>
          </w:p>
        </w:tc>
        <w:tc>
          <w:tcPr>
            <w:tcW w:w="3580" w:type="dxa"/>
            <w:vAlign w:val="bottom"/>
            <w:shd w:val="clear" w:color="auto" w:fill="E8EEF7"/>
          </w:tcPr>
          <w:p>
            <w:pPr>
              <w:spacing w:after="0"/>
              <w:rPr>
                <w:sz w:val="16"/>
                <w:szCs w:val="16"/>
                <w:color w:val="auto"/>
              </w:rPr>
            </w:pPr>
          </w:p>
        </w:tc>
      </w:tr>
      <w:tr>
        <w:trPr>
          <w:trHeight w:val="69"/>
        </w:trPr>
        <w:tc>
          <w:tcPr>
            <w:tcW w:w="3560" w:type="dxa"/>
            <w:vAlign w:val="bottom"/>
            <w:shd w:val="clear" w:color="auto" w:fill="E8EEF7"/>
          </w:tcPr>
          <w:p>
            <w:pPr>
              <w:spacing w:after="0"/>
              <w:rPr>
                <w:sz w:val="6"/>
                <w:szCs w:val="6"/>
                <w:color w:val="auto"/>
              </w:rPr>
            </w:pPr>
          </w:p>
        </w:tc>
        <w:tc>
          <w:tcPr>
            <w:tcW w:w="220" w:type="dxa"/>
            <w:vAlign w:val="bottom"/>
            <w:shd w:val="clear" w:color="auto" w:fill="E8EEF7"/>
          </w:tcPr>
          <w:p>
            <w:pPr>
              <w:spacing w:after="0"/>
              <w:rPr>
                <w:sz w:val="6"/>
                <w:szCs w:val="6"/>
                <w:color w:val="auto"/>
              </w:rPr>
            </w:pPr>
          </w:p>
        </w:tc>
        <w:tc>
          <w:tcPr>
            <w:tcW w:w="1720" w:type="dxa"/>
            <w:vAlign w:val="bottom"/>
            <w:shd w:val="clear" w:color="auto" w:fill="E8EEF7"/>
          </w:tcPr>
          <w:p>
            <w:pPr>
              <w:spacing w:after="0"/>
              <w:rPr>
                <w:sz w:val="6"/>
                <w:szCs w:val="6"/>
                <w:color w:val="auto"/>
              </w:rPr>
            </w:pPr>
          </w:p>
        </w:tc>
        <w:tc>
          <w:tcPr>
            <w:tcW w:w="220" w:type="dxa"/>
            <w:vAlign w:val="bottom"/>
          </w:tcPr>
          <w:p>
            <w:pPr>
              <w:spacing w:after="0"/>
              <w:rPr>
                <w:sz w:val="6"/>
                <w:szCs w:val="6"/>
                <w:color w:val="auto"/>
              </w:rPr>
            </w:pPr>
          </w:p>
        </w:tc>
        <w:tc>
          <w:tcPr>
            <w:tcW w:w="1740" w:type="dxa"/>
            <w:vAlign w:val="bottom"/>
            <w:shd w:val="clear" w:color="auto" w:fill="E8EEF7"/>
          </w:tcPr>
          <w:p>
            <w:pPr>
              <w:spacing w:after="0"/>
              <w:rPr>
                <w:sz w:val="6"/>
                <w:szCs w:val="6"/>
                <w:color w:val="auto"/>
              </w:rPr>
            </w:pPr>
          </w:p>
        </w:tc>
        <w:tc>
          <w:tcPr>
            <w:tcW w:w="200" w:type="dxa"/>
            <w:vAlign w:val="bottom"/>
            <w:shd w:val="clear" w:color="auto" w:fill="E8EEF7"/>
          </w:tcPr>
          <w:p>
            <w:pPr>
              <w:spacing w:after="0"/>
              <w:rPr>
                <w:sz w:val="6"/>
                <w:szCs w:val="6"/>
                <w:color w:val="auto"/>
              </w:rPr>
            </w:pPr>
          </w:p>
        </w:tc>
        <w:tc>
          <w:tcPr>
            <w:tcW w:w="3580" w:type="dxa"/>
            <w:vAlign w:val="bottom"/>
            <w:shd w:val="clear" w:color="auto" w:fill="E8EEF7"/>
          </w:tcPr>
          <w:p>
            <w:pPr>
              <w:spacing w:after="0"/>
              <w:rPr>
                <w:sz w:val="6"/>
                <w:szCs w:val="6"/>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The Company achieve continuing improvements in a number of areas of the business including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00" w:type="dxa"/>
            <w:vAlign w:val="bottom"/>
            <w:shd w:val="clear" w:color="auto" w:fill="E8EEF7"/>
          </w:tcPr>
          <w:p>
            <w:pPr>
              <w:ind w:left="20"/>
              <w:spacing w:after="0"/>
              <w:rPr>
                <w:sz w:val="20"/>
                <w:szCs w:val="20"/>
                <w:color w:val="auto"/>
              </w:rPr>
            </w:pPr>
            <w:r>
              <w:rPr>
                <w:rFonts w:ascii="Arial" w:cs="Arial" w:eastAsia="Arial" w:hAnsi="Arial"/>
                <w:sz w:val="15"/>
                <w:szCs w:val="15"/>
                <w:color w:val="auto"/>
              </w:rPr>
              <w:t>Executed on the Coastal Gaslink Pipeline ("CGL") contract, on-time and on-</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Increased integrated services revenues by A$87 million with contract renewals</w:t>
            </w:r>
          </w:p>
        </w:tc>
      </w:tr>
      <w:tr>
        <w:trPr>
          <w:trHeight w:val="185"/>
        </w:trPr>
        <w:tc>
          <w:tcPr>
            <w:tcW w:w="5500" w:type="dxa"/>
            <w:vAlign w:val="bottom"/>
            <w:shd w:val="clear" w:color="auto" w:fill="E8EEF7"/>
          </w:tcPr>
          <w:p>
            <w:pPr>
              <w:ind w:left="20"/>
              <w:spacing w:after="0"/>
              <w:rPr>
                <w:sz w:val="20"/>
                <w:szCs w:val="20"/>
                <w:color w:val="auto"/>
              </w:rPr>
            </w:pPr>
            <w:r>
              <w:rPr>
                <w:rFonts w:ascii="Arial" w:cs="Arial" w:eastAsia="Arial" w:hAnsi="Arial"/>
                <w:sz w:val="15"/>
                <w:szCs w:val="15"/>
                <w:color w:val="auto"/>
              </w:rPr>
              <w:t>budget</w:t>
            </w:r>
          </w:p>
        </w:tc>
        <w:tc>
          <w:tcPr>
            <w:tcW w:w="200" w:type="dxa"/>
            <w:vAlign w:val="bottom"/>
          </w:tcPr>
          <w:p>
            <w:pPr>
              <w:spacing w:after="0"/>
              <w:rPr>
                <w:sz w:val="16"/>
                <w:szCs w:val="16"/>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in Australia</w:t>
            </w:r>
          </w:p>
        </w:tc>
      </w:tr>
      <w:tr>
        <w:trPr>
          <w:trHeight w:val="69"/>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r>
        <w:trPr>
          <w:trHeight w:val="90"/>
        </w:trPr>
        <w:tc>
          <w:tcPr>
            <w:tcW w:w="5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tcPr>
          <w:p>
            <w:pPr>
              <w:spacing w:after="0"/>
              <w:rPr>
                <w:sz w:val="7"/>
                <w:szCs w:val="7"/>
                <w:color w:val="auto"/>
              </w:rPr>
            </w:pPr>
          </w:p>
        </w:tc>
      </w:tr>
      <w:tr>
        <w:trPr>
          <w:trHeight w:val="258"/>
        </w:trPr>
        <w:tc>
          <w:tcPr>
            <w:tcW w:w="5500" w:type="dxa"/>
            <w:vAlign w:val="bottom"/>
            <w:shd w:val="clear" w:color="auto" w:fill="E8EEF7"/>
          </w:tcPr>
          <w:p>
            <w:pPr>
              <w:ind w:left="20"/>
              <w:spacing w:after="0"/>
              <w:rPr>
                <w:sz w:val="20"/>
                <w:szCs w:val="20"/>
                <w:color w:val="auto"/>
              </w:rPr>
            </w:pPr>
            <w:r>
              <w:rPr>
                <w:rFonts w:ascii="Arial" w:cs="Arial" w:eastAsia="Arial" w:hAnsi="Arial"/>
                <w:sz w:val="15"/>
                <w:szCs w:val="15"/>
                <w:color w:val="auto"/>
              </w:rPr>
              <w:t>Room nights increased by 15% in Australia in 2020</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Continued strong safety performance across all regions, resulting in a 2020</w:t>
            </w:r>
          </w:p>
        </w:tc>
      </w:tr>
      <w:tr>
        <w:trPr>
          <w:trHeight w:val="185"/>
        </w:trPr>
        <w:tc>
          <w:tcPr>
            <w:tcW w:w="550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5"/>
                <w:szCs w:val="15"/>
                <w:color w:val="auto"/>
              </w:rPr>
              <w:t>Global TRIR of 0.45</w:t>
            </w:r>
          </w:p>
        </w:tc>
      </w:tr>
      <w:tr>
        <w:trPr>
          <w:trHeight w:val="69"/>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r>
        <w:trPr>
          <w:trHeight w:val="317"/>
        </w:trPr>
        <w:tc>
          <w:tcPr>
            <w:tcW w:w="5500" w:type="dxa"/>
            <w:vAlign w:val="bottom"/>
          </w:tcPr>
          <w:p>
            <w:pPr>
              <w:jc w:val="center"/>
              <w:ind w:left="2583"/>
              <w:spacing w:after="0"/>
              <w:rPr>
                <w:sz w:val="20"/>
                <w:szCs w:val="20"/>
                <w:color w:val="auto"/>
              </w:rPr>
            </w:pPr>
            <w:r>
              <w:rPr>
                <w:rFonts w:ascii="Arial" w:cs="Arial" w:eastAsia="Arial" w:hAnsi="Arial"/>
                <w:sz w:val="15"/>
                <w:szCs w:val="15"/>
                <w:b w:val="1"/>
                <w:bCs w:val="1"/>
                <w:color w:val="auto"/>
              </w:rPr>
              <w:t>ADJUSTED EBITDA</w:t>
            </w:r>
          </w:p>
        </w:tc>
        <w:tc>
          <w:tcPr>
            <w:tcW w:w="200" w:type="dxa"/>
            <w:vAlign w:val="bottom"/>
          </w:tcPr>
          <w:p>
            <w:pPr>
              <w:spacing w:after="0"/>
              <w:rPr>
                <w:sz w:val="24"/>
                <w:szCs w:val="24"/>
                <w:color w:val="auto"/>
              </w:rPr>
            </w:pPr>
          </w:p>
        </w:tc>
        <w:tc>
          <w:tcPr>
            <w:tcW w:w="5520" w:type="dxa"/>
            <w:vAlign w:val="bottom"/>
          </w:tcPr>
          <w:p>
            <w:pPr>
              <w:ind w:left="680"/>
              <w:spacing w:after="0"/>
              <w:rPr>
                <w:sz w:val="20"/>
                <w:szCs w:val="20"/>
                <w:color w:val="auto"/>
              </w:rPr>
            </w:pPr>
            <w:r>
              <w:rPr>
                <w:rFonts w:ascii="Arial" w:cs="Arial" w:eastAsia="Arial" w:hAnsi="Arial"/>
                <w:sz w:val="15"/>
                <w:szCs w:val="15"/>
                <w:b w:val="1"/>
                <w:bCs w:val="1"/>
                <w:color w:val="auto"/>
              </w:rPr>
              <w:t>TOTAL RECORDABLE</w:t>
            </w:r>
          </w:p>
        </w:tc>
      </w:tr>
      <w:tr>
        <w:trPr>
          <w:trHeight w:val="203"/>
        </w:trPr>
        <w:tc>
          <w:tcPr>
            <w:tcW w:w="5500" w:type="dxa"/>
            <w:vAlign w:val="bottom"/>
          </w:tcPr>
          <w:p>
            <w:pPr>
              <w:jc w:val="center"/>
              <w:ind w:left="2563"/>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7"/>
                <w:szCs w:val="17"/>
                <w:color w:val="auto"/>
              </w:rPr>
            </w:pPr>
          </w:p>
        </w:tc>
        <w:tc>
          <w:tcPr>
            <w:tcW w:w="5520" w:type="dxa"/>
            <w:vAlign w:val="bottom"/>
          </w:tcPr>
          <w:p>
            <w:pPr>
              <w:ind w:left="900"/>
              <w:spacing w:after="0"/>
              <w:rPr>
                <w:sz w:val="20"/>
                <w:szCs w:val="20"/>
                <w:color w:val="auto"/>
              </w:rPr>
            </w:pPr>
            <w:r>
              <w:rPr>
                <w:rFonts w:ascii="Arial" w:cs="Arial" w:eastAsia="Arial" w:hAnsi="Arial"/>
                <w:sz w:val="15"/>
                <w:szCs w:val="15"/>
                <w:b w:val="1"/>
                <w:bCs w:val="1"/>
                <w:color w:val="auto"/>
              </w:rPr>
              <w:t>INCIDENT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52070</wp:posOffset>
            </wp:positionV>
            <wp:extent cx="3378200" cy="1579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78200" cy="157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Note: Please see the Appendix for a reconciliation of Adjusted EBITDA to GAAP.</w:t>
      </w:r>
    </w:p>
    <w:p>
      <w:pPr>
        <w:spacing w:after="0" w:line="14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CIVEO'S RELATIVE OUTPERFORMANCE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amount Civeo's TSR outperformed the Oilfield Service 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43815</wp:posOffset>
            </wp:positionV>
            <wp:extent cx="2287270" cy="17665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8727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00"/>
        <w:spacing w:after="0" w:line="267" w:lineRule="auto"/>
        <w:rPr>
          <w:sz w:val="20"/>
          <w:szCs w:val="20"/>
          <w:color w:val="auto"/>
        </w:rPr>
      </w:pPr>
      <w:r>
        <w:rPr>
          <w:rFonts w:ascii="Arial" w:cs="Arial" w:eastAsia="Arial" w:hAnsi="Arial"/>
          <w:sz w:val="15"/>
          <w:szCs w:val="15"/>
          <w:color w:val="auto"/>
        </w:rPr>
        <w:t>Note: Please see details of the peer groups over these time periods on page 37. Although TSR was negative for Civeo, the PHLX Oil Service Index and the 2020 Peer Group, Civeo outperformed the broad index and peer group over the one, three and five year periods.</w:t>
      </w:r>
    </w:p>
    <w:p>
      <w:pPr>
        <w:spacing w:after="0" w:line="30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bl>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Shareholder Engagement and Changes to the Compensation Program</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Throughout the year, we meet with our shareholders to solicit their feedback on our performance, capital structure and pay plans as well as to share our perspective. Members of the board of directors and management engaged with shareholders holding over 50% of the company’s fully diluted shares in May, June, July and September 2020 regarding compensation practices, dilution related to the Company’s EPP and the Company’s capital structure. In addition, the Company’s management maintains routine dialogue with its investors regarding operations, strategy, total leverage and quarterly financial results. Throughout 2020, management engaged with shareholders holding over 69% of the company’s fully diluted shares.</w:t>
      </w:r>
    </w:p>
    <w:p>
      <w:pPr>
        <w:spacing w:after="0" w:line="87"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In May 2020, in response to shareholder engagement and the committee’s continuing efforts to instill best practices, the Compensation Committee made the following changes to the Company’s AICP and LTIP. We believe the following changes further align and directly link our executive compensation program with the Company’s performance and will be in the best interests of the Company’s shareholders:</w:t>
      </w:r>
    </w:p>
    <w:p>
      <w:pPr>
        <w:spacing w:after="0" w:line="85" w:lineRule="exact"/>
        <w:rPr>
          <w:sz w:val="20"/>
          <w:szCs w:val="20"/>
          <w:color w:val="auto"/>
        </w:rPr>
      </w:pPr>
    </w:p>
    <w:p>
      <w:pPr>
        <w:ind w:left="620" w:right="280" w:hanging="310"/>
        <w:spacing w:after="0" w:line="255" w:lineRule="auto"/>
        <w:tabs>
          <w:tab w:leader="none" w:pos="5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 the Company’s stated focus on generating cash flow and reducing leverage, the Compensation Committee changed the financial metric under the AICP from EBITDA to free cash flow for 2021. Historically, the target AICP for the Company’s CEO and CFO was weighted 80% to EBITDA and 20% to safety. In 2021, this weighting was changed to 80% free cash flow and 20% safety. The performance goals for the Company’s other NEOs were also similarly revised to include a cash flow metric.</w:t>
      </w:r>
    </w:p>
    <w:p>
      <w:pPr>
        <w:spacing w:after="0" w:line="87" w:lineRule="exact"/>
        <w:rPr>
          <w:rFonts w:ascii="Arial" w:cs="Arial" w:eastAsia="Arial" w:hAnsi="Arial"/>
          <w:sz w:val="15"/>
          <w:szCs w:val="15"/>
          <w:color w:val="auto"/>
        </w:rPr>
      </w:pPr>
    </w:p>
    <w:p>
      <w:pPr>
        <w:ind w:left="620" w:right="340" w:hanging="310"/>
        <w:spacing w:after="0" w:line="267" w:lineRule="auto"/>
        <w:tabs>
          <w:tab w:leader="none" w:pos="5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2021 and subsequent grants, the Compensation Committee has committed to cap all future performance shares at 100% payout (Target) if Civeo's relative TSR over the performance period is negative, irrespective of relative performance.</w:t>
      </w:r>
    </w:p>
    <w:p>
      <w:pPr>
        <w:spacing w:after="0" w:line="77" w:lineRule="exact"/>
        <w:rPr>
          <w:rFonts w:ascii="Arial" w:cs="Arial" w:eastAsia="Arial" w:hAnsi="Arial"/>
          <w:sz w:val="15"/>
          <w:szCs w:val="15"/>
          <w:color w:val="auto"/>
        </w:rPr>
      </w:pPr>
    </w:p>
    <w:p>
      <w:pPr>
        <w:ind w:left="620" w:right="260" w:hanging="310"/>
        <w:spacing w:after="0" w:line="267" w:lineRule="auto"/>
        <w:tabs>
          <w:tab w:leader="none" w:pos="5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Compensation Committee has committed that all future performance share grants will require relative TSR at the 55th percentile to achieve a target payout. In previous performance share grants, relative TSR at the 50th percentile would result in a target payout.</w:t>
      </w:r>
    </w:p>
    <w:p>
      <w:pPr>
        <w:spacing w:after="0" w:line="77" w:lineRule="exact"/>
        <w:rPr>
          <w:rFonts w:ascii="Arial" w:cs="Arial" w:eastAsia="Arial" w:hAnsi="Arial"/>
          <w:sz w:val="15"/>
          <w:szCs w:val="15"/>
          <w:color w:val="auto"/>
        </w:rPr>
      </w:pPr>
    </w:p>
    <w:p>
      <w:pPr>
        <w:ind w:left="620" w:right="20" w:hanging="310"/>
        <w:spacing w:after="0" w:line="258" w:lineRule="auto"/>
        <w:tabs>
          <w:tab w:leader="none" w:pos="5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Executives are required to maintain minimum share ownership levels (as disclosed on page 47 of the Proxy Statement). The Compensation Committee has also adopted a holding period requirement subsequent to vesting of Civeo shares granted as long-term compensation for the NEOs. NEOs must hold at least 50% of the net vested Civeo shares (after tax withholding) for 12 months after the date of vesting.</w:t>
      </w:r>
    </w:p>
    <w:p>
      <w:pPr>
        <w:spacing w:after="0" w:line="84" w:lineRule="exact"/>
        <w:rPr>
          <w:rFonts w:ascii="Arial" w:cs="Arial" w:eastAsia="Arial" w:hAnsi="Arial"/>
          <w:sz w:val="15"/>
          <w:szCs w:val="15"/>
          <w:color w:val="auto"/>
        </w:rPr>
      </w:pPr>
    </w:p>
    <w:p>
      <w:pPr>
        <w:ind w:left="620" w:right="40" w:hanging="310"/>
        <w:spacing w:after="0" w:line="267" w:lineRule="auto"/>
        <w:tabs>
          <w:tab w:leader="none" w:pos="5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Finally, based on shareholder concerns regarding dilution, we did not issue any equity under the EPP in 2020 and directors did not receive Civeo shares as a portion of their compensation.</w:t>
      </w: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Say-On-Pay Vote</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At our 2020 annual meeting, we obtained 88.45% approval by our shareholders casting votes on our Say-on-Pay proposal (excluding abstentions). Our Compensation Committee considered this high level of support in making its compensation-related decisions in 2020, and did not make any specific changes to our compensation program subsequent to the final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142240</wp:posOffset>
            </wp:positionV>
            <wp:extent cx="374650" cy="1873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180"/>
          </w:cols>
          <w:pgMar w:left="320" w:top="123"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Executive Compensation Best Practices</w:t>
      </w:r>
    </w:p>
    <w:p>
      <w:pPr>
        <w:spacing w:after="0" w:line="139" w:lineRule="exact"/>
        <w:rPr>
          <w:sz w:val="20"/>
          <w:szCs w:val="20"/>
          <w:color w:val="auto"/>
        </w:rPr>
      </w:pPr>
    </w:p>
    <w:p>
      <w:pPr>
        <w:ind w:right="320"/>
        <w:spacing w:after="0" w:line="267" w:lineRule="auto"/>
        <w:rPr>
          <w:sz w:val="20"/>
          <w:szCs w:val="20"/>
          <w:color w:val="auto"/>
        </w:rPr>
      </w:pPr>
      <w:r>
        <w:rPr>
          <w:rFonts w:ascii="Arial" w:cs="Arial" w:eastAsia="Arial" w:hAnsi="Arial"/>
          <w:sz w:val="15"/>
          <w:szCs w:val="15"/>
          <w:color w:val="auto"/>
        </w:rPr>
        <w:t>The following table lists key policies and practices of our executive compensation program, which we believe align the interests of management with those of our shareholders and are best practices in compensation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97155</wp:posOffset>
            </wp:positionV>
            <wp:extent cx="455930" cy="4394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5930"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440" w:val="left"/>
        </w:tabs>
        <w:rPr>
          <w:sz w:val="20"/>
          <w:szCs w:val="20"/>
          <w:color w:val="auto"/>
        </w:rPr>
      </w:pPr>
      <w:r>
        <w:rPr>
          <w:rFonts w:ascii="Arial" w:cs="Arial" w:eastAsia="Arial" w:hAnsi="Arial"/>
          <w:sz w:val="21"/>
          <w:szCs w:val="21"/>
          <w:b w:val="1"/>
          <w:bCs w:val="1"/>
          <w:color w:val="006DB6"/>
        </w:rPr>
        <w:t>What We Do</w:t>
      </w:r>
      <w:r>
        <w:rPr>
          <w:sz w:val="20"/>
          <w:szCs w:val="20"/>
          <w:color w:val="auto"/>
        </w:rPr>
        <w:tab/>
      </w:r>
      <w:r>
        <w:rPr>
          <w:rFonts w:ascii="Arial" w:cs="Arial" w:eastAsia="Arial" w:hAnsi="Arial"/>
          <w:sz w:val="19"/>
          <w:szCs w:val="19"/>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39305" cy="24174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9305" cy="24174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190" w:lineRule="exact"/>
        <w:rPr>
          <w:sz w:val="20"/>
          <w:szCs w:val="20"/>
          <w:color w:val="auto"/>
        </w:rPr>
      </w:pPr>
    </w:p>
    <w:p>
      <w:pPr>
        <w:ind w:left="300" w:right="160" w:hanging="210"/>
        <w:spacing w:after="0"/>
        <w:rPr>
          <w:sz w:val="20"/>
          <w:szCs w:val="20"/>
          <w:color w:val="auto"/>
        </w:rPr>
      </w:pPr>
      <w:r>
        <w:rPr>
          <w:sz w:val="1"/>
          <w:szCs w:val="1"/>
          <w:color w:val="auto"/>
        </w:rPr>
        <w:drawing>
          <wp:inline distT="0" distB="0" distL="0" distR="0">
            <wp:extent cx="65405" cy="571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Use an independent consultant to ensure overall executive compensation is market competitive</w:t>
      </w:r>
    </w:p>
    <w:p>
      <w:pPr>
        <w:spacing w:after="0" w:line="69" w:lineRule="exact"/>
        <w:rPr>
          <w:sz w:val="20"/>
          <w:szCs w:val="20"/>
          <w:color w:val="auto"/>
        </w:rPr>
      </w:pPr>
    </w:p>
    <w:p>
      <w:pPr>
        <w:ind w:left="300" w:right="80" w:hanging="210"/>
        <w:spacing w:after="0"/>
        <w:rPr>
          <w:sz w:val="20"/>
          <w:szCs w:val="20"/>
          <w:color w:val="auto"/>
        </w:rPr>
      </w:pPr>
      <w:r>
        <w:rPr>
          <w:sz w:val="1"/>
          <w:szCs w:val="1"/>
          <w:color w:val="auto"/>
        </w:rPr>
        <w:drawing>
          <wp:inline distT="0" distB="0" distL="0" distR="0">
            <wp:extent cx="65405" cy="571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Balanced executive pay mix including long-term incentives, 50% of which are generally performance-based for NEO's, at-risk compensation in relation to share price performance</w:t>
      </w:r>
    </w:p>
    <w:p>
      <w:pPr>
        <w:spacing w:after="0" w:line="57" w:lineRule="exact"/>
        <w:rPr>
          <w:sz w:val="20"/>
          <w:szCs w:val="20"/>
          <w:color w:val="auto"/>
        </w:rPr>
      </w:pPr>
    </w:p>
    <w:p>
      <w:pPr>
        <w:ind w:left="300" w:right="120" w:hanging="210"/>
        <w:spacing w:after="0"/>
        <w:rPr>
          <w:sz w:val="20"/>
          <w:szCs w:val="20"/>
          <w:color w:val="auto"/>
        </w:rPr>
      </w:pPr>
      <w:r>
        <w:rPr>
          <w:sz w:val="1"/>
          <w:szCs w:val="1"/>
          <w:color w:val="auto"/>
        </w:rPr>
        <w:drawing>
          <wp:inline distT="0" distB="0" distL="0" distR="0">
            <wp:extent cx="65405" cy="571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Rigorous performance measures for executive compensation each year, whether absolute or relative, and set performance goals that we believe are reasonable in light of market conditions</w:t>
      </w:r>
    </w:p>
    <w:p>
      <w:pPr>
        <w:spacing w:after="0" w:line="58" w:lineRule="exact"/>
        <w:rPr>
          <w:sz w:val="20"/>
          <w:szCs w:val="20"/>
          <w:color w:val="auto"/>
        </w:rPr>
      </w:pPr>
    </w:p>
    <w:p>
      <w:pPr>
        <w:ind w:left="300" w:hanging="210"/>
        <w:spacing w:after="0"/>
        <w:rPr>
          <w:sz w:val="20"/>
          <w:szCs w:val="20"/>
          <w:color w:val="auto"/>
        </w:rPr>
      </w:pPr>
      <w:r>
        <w:rPr>
          <w:sz w:val="1"/>
          <w:szCs w:val="1"/>
          <w:color w:val="auto"/>
        </w:rPr>
        <w:drawing>
          <wp:inline distT="0" distB="0" distL="0" distR="0">
            <wp:extent cx="65405" cy="571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Maximum award levels as a cap on performance incentives. Beginning in 2021, there is a cap all future performance shares at 100% payout (Target), if Civeo's relative TSR over the performance period is negative, irrespective of relative performance</w:t>
      </w:r>
    </w:p>
    <w:p>
      <w:pPr>
        <w:spacing w:after="0" w:line="69" w:lineRule="exact"/>
        <w:rPr>
          <w:sz w:val="20"/>
          <w:szCs w:val="20"/>
          <w:color w:val="auto"/>
        </w:rPr>
      </w:pPr>
    </w:p>
    <w:p>
      <w:pPr>
        <w:ind w:left="300" w:right="20" w:hanging="210"/>
        <w:spacing w:after="0"/>
        <w:rPr>
          <w:sz w:val="20"/>
          <w:szCs w:val="20"/>
          <w:color w:val="auto"/>
        </w:rPr>
      </w:pPr>
      <w:r>
        <w:rPr>
          <w:sz w:val="1"/>
          <w:szCs w:val="1"/>
          <w:color w:val="auto"/>
        </w:rPr>
        <w:drawing>
          <wp:inline distT="0" distB="0" distL="0" distR="0">
            <wp:extent cx="65405" cy="571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Civeo's clawback policy allows the Company to recoup incentive-based compensation in the case of a significant or material financial restatement, or a restatement resulting from fraud or other misconduct</w:t>
      </w:r>
    </w:p>
    <w:p>
      <w:pPr>
        <w:spacing w:after="0" w:line="57" w:lineRule="exact"/>
        <w:rPr>
          <w:sz w:val="20"/>
          <w:szCs w:val="20"/>
          <w:color w:val="auto"/>
        </w:rPr>
      </w:pPr>
    </w:p>
    <w:p>
      <w:pPr>
        <w:jc w:val="both"/>
        <w:ind w:left="300" w:right="240" w:hanging="210"/>
        <w:spacing w:after="0"/>
        <w:rPr>
          <w:sz w:val="20"/>
          <w:szCs w:val="20"/>
          <w:color w:val="auto"/>
        </w:rPr>
      </w:pPr>
      <w:r>
        <w:rPr>
          <w:sz w:val="1"/>
          <w:szCs w:val="1"/>
          <w:color w:val="auto"/>
        </w:rPr>
        <w:drawing>
          <wp:inline distT="0" distB="0" distL="0" distR="0">
            <wp:extent cx="65405" cy="571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405" cy="57150"/>
                    </a:xfrm>
                    <a:prstGeom prst="rect">
                      <a:avLst/>
                    </a:prstGeom>
                    <a:noFill/>
                    <a:ln>
                      <a:noFill/>
                    </a:ln>
                  </pic:spPr>
                </pic:pic>
              </a:graphicData>
            </a:graphic>
          </wp:inline>
        </w:drawing>
      </w:r>
      <w:r>
        <w:rPr>
          <w:rFonts w:ascii="Arial" w:cs="Arial" w:eastAsia="Arial" w:hAnsi="Arial"/>
          <w:sz w:val="15"/>
          <w:szCs w:val="15"/>
          <w:color w:val="auto"/>
        </w:rPr>
        <w:t xml:space="preserve"> Share ownership policy that requires NEOs to hold at least 50% of the net vested Civeo shares (after tax withholding) for 12 months after the date of vesting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80" w:right="20" w:hanging="185"/>
        <w:spacing w:after="0"/>
        <w:rPr>
          <w:sz w:val="20"/>
          <w:szCs w:val="20"/>
          <w:color w:val="auto"/>
        </w:rPr>
      </w:pPr>
      <w:r>
        <w:rPr>
          <w:sz w:val="1"/>
          <w:szCs w:val="1"/>
          <w:color w:val="auto"/>
        </w:rPr>
        <w:drawing>
          <wp:inline distT="0" distB="0" distL="0" distR="0">
            <wp:extent cx="40640" cy="406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Buying or selling puts, calls or options in respect of our securities, or pledging shares (including holding shares in a margin account) by directors and officers</w:t>
      </w:r>
    </w:p>
    <w:p>
      <w:pPr>
        <w:spacing w:after="0" w:line="71" w:lineRule="exact"/>
        <w:rPr>
          <w:sz w:val="20"/>
          <w:szCs w:val="20"/>
          <w:color w:val="auto"/>
        </w:rPr>
      </w:pPr>
    </w:p>
    <w:p>
      <w:pPr>
        <w:ind w:left="180" w:right="100" w:hanging="185"/>
        <w:spacing w:after="0"/>
        <w:rPr>
          <w:sz w:val="20"/>
          <w:szCs w:val="20"/>
          <w:color w:val="auto"/>
        </w:rPr>
      </w:pPr>
      <w:r>
        <w:rPr>
          <w:sz w:val="1"/>
          <w:szCs w:val="1"/>
          <w:color w:val="auto"/>
        </w:rPr>
        <w:drawing>
          <wp:inline distT="0" distB="0" distL="0" distR="0">
            <wp:extent cx="40640" cy="4064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Excise tax gross-ups in any executive or change of control agreement entered into following our spin-off from Oil States International in May 2014</w:t>
      </w:r>
    </w:p>
    <w:p>
      <w:pPr>
        <w:spacing w:after="0" w:line="58" w:lineRule="exact"/>
        <w:rPr>
          <w:sz w:val="20"/>
          <w:szCs w:val="20"/>
          <w:color w:val="auto"/>
        </w:rPr>
      </w:pPr>
    </w:p>
    <w:p>
      <w:pPr>
        <w:spacing w:after="0"/>
        <w:rPr>
          <w:sz w:val="20"/>
          <w:szCs w:val="20"/>
          <w:color w:val="auto"/>
        </w:rPr>
      </w:pPr>
      <w:r>
        <w:rPr>
          <w:sz w:val="1"/>
          <w:szCs w:val="1"/>
          <w:color w:val="auto"/>
        </w:rPr>
        <w:drawing>
          <wp:inline distT="0" distB="0" distL="0" distR="0">
            <wp:extent cx="40640" cy="4064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Severance multipliers in excess of 3x</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40640" cy="4064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Liberal share recycling in our long-term incentive plan</w:t>
      </w:r>
    </w:p>
    <w:p>
      <w:pPr>
        <w:spacing w:after="0" w:line="84" w:lineRule="exact"/>
        <w:rPr>
          <w:sz w:val="20"/>
          <w:szCs w:val="20"/>
          <w:color w:val="auto"/>
        </w:rPr>
      </w:pPr>
    </w:p>
    <w:p>
      <w:pPr>
        <w:ind w:left="180" w:right="380" w:hanging="185"/>
        <w:spacing w:after="0"/>
        <w:rPr>
          <w:sz w:val="20"/>
          <w:szCs w:val="20"/>
          <w:color w:val="auto"/>
        </w:rPr>
      </w:pPr>
      <w:r>
        <w:rPr>
          <w:sz w:val="1"/>
          <w:szCs w:val="1"/>
          <w:color w:val="auto"/>
        </w:rPr>
        <w:drawing>
          <wp:inline distT="0" distB="0" distL="0" distR="0">
            <wp:extent cx="40640" cy="4064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Repricing of stock options or stock appreciation rights without shareholder approval</w:t>
      </w:r>
    </w:p>
    <w:p>
      <w:pPr>
        <w:spacing w:after="0" w:line="58" w:lineRule="exact"/>
        <w:rPr>
          <w:sz w:val="20"/>
          <w:szCs w:val="20"/>
          <w:color w:val="auto"/>
        </w:rPr>
      </w:pPr>
    </w:p>
    <w:p>
      <w:pPr>
        <w:ind w:right="1060"/>
        <w:spacing w:after="0" w:line="356" w:lineRule="auto"/>
        <w:rPr>
          <w:sz w:val="20"/>
          <w:szCs w:val="20"/>
          <w:color w:val="auto"/>
        </w:rPr>
      </w:pPr>
      <w:r>
        <w:rPr>
          <w:sz w:val="1"/>
          <w:szCs w:val="1"/>
          <w:color w:val="auto"/>
        </w:rPr>
        <w:drawing>
          <wp:inline distT="0" distB="0" distL="0" distR="0">
            <wp:extent cx="40640" cy="4064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Single-trigger vesting of equity awards upon a change of control </w:t>
      </w:r>
      <w:r>
        <w:rPr>
          <w:sz w:val="1"/>
          <w:szCs w:val="1"/>
          <w:color w:val="auto"/>
        </w:rPr>
        <w:drawing>
          <wp:inline distT="0" distB="0" distL="0" distR="0">
            <wp:extent cx="40640" cy="406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15"/>
          <w:szCs w:val="15"/>
          <w:color w:val="auto"/>
        </w:rPr>
        <w:t xml:space="preserve"> Unreasonably long terms for options</w:t>
      </w:r>
    </w:p>
    <w:p>
      <w:pPr>
        <w:spacing w:after="0" w:line="1475" w:lineRule="exact"/>
        <w:rPr>
          <w:sz w:val="20"/>
          <w:szCs w:val="20"/>
          <w:color w:val="auto"/>
        </w:rPr>
      </w:pPr>
    </w:p>
    <w:p>
      <w:pPr>
        <w:sectPr>
          <w:pgSz w:w="11900" w:h="16838" w:orient="portrait"/>
          <w:cols w:equalWidth="0" w:num="2">
            <w:col w:w="5540" w:space="180"/>
            <w:col w:w="5520"/>
          </w:cols>
          <w:pgMar w:left="320" w:top="123" w:right="339" w:bottom="1440" w:gutter="0" w:footer="0" w:header="0"/>
          <w:type w:val="continuous"/>
        </w:sectPr>
      </w:pPr>
    </w:p>
    <w:p>
      <w:pPr>
        <w:ind w:right="740"/>
        <w:spacing w:after="0" w:line="258" w:lineRule="auto"/>
        <w:rPr>
          <w:sz w:val="20"/>
          <w:szCs w:val="20"/>
          <w:color w:val="auto"/>
        </w:rPr>
      </w:pPr>
      <w:r>
        <w:rPr>
          <w:rFonts w:ascii="Arial" w:cs="Arial" w:eastAsia="Arial" w:hAnsi="Arial"/>
          <w:sz w:val="15"/>
          <w:szCs w:val="15"/>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Design and Structure of Executive Compensation</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Our Business and Our Compensation Philosophy</w:t>
      </w:r>
    </w:p>
    <w:p>
      <w:pPr>
        <w:spacing w:after="0" w:line="139"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Civeo’s philosophy regarding its executive compensation programs for named executive officers is to provide a comprehensive and competitive total compensation program with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39305" cy="6184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9305" cy="61849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p>
      <w:pPr>
        <w:spacing w:after="0" w:line="232" w:lineRule="exact"/>
        <w:rPr>
          <w:sz w:val="20"/>
          <w:szCs w:val="20"/>
          <w:color w:val="auto"/>
        </w:rPr>
      </w:pPr>
    </w:p>
    <w:p>
      <w:pPr>
        <w:ind w:left="100"/>
        <w:spacing w:after="0" w:line="255" w:lineRule="auto"/>
        <w:rPr>
          <w:sz w:val="20"/>
          <w:szCs w:val="20"/>
          <w:color w:val="auto"/>
        </w:rPr>
      </w:pPr>
      <w:r>
        <w:rPr>
          <w:rFonts w:ascii="Arial" w:cs="Arial" w:eastAsia="Arial" w:hAnsi="Arial"/>
          <w:sz w:val="15"/>
          <w:szCs w:val="15"/>
          <w:color w:val="auto"/>
        </w:rPr>
        <w:t>To attract, motivate, reward and retain executives with the experience and talent to achieve our short-term goals and objectives and successfully execute our longer-term strategic plans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To reinforce the linkage between individual performance of executives and business results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To align the interests of executives with the long-term interests of our shareholders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To ensure compensation does not promote overly conservative actions nor excessive risk taking</w:t>
      </w:r>
    </w:p>
    <w:p>
      <w:pPr>
        <w:spacing w:after="0" w:line="376" w:lineRule="exact"/>
        <w:rPr>
          <w:sz w:val="20"/>
          <w:szCs w:val="20"/>
          <w:color w:val="auto"/>
        </w:rPr>
      </w:pPr>
    </w:p>
    <w:p>
      <w:pPr>
        <w:sectPr>
          <w:pgSz w:w="11900" w:h="16838" w:orient="portrait"/>
          <w:cols w:equalWidth="0" w:num="4">
            <w:col w:w="3600" w:space="400"/>
            <w:col w:w="1820" w:space="520"/>
            <w:col w:w="1680" w:space="660"/>
            <w:col w:w="2560"/>
          </w:cols>
          <w:pgMar w:left="320" w:top="123" w:right="339" w:bottom="1440" w:gutter="0" w:footer="0" w:header="0"/>
          <w:type w:val="continuous"/>
        </w:sectPr>
      </w:pPr>
    </w:p>
    <w:p>
      <w:pPr>
        <w:spacing w:after="0" w:line="16"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bl>
    <w:p>
      <w:pPr>
        <w:sectPr>
          <w:pgSz w:w="11900" w:h="16838" w:orient="portrait"/>
          <w:cols w:equalWidth="0" w:num="1">
            <w:col w:w="11240"/>
          </w:cols>
          <w:pgMar w:left="320" w:top="12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Peer Group and Benchmarking</w:t>
      </w:r>
    </w:p>
    <w:p>
      <w:pPr>
        <w:spacing w:after="0" w:line="139"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The Compensation Committee, with the assistance of Mercer, uses a peer group of companies with similar customers and activity drivers to Civeo to benchmark executive compensation. The peer group includes companies serving oil and gas, mining and other natural resource companies. These peers typically will be exposed to the cyclical nature of the natural resources market that impacts Civeo’s business and financial results.</w:t>
      </w: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primary review and selection criteria for the peer group includes the following: revenue size, market value, enterprise value, number of employees, business/operational characteristics and geographic footprint. The graphic below summarizes the 2020 peer group based on these metrics* (US dollars in millions).</w:t>
      </w:r>
    </w:p>
    <w:p>
      <w:pPr>
        <w:spacing w:after="0" w:line="302" w:lineRule="exact"/>
        <w:rPr>
          <w:sz w:val="20"/>
          <w:szCs w:val="20"/>
          <w:color w:val="auto"/>
        </w:rPr>
      </w:pPr>
    </w:p>
    <w:p>
      <w:pPr>
        <w:ind w:left="3320"/>
        <w:spacing w:after="0"/>
        <w:tabs>
          <w:tab w:leader="none" w:pos="6500" w:val="left"/>
          <w:tab w:leader="none" w:pos="9280" w:val="left"/>
        </w:tabs>
        <w:rPr>
          <w:sz w:val="20"/>
          <w:szCs w:val="20"/>
          <w:color w:val="auto"/>
        </w:rPr>
      </w:pPr>
      <w:r>
        <w:rPr>
          <w:rFonts w:ascii="Arial" w:cs="Arial" w:eastAsia="Arial" w:hAnsi="Arial"/>
          <w:sz w:val="14"/>
          <w:szCs w:val="14"/>
          <w:b w:val="1"/>
          <w:bCs w:val="1"/>
          <w:color w:val="706F6F"/>
        </w:rPr>
        <w:t>25</w:t>
      </w:r>
      <w:r>
        <w:rPr>
          <w:rFonts w:ascii="Arial" w:cs="Arial" w:eastAsia="Arial" w:hAnsi="Arial"/>
          <w:sz w:val="17"/>
          <w:szCs w:val="17"/>
          <w:b w:val="1"/>
          <w:bCs w:val="1"/>
          <w:color w:val="706F6F"/>
          <w:vertAlign w:val="superscript"/>
        </w:rPr>
        <w:t>th</w:t>
      </w:r>
      <w:r>
        <w:rPr>
          <w:rFonts w:ascii="Arial" w:cs="Arial" w:eastAsia="Arial" w:hAnsi="Arial"/>
          <w:sz w:val="14"/>
          <w:szCs w:val="14"/>
          <w:b w:val="1"/>
          <w:bCs w:val="1"/>
          <w:color w:val="706F6F"/>
        </w:rPr>
        <w:t xml:space="preserve"> Percentile</w:t>
      </w:r>
      <w:r>
        <w:rPr>
          <w:sz w:val="20"/>
          <w:szCs w:val="20"/>
          <w:color w:val="auto"/>
        </w:rPr>
        <w:tab/>
      </w:r>
      <w:r>
        <w:rPr>
          <w:rFonts w:ascii="Arial" w:cs="Arial" w:eastAsia="Arial" w:hAnsi="Arial"/>
          <w:sz w:val="27"/>
          <w:szCs w:val="27"/>
          <w:b w:val="1"/>
          <w:bCs w:val="1"/>
          <w:color w:val="706F6F"/>
          <w:vertAlign w:val="subscript"/>
        </w:rPr>
        <w:t>Median</w:t>
      </w:r>
      <w:r>
        <w:rPr>
          <w:sz w:val="20"/>
          <w:szCs w:val="20"/>
          <w:color w:val="auto"/>
        </w:rPr>
        <w:tab/>
      </w:r>
      <w:r>
        <w:rPr>
          <w:rFonts w:ascii="Arial" w:cs="Arial" w:eastAsia="Arial" w:hAnsi="Arial"/>
          <w:sz w:val="12"/>
          <w:szCs w:val="12"/>
          <w:b w:val="1"/>
          <w:bCs w:val="1"/>
          <w:color w:val="706F6F"/>
        </w:rPr>
        <w:t>75</w:t>
      </w:r>
      <w:r>
        <w:rPr>
          <w:rFonts w:ascii="Arial" w:cs="Arial" w:eastAsia="Arial" w:hAnsi="Arial"/>
          <w:sz w:val="15"/>
          <w:szCs w:val="15"/>
          <w:b w:val="1"/>
          <w:bCs w:val="1"/>
          <w:color w:val="706F6F"/>
          <w:vertAlign w:val="superscript"/>
        </w:rPr>
        <w:t>th</w:t>
      </w:r>
      <w:r>
        <w:rPr>
          <w:rFonts w:ascii="Arial" w:cs="Arial" w:eastAsia="Arial" w:hAnsi="Arial"/>
          <w:sz w:val="12"/>
          <w:szCs w:val="12"/>
          <w:b w:val="1"/>
          <w:bCs w:val="1"/>
          <w:color w:val="706F6F"/>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41910</wp:posOffset>
            </wp:positionV>
            <wp:extent cx="569023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90235" cy="1651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123190</wp:posOffset>
            </wp:positionV>
            <wp:extent cx="4477385" cy="569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77385" cy="569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REVENUE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706F6F"/>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MARKET VALUE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706F6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353060</wp:posOffset>
            </wp:positionV>
            <wp:extent cx="4477385" cy="651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773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ENTERPRISE VALUE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706F6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353060</wp:posOffset>
            </wp:positionV>
            <wp:extent cx="4477385" cy="569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77385"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ASSETS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706F6F"/>
        </w:rPr>
        <w:t>(in millions)</w:t>
      </w:r>
    </w:p>
    <w:p>
      <w:pPr>
        <w:spacing w:after="0" w:line="200" w:lineRule="exact"/>
        <w:rPr>
          <w:sz w:val="20"/>
          <w:szCs w:val="20"/>
          <w:color w:val="auto"/>
        </w:rPr>
      </w:pPr>
    </w:p>
    <w:p>
      <w:pPr>
        <w:spacing w:after="0" w:line="246" w:lineRule="exact"/>
        <w:rPr>
          <w:sz w:val="20"/>
          <w:szCs w:val="20"/>
          <w:color w:val="auto"/>
        </w:rPr>
      </w:pPr>
    </w:p>
    <w:p>
      <w:pPr>
        <w:ind w:left="240" w:hanging="237"/>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Financial information at the time the peer group was reviewed in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3322320</wp:posOffset>
            </wp:positionV>
            <wp:extent cx="374650" cy="1873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100"/>
          </w:cols>
          <w:pgMar w:left="320" w:top="123" w:right="47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PEER GROUP</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In late 2019, Mercer reviewed Civeo’s peer group of companies used for 2020 benchmarking purposes to assess the ongoing competitiveness and suitability of Civeo’s compensation programs and practices. Following that review, Mercer recommended that Pioneer Energy Services Corp. be removed as a result of its delisting from the NYSE. Further, Mercer recommended that Quintana Energy Services Inc. be added to the peer group based on its serving the oil and gas industry and comparability with other companies in the peer group. The Compensation Committee approved these changes to the peer group, and it was used by the Compensation Committee for compensation evaluation purposes for 2020.</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79"/>
        </w:trPr>
        <w:tc>
          <w:tcPr>
            <w:tcW w:w="2940" w:type="dxa"/>
            <w:vAlign w:val="bottom"/>
            <w:tcBorders>
              <w:top w:val="single" w:sz="8" w:color="706F6F"/>
              <w:left w:val="single" w:sz="8" w:color="706F6F"/>
            </w:tcBorders>
            <w:gridSpan w:val="2"/>
          </w:tcPr>
          <w:p>
            <w:pPr>
              <w:ind w:left="160"/>
              <w:spacing w:after="0"/>
              <w:rPr>
                <w:sz w:val="20"/>
                <w:szCs w:val="20"/>
                <w:color w:val="auto"/>
              </w:rPr>
            </w:pPr>
            <w:r>
              <w:rPr>
                <w:rFonts w:ascii="Arial" w:cs="Arial" w:eastAsia="Arial" w:hAnsi="Arial"/>
                <w:sz w:val="15"/>
                <w:szCs w:val="15"/>
                <w:color w:val="auto"/>
              </w:rPr>
              <w:t>Basic Energy Services Inc.</w:t>
            </w:r>
          </w:p>
        </w:tc>
        <w:tc>
          <w:tcPr>
            <w:tcW w:w="2620" w:type="dxa"/>
            <w:vAlign w:val="bottom"/>
            <w:tcBorders>
              <w:top w:val="single" w:sz="8" w:color="706F6F"/>
            </w:tcBorders>
            <w:gridSpan w:val="3"/>
          </w:tcPr>
          <w:p>
            <w:pPr>
              <w:ind w:left="580"/>
              <w:spacing w:after="0"/>
              <w:rPr>
                <w:sz w:val="20"/>
                <w:szCs w:val="20"/>
                <w:color w:val="auto"/>
              </w:rPr>
            </w:pPr>
            <w:r>
              <w:rPr>
                <w:rFonts w:ascii="Arial" w:cs="Arial" w:eastAsia="Arial" w:hAnsi="Arial"/>
                <w:sz w:val="15"/>
                <w:szCs w:val="15"/>
                <w:color w:val="auto"/>
              </w:rPr>
              <w:t>Newpark Resources Inc.</w:t>
            </w:r>
          </w:p>
        </w:tc>
        <w:tc>
          <w:tcPr>
            <w:tcW w:w="460" w:type="dxa"/>
            <w:vAlign w:val="bottom"/>
            <w:tcBorders>
              <w:top w:val="single" w:sz="8" w:color="706F6F"/>
            </w:tcBorders>
          </w:tcPr>
          <w:p>
            <w:pPr>
              <w:spacing w:after="0"/>
              <w:rPr>
                <w:sz w:val="24"/>
                <w:szCs w:val="24"/>
                <w:color w:val="auto"/>
              </w:rPr>
            </w:pPr>
          </w:p>
        </w:tc>
        <w:tc>
          <w:tcPr>
            <w:tcW w:w="4220" w:type="dxa"/>
            <w:vAlign w:val="bottom"/>
            <w:tcBorders>
              <w:top w:val="single" w:sz="8" w:color="706F6F"/>
            </w:tcBorders>
            <w:gridSpan w:val="2"/>
          </w:tcPr>
          <w:p>
            <w:pPr>
              <w:ind w:left="1080"/>
              <w:spacing w:after="0"/>
              <w:rPr>
                <w:sz w:val="20"/>
                <w:szCs w:val="20"/>
                <w:color w:val="auto"/>
              </w:rPr>
            </w:pPr>
            <w:r>
              <w:rPr>
                <w:rFonts w:ascii="Arial" w:cs="Arial" w:eastAsia="Arial" w:hAnsi="Arial"/>
                <w:sz w:val="15"/>
                <w:szCs w:val="15"/>
                <w:color w:val="auto"/>
              </w:rPr>
              <w:t>Source Energy Services Ltd.</w:t>
            </w:r>
          </w:p>
        </w:tc>
        <w:tc>
          <w:tcPr>
            <w:tcW w:w="20" w:type="dxa"/>
            <w:vAlign w:val="bottom"/>
            <w:tcBorders>
              <w:top w:val="single" w:sz="8" w:color="706F6F"/>
            </w:tcBorders>
            <w:shd w:val="clear" w:color="auto" w:fill="706F6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40" w:type="dxa"/>
            <w:vAlign w:val="bottom"/>
            <w:tcBorders>
              <w:left w:val="single" w:sz="8" w:color="706F6F"/>
            </w:tcBorders>
            <w:gridSpan w:val="2"/>
          </w:tcPr>
          <w:p>
            <w:pPr>
              <w:ind w:left="160"/>
              <w:spacing w:after="0"/>
              <w:rPr>
                <w:sz w:val="20"/>
                <w:szCs w:val="20"/>
                <w:color w:val="auto"/>
              </w:rPr>
            </w:pPr>
            <w:r>
              <w:rPr>
                <w:rFonts w:ascii="Arial" w:cs="Arial" w:eastAsia="Arial" w:hAnsi="Arial"/>
                <w:sz w:val="15"/>
                <w:szCs w:val="15"/>
                <w:color w:val="auto"/>
              </w:rPr>
              <w:t>Black Diamond Group Ltd.</w:t>
            </w:r>
          </w:p>
        </w:tc>
        <w:tc>
          <w:tcPr>
            <w:tcW w:w="2620" w:type="dxa"/>
            <w:vAlign w:val="bottom"/>
            <w:gridSpan w:val="3"/>
          </w:tcPr>
          <w:p>
            <w:pPr>
              <w:ind w:left="580"/>
              <w:spacing w:after="0"/>
              <w:rPr>
                <w:sz w:val="20"/>
                <w:szCs w:val="20"/>
                <w:color w:val="auto"/>
              </w:rPr>
            </w:pPr>
            <w:r>
              <w:rPr>
                <w:rFonts w:ascii="Arial" w:cs="Arial" w:eastAsia="Arial" w:hAnsi="Arial"/>
                <w:sz w:val="15"/>
                <w:szCs w:val="15"/>
                <w:color w:val="auto"/>
              </w:rPr>
              <w:t>Nine Energy Service, Inc.</w:t>
            </w:r>
          </w:p>
        </w:tc>
        <w:tc>
          <w:tcPr>
            <w:tcW w:w="460" w:type="dxa"/>
            <w:vAlign w:val="bottom"/>
          </w:tcPr>
          <w:p>
            <w:pPr>
              <w:spacing w:after="0"/>
              <w:rPr>
                <w:sz w:val="22"/>
                <w:szCs w:val="22"/>
                <w:color w:val="auto"/>
              </w:rPr>
            </w:pPr>
          </w:p>
        </w:tc>
        <w:tc>
          <w:tcPr>
            <w:tcW w:w="4220" w:type="dxa"/>
            <w:vAlign w:val="bottom"/>
            <w:gridSpan w:val="2"/>
          </w:tcPr>
          <w:p>
            <w:pPr>
              <w:ind w:left="1080"/>
              <w:spacing w:after="0"/>
              <w:rPr>
                <w:sz w:val="20"/>
                <w:szCs w:val="20"/>
                <w:color w:val="auto"/>
              </w:rPr>
            </w:pPr>
            <w:r>
              <w:rPr>
                <w:rFonts w:ascii="Arial" w:cs="Arial" w:eastAsia="Arial" w:hAnsi="Arial"/>
                <w:sz w:val="15"/>
                <w:szCs w:val="15"/>
                <w:color w:val="auto"/>
              </w:rPr>
              <w:t>STEP Energy Services Ltd.</w:t>
            </w:r>
          </w:p>
        </w:tc>
        <w:tc>
          <w:tcPr>
            <w:tcW w:w="20" w:type="dxa"/>
            <w:vAlign w:val="bottom"/>
            <w:shd w:val="clear" w:color="auto" w:fill="706F6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706F6F"/>
            </w:tcBorders>
            <w:gridSpan w:val="2"/>
          </w:tcPr>
          <w:p>
            <w:pPr>
              <w:ind w:left="160"/>
              <w:spacing w:after="0"/>
              <w:rPr>
                <w:sz w:val="20"/>
                <w:szCs w:val="20"/>
                <w:color w:val="auto"/>
              </w:rPr>
            </w:pPr>
            <w:r>
              <w:rPr>
                <w:rFonts w:ascii="Arial" w:cs="Arial" w:eastAsia="Arial" w:hAnsi="Arial"/>
                <w:sz w:val="15"/>
                <w:szCs w:val="15"/>
                <w:color w:val="auto"/>
              </w:rPr>
              <w:t>Dexterra Group</w:t>
            </w:r>
          </w:p>
        </w:tc>
        <w:tc>
          <w:tcPr>
            <w:tcW w:w="2620" w:type="dxa"/>
            <w:vAlign w:val="bottom"/>
            <w:gridSpan w:val="3"/>
          </w:tcPr>
          <w:p>
            <w:pPr>
              <w:ind w:left="580"/>
              <w:spacing w:after="0"/>
              <w:rPr>
                <w:sz w:val="20"/>
                <w:szCs w:val="20"/>
                <w:color w:val="auto"/>
              </w:rPr>
            </w:pPr>
            <w:r>
              <w:rPr>
                <w:rFonts w:ascii="Arial" w:cs="Arial" w:eastAsia="Arial" w:hAnsi="Arial"/>
                <w:sz w:val="15"/>
                <w:szCs w:val="15"/>
                <w:color w:val="auto"/>
              </w:rPr>
              <w:t>Oil States International Inc.</w:t>
            </w:r>
          </w:p>
        </w:tc>
        <w:tc>
          <w:tcPr>
            <w:tcW w:w="460" w:type="dxa"/>
            <w:vAlign w:val="bottom"/>
          </w:tcPr>
          <w:p>
            <w:pPr>
              <w:spacing w:after="0"/>
              <w:rPr>
                <w:sz w:val="21"/>
                <w:szCs w:val="21"/>
                <w:color w:val="auto"/>
              </w:rPr>
            </w:pPr>
          </w:p>
        </w:tc>
        <w:tc>
          <w:tcPr>
            <w:tcW w:w="4220" w:type="dxa"/>
            <w:vAlign w:val="bottom"/>
            <w:gridSpan w:val="2"/>
          </w:tcPr>
          <w:p>
            <w:pPr>
              <w:ind w:left="1080"/>
              <w:spacing w:after="0"/>
              <w:rPr>
                <w:sz w:val="20"/>
                <w:szCs w:val="20"/>
                <w:color w:val="auto"/>
              </w:rPr>
            </w:pPr>
            <w:r>
              <w:rPr>
                <w:rFonts w:ascii="Arial" w:cs="Arial" w:eastAsia="Arial" w:hAnsi="Arial"/>
                <w:sz w:val="15"/>
                <w:szCs w:val="15"/>
                <w:color w:val="auto"/>
              </w:rPr>
              <w:t>TETRA Technologies Inc.</w:t>
            </w:r>
          </w:p>
        </w:tc>
        <w:tc>
          <w:tcPr>
            <w:tcW w:w="20" w:type="dxa"/>
            <w:vAlign w:val="bottom"/>
            <w:shd w:val="clear" w:color="auto" w:fill="706F6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706F6F"/>
            </w:tcBorders>
            <w:gridSpan w:val="2"/>
          </w:tcPr>
          <w:p>
            <w:pPr>
              <w:ind w:left="160"/>
              <w:spacing w:after="0"/>
              <w:rPr>
                <w:sz w:val="20"/>
                <w:szCs w:val="20"/>
                <w:color w:val="auto"/>
              </w:rPr>
            </w:pPr>
            <w:r>
              <w:rPr>
                <w:rFonts w:ascii="Arial" w:cs="Arial" w:eastAsia="Arial" w:hAnsi="Arial"/>
                <w:sz w:val="15"/>
                <w:szCs w:val="15"/>
                <w:color w:val="auto"/>
              </w:rPr>
              <w:t>Exterran Corp.</w:t>
            </w:r>
          </w:p>
        </w:tc>
        <w:tc>
          <w:tcPr>
            <w:tcW w:w="3080" w:type="dxa"/>
            <w:vAlign w:val="bottom"/>
            <w:gridSpan w:val="4"/>
          </w:tcPr>
          <w:p>
            <w:pPr>
              <w:ind w:left="580"/>
              <w:spacing w:after="0"/>
              <w:rPr>
                <w:sz w:val="20"/>
                <w:szCs w:val="20"/>
                <w:color w:val="auto"/>
              </w:rPr>
            </w:pPr>
            <w:r>
              <w:rPr>
                <w:rFonts w:ascii="Arial" w:cs="Arial" w:eastAsia="Arial" w:hAnsi="Arial"/>
                <w:sz w:val="15"/>
                <w:szCs w:val="15"/>
                <w:color w:val="auto"/>
              </w:rPr>
              <w:t>Pioneer Energy Services Corp.</w:t>
            </w:r>
          </w:p>
        </w:tc>
        <w:tc>
          <w:tcPr>
            <w:tcW w:w="4220" w:type="dxa"/>
            <w:vAlign w:val="bottom"/>
            <w:gridSpan w:val="2"/>
          </w:tcPr>
          <w:p>
            <w:pPr>
              <w:ind w:left="1080"/>
              <w:spacing w:after="0"/>
              <w:rPr>
                <w:sz w:val="20"/>
                <w:szCs w:val="20"/>
                <w:color w:val="auto"/>
              </w:rPr>
            </w:pPr>
            <w:r>
              <w:rPr>
                <w:rFonts w:ascii="Arial" w:cs="Arial" w:eastAsia="Arial" w:hAnsi="Arial"/>
                <w:sz w:val="15"/>
                <w:szCs w:val="15"/>
                <w:color w:val="auto"/>
              </w:rPr>
              <w:t>Total Energy Services Inc.</w:t>
            </w:r>
          </w:p>
        </w:tc>
        <w:tc>
          <w:tcPr>
            <w:tcW w:w="20" w:type="dxa"/>
            <w:vAlign w:val="bottom"/>
            <w:shd w:val="clear" w:color="auto" w:fill="706F6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706F6F"/>
            </w:tcBorders>
            <w:gridSpan w:val="2"/>
          </w:tcPr>
          <w:p>
            <w:pPr>
              <w:ind w:left="160"/>
              <w:spacing w:after="0"/>
              <w:rPr>
                <w:sz w:val="20"/>
                <w:szCs w:val="20"/>
                <w:color w:val="auto"/>
              </w:rPr>
            </w:pPr>
            <w:r>
              <w:rPr>
                <w:rFonts w:ascii="Arial" w:cs="Arial" w:eastAsia="Arial" w:hAnsi="Arial"/>
                <w:sz w:val="15"/>
                <w:szCs w:val="15"/>
                <w:color w:val="auto"/>
              </w:rPr>
              <w:t>Forum Energy Technologies Inc.</w:t>
            </w:r>
          </w:p>
        </w:tc>
        <w:tc>
          <w:tcPr>
            <w:tcW w:w="2620" w:type="dxa"/>
            <w:vAlign w:val="bottom"/>
            <w:gridSpan w:val="3"/>
          </w:tcPr>
          <w:p>
            <w:pPr>
              <w:ind w:left="580"/>
              <w:spacing w:after="0"/>
              <w:rPr>
                <w:sz w:val="20"/>
                <w:szCs w:val="20"/>
                <w:color w:val="auto"/>
              </w:rPr>
            </w:pPr>
            <w:r>
              <w:rPr>
                <w:rFonts w:ascii="Arial" w:cs="Arial" w:eastAsia="Arial" w:hAnsi="Arial"/>
                <w:sz w:val="15"/>
                <w:szCs w:val="15"/>
                <w:color w:val="auto"/>
              </w:rPr>
              <w:t>Precision Drilling Corp.</w:t>
            </w:r>
          </w:p>
        </w:tc>
        <w:tc>
          <w:tcPr>
            <w:tcW w:w="460" w:type="dxa"/>
            <w:vAlign w:val="bottom"/>
          </w:tcPr>
          <w:p>
            <w:pPr>
              <w:spacing w:after="0"/>
              <w:rPr>
                <w:sz w:val="21"/>
                <w:szCs w:val="21"/>
                <w:color w:val="auto"/>
              </w:rPr>
            </w:pPr>
          </w:p>
        </w:tc>
        <w:tc>
          <w:tcPr>
            <w:tcW w:w="4220" w:type="dxa"/>
            <w:vAlign w:val="bottom"/>
            <w:gridSpan w:val="2"/>
          </w:tcPr>
          <w:p>
            <w:pPr>
              <w:ind w:left="1080"/>
              <w:spacing w:after="0"/>
              <w:rPr>
                <w:sz w:val="20"/>
                <w:szCs w:val="20"/>
                <w:color w:val="auto"/>
              </w:rPr>
            </w:pPr>
            <w:r>
              <w:rPr>
                <w:rFonts w:ascii="Arial" w:cs="Arial" w:eastAsia="Arial" w:hAnsi="Arial"/>
                <w:sz w:val="15"/>
                <w:szCs w:val="15"/>
                <w:color w:val="auto"/>
              </w:rPr>
              <w:t>Unit Corp.</w:t>
            </w:r>
          </w:p>
        </w:tc>
        <w:tc>
          <w:tcPr>
            <w:tcW w:w="20" w:type="dxa"/>
            <w:vAlign w:val="bottom"/>
            <w:shd w:val="clear" w:color="auto" w:fill="706F6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40" w:type="dxa"/>
            <w:vAlign w:val="bottom"/>
            <w:tcBorders>
              <w:left w:val="single" w:sz="8" w:color="706F6F"/>
            </w:tcBorders>
            <w:gridSpan w:val="2"/>
          </w:tcPr>
          <w:p>
            <w:pPr>
              <w:ind w:left="160"/>
              <w:spacing w:after="0"/>
              <w:rPr>
                <w:sz w:val="20"/>
                <w:szCs w:val="20"/>
                <w:color w:val="auto"/>
              </w:rPr>
            </w:pPr>
            <w:r>
              <w:rPr>
                <w:rFonts w:ascii="Arial" w:cs="Arial" w:eastAsia="Arial" w:hAnsi="Arial"/>
                <w:sz w:val="15"/>
                <w:szCs w:val="15"/>
                <w:color w:val="auto"/>
              </w:rPr>
              <w:t>Matrix Service Company</w:t>
            </w:r>
          </w:p>
        </w:tc>
        <w:tc>
          <w:tcPr>
            <w:tcW w:w="2620" w:type="dxa"/>
            <w:vAlign w:val="bottom"/>
            <w:gridSpan w:val="3"/>
          </w:tcPr>
          <w:p>
            <w:pPr>
              <w:ind w:left="580"/>
              <w:spacing w:after="0"/>
              <w:rPr>
                <w:sz w:val="20"/>
                <w:szCs w:val="20"/>
                <w:color w:val="auto"/>
              </w:rPr>
            </w:pPr>
            <w:r>
              <w:rPr>
                <w:rFonts w:ascii="Arial" w:cs="Arial" w:eastAsia="Arial" w:hAnsi="Arial"/>
                <w:sz w:val="15"/>
                <w:szCs w:val="15"/>
                <w:color w:val="auto"/>
              </w:rPr>
              <w:t>Select Energy Services, Inc.</w:t>
            </w:r>
          </w:p>
        </w:tc>
        <w:tc>
          <w:tcPr>
            <w:tcW w:w="4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shd w:val="clear" w:color="auto" w:fill="706F6F"/>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706F6F"/>
            </w:tcBorders>
          </w:tcPr>
          <w:p>
            <w:pPr>
              <w:spacing w:after="0"/>
              <w:rPr>
                <w:sz w:val="16"/>
                <w:szCs w:val="16"/>
                <w:color w:val="auto"/>
              </w:rPr>
            </w:pPr>
          </w:p>
        </w:tc>
        <w:tc>
          <w:tcPr>
            <w:tcW w:w="41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4220" w:type="dxa"/>
            <w:vAlign w:val="bottom"/>
            <w:gridSpan w:val="2"/>
          </w:tcPr>
          <w:p>
            <w:pPr>
              <w:spacing w:after="0"/>
              <w:rPr>
                <w:sz w:val="16"/>
                <w:szCs w:val="16"/>
                <w:color w:val="auto"/>
              </w:rPr>
            </w:pPr>
          </w:p>
        </w:tc>
        <w:tc>
          <w:tcPr>
            <w:tcW w:w="20" w:type="dxa"/>
            <w:vAlign w:val="bottom"/>
            <w:shd w:val="clear" w:color="auto" w:fill="706F6F"/>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380" w:type="dxa"/>
            <w:vAlign w:val="bottom"/>
            <w:tcBorders>
              <w:left w:val="single" w:sz="8" w:color="706F6F"/>
              <w:bottom w:val="single" w:sz="8" w:color="706F6F"/>
              <w:right w:val="single" w:sz="8" w:color="706F6F"/>
            </w:tcBorders>
          </w:tcPr>
          <w:p>
            <w:pPr>
              <w:spacing w:after="0"/>
              <w:rPr>
                <w:sz w:val="7"/>
                <w:szCs w:val="7"/>
                <w:color w:val="auto"/>
              </w:rPr>
            </w:pPr>
          </w:p>
        </w:tc>
        <w:tc>
          <w:tcPr>
            <w:tcW w:w="2920" w:type="dxa"/>
            <w:vAlign w:val="bottom"/>
            <w:tcBorders>
              <w:top w:val="single" w:sz="8" w:color="706F6F"/>
              <w:bottom w:val="single" w:sz="8" w:color="706F6F"/>
              <w:right w:val="single" w:sz="8" w:color="706F6F"/>
            </w:tcBorders>
            <w:gridSpan w:val="2"/>
            <w:vMerge w:val="restart"/>
          </w:tcPr>
          <w:p>
            <w:pPr>
              <w:ind w:left="100"/>
              <w:spacing w:after="0"/>
              <w:rPr>
                <w:sz w:val="20"/>
                <w:szCs w:val="20"/>
                <w:color w:val="auto"/>
              </w:rPr>
            </w:pPr>
            <w:r>
              <w:rPr>
                <w:rFonts w:ascii="Arial" w:cs="Arial" w:eastAsia="Arial" w:hAnsi="Arial"/>
                <w:sz w:val="21"/>
                <w:szCs w:val="21"/>
                <w:b w:val="1"/>
                <w:bCs w:val="1"/>
                <w:color w:val="706F6F"/>
              </w:rPr>
              <w:t xml:space="preserve">− </w:t>
            </w:r>
            <w:r>
              <w:rPr>
                <w:rFonts w:ascii="Arial" w:cs="Arial" w:eastAsia="Arial" w:hAnsi="Arial"/>
                <w:sz w:val="15"/>
                <w:szCs w:val="15"/>
                <w:color w:val="000000"/>
              </w:rPr>
              <w:t>Pioneer Energy Services Corp.</w:t>
            </w:r>
          </w:p>
        </w:tc>
        <w:tc>
          <w:tcPr>
            <w:tcW w:w="900" w:type="dxa"/>
            <w:vAlign w:val="bottom"/>
            <w:tcBorders>
              <w:bottom w:val="single" w:sz="8" w:color="706F6F"/>
              <w:right w:val="single" w:sz="8" w:color="FFC03C"/>
            </w:tcBorders>
          </w:tcPr>
          <w:p>
            <w:pPr>
              <w:spacing w:after="0"/>
              <w:rPr>
                <w:sz w:val="7"/>
                <w:szCs w:val="7"/>
                <w:color w:val="auto"/>
              </w:rPr>
            </w:pPr>
          </w:p>
        </w:tc>
        <w:tc>
          <w:tcPr>
            <w:tcW w:w="360" w:type="dxa"/>
            <w:vAlign w:val="bottom"/>
            <w:tcBorders>
              <w:top w:val="single" w:sz="8" w:color="FFC03C"/>
            </w:tcBorders>
          </w:tcPr>
          <w:p>
            <w:pPr>
              <w:spacing w:after="0"/>
              <w:rPr>
                <w:sz w:val="7"/>
                <w:szCs w:val="7"/>
                <w:color w:val="auto"/>
              </w:rPr>
            </w:pPr>
          </w:p>
        </w:tc>
        <w:tc>
          <w:tcPr>
            <w:tcW w:w="460" w:type="dxa"/>
            <w:vAlign w:val="bottom"/>
            <w:tcBorders>
              <w:top w:val="single" w:sz="8" w:color="FFC03C"/>
              <w:bottom w:val="single" w:sz="8" w:color="FFC03C"/>
            </w:tcBorders>
            <w:vMerge w:val="restart"/>
          </w:tcPr>
          <w:p>
            <w:pPr>
              <w:jc w:val="right"/>
              <w:ind w:right="237"/>
              <w:spacing w:after="0"/>
              <w:rPr>
                <w:sz w:val="20"/>
                <w:szCs w:val="20"/>
                <w:color w:val="auto"/>
              </w:rPr>
            </w:pPr>
            <w:r>
              <w:rPr>
                <w:rFonts w:ascii="Arial" w:cs="Arial" w:eastAsia="Arial" w:hAnsi="Arial"/>
                <w:sz w:val="21"/>
                <w:szCs w:val="21"/>
                <w:b w:val="1"/>
                <w:bCs w:val="1"/>
                <w:color w:val="FFC03C"/>
                <w:w w:val="81"/>
              </w:rPr>
              <w:t>+</w:t>
            </w:r>
          </w:p>
        </w:tc>
        <w:tc>
          <w:tcPr>
            <w:tcW w:w="2740" w:type="dxa"/>
            <w:vAlign w:val="bottom"/>
            <w:tcBorders>
              <w:top w:val="single" w:sz="8" w:color="FFC03C"/>
              <w:bottom w:val="single" w:sz="8" w:color="FFC03C"/>
              <w:right w:val="single" w:sz="8" w:color="FFC03C"/>
            </w:tcBorders>
            <w:vMerge w:val="restart"/>
          </w:tcPr>
          <w:p>
            <w:pPr>
              <w:ind w:left="60"/>
              <w:spacing w:after="0"/>
              <w:rPr>
                <w:sz w:val="20"/>
                <w:szCs w:val="20"/>
                <w:color w:val="auto"/>
              </w:rPr>
            </w:pPr>
            <w:r>
              <w:rPr>
                <w:rFonts w:ascii="Arial" w:cs="Arial" w:eastAsia="Arial" w:hAnsi="Arial"/>
                <w:sz w:val="15"/>
                <w:szCs w:val="15"/>
                <w:color w:val="FFC03C"/>
              </w:rPr>
              <w:t>Quintana Energy Services Inc.</w:t>
            </w:r>
          </w:p>
        </w:tc>
        <w:tc>
          <w:tcPr>
            <w:tcW w:w="1480" w:type="dxa"/>
            <w:vAlign w:val="bottom"/>
            <w:tcBorders>
              <w:bottom w:val="single" w:sz="8" w:color="706F6F"/>
            </w:tcBorders>
          </w:tcPr>
          <w:p>
            <w:pPr>
              <w:spacing w:after="0"/>
              <w:rPr>
                <w:sz w:val="7"/>
                <w:szCs w:val="7"/>
                <w:color w:val="auto"/>
              </w:rPr>
            </w:pPr>
          </w:p>
        </w:tc>
        <w:tc>
          <w:tcPr>
            <w:tcW w:w="20" w:type="dxa"/>
            <w:vAlign w:val="bottom"/>
            <w:tcBorders>
              <w:top w:val="single" w:sz="8" w:color="706F6F"/>
              <w:bottom w:val="single" w:sz="8" w:color="706F6F"/>
            </w:tcBorders>
            <w:shd w:val="clear" w:color="auto" w:fill="706F6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380" w:type="dxa"/>
            <w:vAlign w:val="bottom"/>
            <w:tcBorders>
              <w:bottom w:val="single" w:sz="8" w:color="FFC03C"/>
              <w:right w:val="single" w:sz="8" w:color="706F6F"/>
            </w:tcBorders>
          </w:tcPr>
          <w:p>
            <w:pPr>
              <w:spacing w:after="0"/>
              <w:rPr>
                <w:sz w:val="23"/>
                <w:szCs w:val="23"/>
                <w:color w:val="auto"/>
              </w:rPr>
            </w:pPr>
          </w:p>
        </w:tc>
        <w:tc>
          <w:tcPr>
            <w:tcW w:w="2920" w:type="dxa"/>
            <w:vAlign w:val="bottom"/>
            <w:tcBorders>
              <w:right w:val="single" w:sz="8" w:color="706F6F"/>
            </w:tcBorders>
            <w:gridSpan w:val="2"/>
            <w:vMerge w:val="continue"/>
          </w:tcPr>
          <w:p>
            <w:pPr>
              <w:spacing w:after="0"/>
              <w:rPr>
                <w:sz w:val="23"/>
                <w:szCs w:val="23"/>
                <w:color w:val="auto"/>
              </w:rPr>
            </w:pPr>
          </w:p>
        </w:tc>
        <w:tc>
          <w:tcPr>
            <w:tcW w:w="900" w:type="dxa"/>
            <w:vAlign w:val="bottom"/>
            <w:tcBorders>
              <w:bottom w:val="single" w:sz="8" w:color="FFC03C"/>
              <w:right w:val="single" w:sz="8" w:color="FFC03C"/>
            </w:tcBorders>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vMerge w:val="continue"/>
          </w:tcPr>
          <w:p>
            <w:pPr>
              <w:spacing w:after="0"/>
              <w:rPr>
                <w:sz w:val="23"/>
                <w:szCs w:val="23"/>
                <w:color w:val="auto"/>
              </w:rPr>
            </w:pPr>
          </w:p>
        </w:tc>
        <w:tc>
          <w:tcPr>
            <w:tcW w:w="2740" w:type="dxa"/>
            <w:vAlign w:val="bottom"/>
            <w:tcBorders>
              <w:right w:val="single" w:sz="8" w:color="FFC03C"/>
            </w:tcBorders>
            <w:vMerge w:val="continue"/>
          </w:tcPr>
          <w:p>
            <w:pPr>
              <w:spacing w:after="0"/>
              <w:rPr>
                <w:sz w:val="23"/>
                <w:szCs w:val="23"/>
                <w:color w:val="auto"/>
              </w:rPr>
            </w:pPr>
          </w:p>
        </w:tc>
        <w:tc>
          <w:tcPr>
            <w:tcW w:w="1480" w:type="dxa"/>
            <w:vAlign w:val="bottom"/>
            <w:tcBorders>
              <w:bottom w:val="single" w:sz="8" w:color="FFC03C"/>
            </w:tcBorders>
          </w:tcPr>
          <w:p>
            <w:pPr>
              <w:spacing w:after="0"/>
              <w:rPr>
                <w:sz w:val="23"/>
                <w:szCs w:val="23"/>
                <w:color w:val="auto"/>
              </w:rPr>
            </w:pPr>
          </w:p>
        </w:tc>
        <w:tc>
          <w:tcPr>
            <w:tcW w:w="20" w:type="dxa"/>
            <w:vAlign w:val="bottom"/>
            <w:tcBorders>
              <w:bottom w:val="single" w:sz="8" w:color="FFC03C"/>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FFC03C"/>
              <w:right w:val="single" w:sz="8" w:color="706F6F"/>
            </w:tcBorders>
          </w:tcPr>
          <w:p>
            <w:pPr>
              <w:spacing w:after="0"/>
              <w:rPr>
                <w:sz w:val="7"/>
                <w:szCs w:val="7"/>
                <w:color w:val="auto"/>
              </w:rPr>
            </w:pPr>
          </w:p>
        </w:tc>
        <w:tc>
          <w:tcPr>
            <w:tcW w:w="1560" w:type="dxa"/>
            <w:vAlign w:val="bottom"/>
            <w:tcBorders>
              <w:bottom w:val="single" w:sz="8" w:color="706F6F"/>
            </w:tcBorders>
          </w:tcPr>
          <w:p>
            <w:pPr>
              <w:spacing w:after="0"/>
              <w:rPr>
                <w:sz w:val="7"/>
                <w:szCs w:val="7"/>
                <w:color w:val="auto"/>
              </w:rPr>
            </w:pPr>
          </w:p>
        </w:tc>
        <w:tc>
          <w:tcPr>
            <w:tcW w:w="1360" w:type="dxa"/>
            <w:vAlign w:val="bottom"/>
            <w:tcBorders>
              <w:bottom w:val="single" w:sz="8" w:color="706F6F"/>
              <w:right w:val="single" w:sz="8" w:color="706F6F"/>
            </w:tcBorders>
          </w:tcPr>
          <w:p>
            <w:pPr>
              <w:spacing w:after="0"/>
              <w:rPr>
                <w:sz w:val="7"/>
                <w:szCs w:val="7"/>
                <w:color w:val="auto"/>
              </w:rPr>
            </w:pPr>
          </w:p>
        </w:tc>
        <w:tc>
          <w:tcPr>
            <w:tcW w:w="900" w:type="dxa"/>
            <w:vAlign w:val="bottom"/>
            <w:tcBorders>
              <w:right w:val="single" w:sz="8" w:color="FFC03C"/>
            </w:tcBorders>
          </w:tcPr>
          <w:p>
            <w:pPr>
              <w:spacing w:after="0"/>
              <w:rPr>
                <w:sz w:val="7"/>
                <w:szCs w:val="7"/>
                <w:color w:val="auto"/>
              </w:rPr>
            </w:pPr>
          </w:p>
        </w:tc>
        <w:tc>
          <w:tcPr>
            <w:tcW w:w="360" w:type="dxa"/>
            <w:vAlign w:val="bottom"/>
            <w:tcBorders>
              <w:bottom w:val="single" w:sz="8" w:color="FFC03C"/>
            </w:tcBorders>
          </w:tcPr>
          <w:p>
            <w:pPr>
              <w:spacing w:after="0"/>
              <w:rPr>
                <w:sz w:val="7"/>
                <w:szCs w:val="7"/>
                <w:color w:val="auto"/>
              </w:rPr>
            </w:pPr>
          </w:p>
        </w:tc>
        <w:tc>
          <w:tcPr>
            <w:tcW w:w="460" w:type="dxa"/>
            <w:vAlign w:val="bottom"/>
            <w:tcBorders>
              <w:bottom w:val="single" w:sz="8" w:color="FFC03C"/>
            </w:tcBorders>
          </w:tcPr>
          <w:p>
            <w:pPr>
              <w:spacing w:after="0"/>
              <w:rPr>
                <w:sz w:val="7"/>
                <w:szCs w:val="7"/>
                <w:color w:val="auto"/>
              </w:rPr>
            </w:pPr>
          </w:p>
        </w:tc>
        <w:tc>
          <w:tcPr>
            <w:tcW w:w="2740" w:type="dxa"/>
            <w:vAlign w:val="bottom"/>
            <w:tcBorders>
              <w:bottom w:val="single" w:sz="8" w:color="FFC03C"/>
              <w:right w:val="single" w:sz="8" w:color="FFC03C"/>
            </w:tcBorders>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Borders>
              <w:bottom w:val="single" w:sz="8" w:color="FFC03C"/>
            </w:tcBorders>
            <w:shd w:val="clear" w:color="auto" w:fill="FFC03C"/>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Basic Energy Services Inc.</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Newpark Resources Inc.</w:t>
            </w:r>
          </w:p>
        </w:tc>
        <w:tc>
          <w:tcPr>
            <w:tcW w:w="460" w:type="dxa"/>
            <w:vAlign w:val="bottom"/>
          </w:tcPr>
          <w:p>
            <w:pPr>
              <w:spacing w:after="0"/>
              <w:rPr>
                <w:sz w:val="24"/>
                <w:szCs w:val="24"/>
                <w:color w:val="auto"/>
              </w:rPr>
            </w:pPr>
          </w:p>
        </w:tc>
        <w:tc>
          <w:tcPr>
            <w:tcW w:w="4220" w:type="dxa"/>
            <w:vAlign w:val="bottom"/>
            <w:gridSpan w:val="2"/>
          </w:tcPr>
          <w:p>
            <w:pPr>
              <w:ind w:left="1040"/>
              <w:spacing w:after="0"/>
              <w:rPr>
                <w:sz w:val="20"/>
                <w:szCs w:val="20"/>
                <w:color w:val="auto"/>
              </w:rPr>
            </w:pPr>
            <w:r>
              <w:rPr>
                <w:rFonts w:ascii="Arial" w:cs="Arial" w:eastAsia="Arial" w:hAnsi="Arial"/>
                <w:sz w:val="15"/>
                <w:szCs w:val="15"/>
                <w:color w:val="auto"/>
              </w:rPr>
              <w:t>Source Energy Services Ltd.</w:t>
            </w:r>
          </w:p>
        </w:tc>
        <w:tc>
          <w:tcPr>
            <w:tcW w:w="20" w:type="dxa"/>
            <w:vAlign w:val="bottom"/>
            <w:shd w:val="clear" w:color="auto" w:fill="FFC03C"/>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Black Diamond Group Ltd.</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Nine Energy Service, Inc.</w:t>
            </w:r>
          </w:p>
        </w:tc>
        <w:tc>
          <w:tcPr>
            <w:tcW w:w="460" w:type="dxa"/>
            <w:vAlign w:val="bottom"/>
          </w:tcPr>
          <w:p>
            <w:pPr>
              <w:spacing w:after="0"/>
              <w:rPr>
                <w:sz w:val="22"/>
                <w:szCs w:val="22"/>
                <w:color w:val="auto"/>
              </w:rPr>
            </w:pPr>
          </w:p>
        </w:tc>
        <w:tc>
          <w:tcPr>
            <w:tcW w:w="4220" w:type="dxa"/>
            <w:vAlign w:val="bottom"/>
            <w:gridSpan w:val="2"/>
          </w:tcPr>
          <w:p>
            <w:pPr>
              <w:ind w:left="1040"/>
              <w:spacing w:after="0"/>
              <w:rPr>
                <w:sz w:val="20"/>
                <w:szCs w:val="20"/>
                <w:color w:val="auto"/>
              </w:rPr>
            </w:pPr>
            <w:r>
              <w:rPr>
                <w:rFonts w:ascii="Arial" w:cs="Arial" w:eastAsia="Arial" w:hAnsi="Arial"/>
                <w:sz w:val="15"/>
                <w:szCs w:val="15"/>
                <w:color w:val="auto"/>
              </w:rPr>
              <w:t>STEP Energy Services Ltd.</w:t>
            </w:r>
          </w:p>
        </w:tc>
        <w:tc>
          <w:tcPr>
            <w:tcW w:w="20" w:type="dxa"/>
            <w:vAlign w:val="bottom"/>
            <w:shd w:val="clear" w:color="auto" w:fill="FFC03C"/>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Dexterra Group</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Oil States International Inc.</w:t>
            </w:r>
          </w:p>
        </w:tc>
        <w:tc>
          <w:tcPr>
            <w:tcW w:w="460" w:type="dxa"/>
            <w:vAlign w:val="bottom"/>
          </w:tcPr>
          <w:p>
            <w:pPr>
              <w:spacing w:after="0"/>
              <w:rPr>
                <w:sz w:val="21"/>
                <w:szCs w:val="21"/>
                <w:color w:val="auto"/>
              </w:rPr>
            </w:pPr>
          </w:p>
        </w:tc>
        <w:tc>
          <w:tcPr>
            <w:tcW w:w="4220" w:type="dxa"/>
            <w:vAlign w:val="bottom"/>
            <w:gridSpan w:val="2"/>
          </w:tcPr>
          <w:p>
            <w:pPr>
              <w:ind w:left="1040"/>
              <w:spacing w:after="0"/>
              <w:rPr>
                <w:sz w:val="20"/>
                <w:szCs w:val="20"/>
                <w:color w:val="auto"/>
              </w:rPr>
            </w:pPr>
            <w:r>
              <w:rPr>
                <w:rFonts w:ascii="Arial" w:cs="Arial" w:eastAsia="Arial" w:hAnsi="Arial"/>
                <w:sz w:val="15"/>
                <w:szCs w:val="15"/>
                <w:color w:val="auto"/>
              </w:rPr>
              <w:t>TETRA Technologies Inc.</w:t>
            </w:r>
          </w:p>
        </w:tc>
        <w:tc>
          <w:tcPr>
            <w:tcW w:w="20" w:type="dxa"/>
            <w:vAlign w:val="bottom"/>
            <w:shd w:val="clear" w:color="auto" w:fill="FFC03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Exterran Corp.</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Precision Drilling Corp.</w:t>
            </w:r>
          </w:p>
        </w:tc>
        <w:tc>
          <w:tcPr>
            <w:tcW w:w="460" w:type="dxa"/>
            <w:vAlign w:val="bottom"/>
          </w:tcPr>
          <w:p>
            <w:pPr>
              <w:spacing w:after="0"/>
              <w:rPr>
                <w:sz w:val="24"/>
                <w:szCs w:val="24"/>
                <w:color w:val="auto"/>
              </w:rPr>
            </w:pPr>
          </w:p>
        </w:tc>
        <w:tc>
          <w:tcPr>
            <w:tcW w:w="4220" w:type="dxa"/>
            <w:vAlign w:val="bottom"/>
            <w:gridSpan w:val="2"/>
          </w:tcPr>
          <w:p>
            <w:pPr>
              <w:ind w:left="1040"/>
              <w:spacing w:after="0"/>
              <w:rPr>
                <w:sz w:val="20"/>
                <w:szCs w:val="20"/>
                <w:color w:val="auto"/>
              </w:rPr>
            </w:pPr>
            <w:r>
              <w:rPr>
                <w:rFonts w:ascii="Arial" w:cs="Arial" w:eastAsia="Arial" w:hAnsi="Arial"/>
                <w:sz w:val="15"/>
                <w:szCs w:val="15"/>
                <w:color w:val="auto"/>
              </w:rPr>
              <w:t>Total Energy Services Inc.</w:t>
            </w:r>
          </w:p>
        </w:tc>
        <w:tc>
          <w:tcPr>
            <w:tcW w:w="20" w:type="dxa"/>
            <w:vAlign w:val="bottom"/>
            <w:shd w:val="clear" w:color="auto" w:fill="FFC03C"/>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Forum Energy Technologies Inc.</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Quintana Energy Services Inc.</w:t>
            </w:r>
          </w:p>
        </w:tc>
        <w:tc>
          <w:tcPr>
            <w:tcW w:w="460" w:type="dxa"/>
            <w:vAlign w:val="bottom"/>
          </w:tcPr>
          <w:p>
            <w:pPr>
              <w:spacing w:after="0"/>
              <w:rPr>
                <w:sz w:val="21"/>
                <w:szCs w:val="21"/>
                <w:color w:val="auto"/>
              </w:rPr>
            </w:pPr>
          </w:p>
        </w:tc>
        <w:tc>
          <w:tcPr>
            <w:tcW w:w="4220" w:type="dxa"/>
            <w:vAlign w:val="bottom"/>
            <w:gridSpan w:val="2"/>
          </w:tcPr>
          <w:p>
            <w:pPr>
              <w:ind w:left="1040"/>
              <w:spacing w:after="0"/>
              <w:rPr>
                <w:sz w:val="20"/>
                <w:szCs w:val="20"/>
                <w:color w:val="auto"/>
              </w:rPr>
            </w:pPr>
            <w:r>
              <w:rPr>
                <w:rFonts w:ascii="Arial" w:cs="Arial" w:eastAsia="Arial" w:hAnsi="Arial"/>
                <w:sz w:val="15"/>
                <w:szCs w:val="15"/>
                <w:color w:val="auto"/>
              </w:rPr>
              <w:t>Unit Corp.</w:t>
            </w:r>
          </w:p>
        </w:tc>
        <w:tc>
          <w:tcPr>
            <w:tcW w:w="20" w:type="dxa"/>
            <w:vAlign w:val="bottom"/>
            <w:shd w:val="clear" w:color="auto" w:fill="FFC03C"/>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40" w:type="dxa"/>
            <w:vAlign w:val="bottom"/>
            <w:tcBorders>
              <w:left w:val="single" w:sz="8" w:color="FFC03C"/>
            </w:tcBorders>
            <w:gridSpan w:val="2"/>
          </w:tcPr>
          <w:p>
            <w:pPr>
              <w:ind w:left="160"/>
              <w:spacing w:after="0"/>
              <w:rPr>
                <w:sz w:val="20"/>
                <w:szCs w:val="20"/>
                <w:color w:val="auto"/>
              </w:rPr>
            </w:pPr>
            <w:r>
              <w:rPr>
                <w:rFonts w:ascii="Arial" w:cs="Arial" w:eastAsia="Arial" w:hAnsi="Arial"/>
                <w:sz w:val="15"/>
                <w:szCs w:val="15"/>
                <w:color w:val="auto"/>
              </w:rPr>
              <w:t>Matrix Service Company</w:t>
            </w:r>
          </w:p>
        </w:tc>
        <w:tc>
          <w:tcPr>
            <w:tcW w:w="2620" w:type="dxa"/>
            <w:vAlign w:val="bottom"/>
            <w:gridSpan w:val="3"/>
          </w:tcPr>
          <w:p>
            <w:pPr>
              <w:ind w:left="520"/>
              <w:spacing w:after="0"/>
              <w:rPr>
                <w:sz w:val="20"/>
                <w:szCs w:val="20"/>
                <w:color w:val="auto"/>
              </w:rPr>
            </w:pPr>
            <w:r>
              <w:rPr>
                <w:rFonts w:ascii="Arial" w:cs="Arial" w:eastAsia="Arial" w:hAnsi="Arial"/>
                <w:sz w:val="15"/>
                <w:szCs w:val="15"/>
                <w:color w:val="auto"/>
              </w:rPr>
              <w:t>Select Energy Services, Inc.</w:t>
            </w:r>
          </w:p>
        </w:tc>
        <w:tc>
          <w:tcPr>
            <w:tcW w:w="4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shd w:val="clear" w:color="auto" w:fill="FFC03C"/>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FFC03C"/>
            </w:tcBorders>
          </w:tcPr>
          <w:p>
            <w:pPr>
              <w:spacing w:after="0"/>
              <w:rPr>
                <w:sz w:val="16"/>
                <w:szCs w:val="16"/>
                <w:color w:val="auto"/>
              </w:rPr>
            </w:pPr>
          </w:p>
        </w:tc>
        <w:tc>
          <w:tcPr>
            <w:tcW w:w="382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20" w:type="dxa"/>
            <w:vAlign w:val="bottom"/>
            <w:gridSpan w:val="2"/>
          </w:tcPr>
          <w:p>
            <w:pPr>
              <w:spacing w:after="0"/>
              <w:rPr>
                <w:sz w:val="16"/>
                <w:szCs w:val="16"/>
                <w:color w:val="auto"/>
              </w:rPr>
            </w:pPr>
          </w:p>
        </w:tc>
        <w:tc>
          <w:tcPr>
            <w:tcW w:w="20" w:type="dxa"/>
            <w:vAlign w:val="bottom"/>
            <w:shd w:val="clear" w:color="auto" w:fill="FFC03C"/>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380" w:type="dxa"/>
            <w:vAlign w:val="bottom"/>
            <w:tcBorders>
              <w:left w:val="single" w:sz="8" w:color="FFC03C"/>
              <w:bottom w:val="single" w:sz="8" w:color="FFC03C"/>
              <w:right w:val="single" w:sz="8" w:color="FFC03C"/>
            </w:tcBorders>
          </w:tcPr>
          <w:p>
            <w:pPr>
              <w:spacing w:after="0"/>
              <w:rPr>
                <w:sz w:val="7"/>
                <w:szCs w:val="7"/>
                <w:color w:val="auto"/>
              </w:rPr>
            </w:pPr>
          </w:p>
        </w:tc>
        <w:tc>
          <w:tcPr>
            <w:tcW w:w="2920" w:type="dxa"/>
            <w:vAlign w:val="bottom"/>
            <w:tcBorders>
              <w:top w:val="single" w:sz="8" w:color="FFC03C"/>
              <w:bottom w:val="single" w:sz="8" w:color="FFC03C"/>
              <w:right w:val="single" w:sz="8" w:color="FFC03C"/>
            </w:tcBorders>
            <w:gridSpan w:val="2"/>
            <w:vMerge w:val="restart"/>
          </w:tcPr>
          <w:p>
            <w:pPr>
              <w:ind w:left="340"/>
              <w:spacing w:after="0"/>
              <w:rPr>
                <w:sz w:val="20"/>
                <w:szCs w:val="20"/>
                <w:color w:val="auto"/>
              </w:rPr>
            </w:pPr>
            <w:r>
              <w:rPr>
                <w:rFonts w:ascii="Arial" w:cs="Arial" w:eastAsia="Arial" w:hAnsi="Arial"/>
                <w:sz w:val="15"/>
                <w:szCs w:val="15"/>
                <w:color w:val="FFC03C"/>
              </w:rPr>
              <w:t>Basic Energy Services Inc.</w:t>
            </w:r>
          </w:p>
        </w:tc>
        <w:tc>
          <w:tcPr>
            <w:tcW w:w="900" w:type="dxa"/>
            <w:vAlign w:val="bottom"/>
            <w:tcBorders>
              <w:bottom w:val="single" w:sz="8" w:color="FFC03C"/>
              <w:right w:val="single" w:sz="8" w:color="006DB6"/>
            </w:tcBorders>
          </w:tcPr>
          <w:p>
            <w:pPr>
              <w:spacing w:after="0"/>
              <w:rPr>
                <w:sz w:val="7"/>
                <w:szCs w:val="7"/>
                <w:color w:val="auto"/>
              </w:rPr>
            </w:pPr>
          </w:p>
        </w:tc>
        <w:tc>
          <w:tcPr>
            <w:tcW w:w="360" w:type="dxa"/>
            <w:vAlign w:val="bottom"/>
            <w:tcBorders>
              <w:top w:val="single" w:sz="8" w:color="006DB6"/>
            </w:tcBorders>
          </w:tcPr>
          <w:p>
            <w:pPr>
              <w:spacing w:after="0"/>
              <w:rPr>
                <w:sz w:val="7"/>
                <w:szCs w:val="7"/>
                <w:color w:val="auto"/>
              </w:rPr>
            </w:pPr>
          </w:p>
        </w:tc>
        <w:tc>
          <w:tcPr>
            <w:tcW w:w="460" w:type="dxa"/>
            <w:vAlign w:val="bottom"/>
            <w:tcBorders>
              <w:top w:val="single" w:sz="8" w:color="006DB6"/>
            </w:tcBorders>
          </w:tcPr>
          <w:p>
            <w:pPr>
              <w:spacing w:after="0"/>
              <w:rPr>
                <w:sz w:val="7"/>
                <w:szCs w:val="7"/>
                <w:color w:val="auto"/>
              </w:rPr>
            </w:pPr>
          </w:p>
        </w:tc>
        <w:tc>
          <w:tcPr>
            <w:tcW w:w="2740" w:type="dxa"/>
            <w:vAlign w:val="bottom"/>
            <w:tcBorders>
              <w:top w:val="single" w:sz="8" w:color="006DB6"/>
              <w:bottom w:val="single" w:sz="8" w:color="006DB6"/>
              <w:right w:val="single" w:sz="8" w:color="006DB6"/>
            </w:tcBorders>
            <w:vMerge w:val="restart"/>
          </w:tcPr>
          <w:p>
            <w:pPr>
              <w:ind w:left="60"/>
              <w:spacing w:after="0"/>
              <w:rPr>
                <w:sz w:val="20"/>
                <w:szCs w:val="20"/>
                <w:color w:val="auto"/>
              </w:rPr>
            </w:pPr>
            <w:r>
              <w:rPr>
                <w:rFonts w:ascii="Arial" w:cs="Arial" w:eastAsia="Arial" w:hAnsi="Arial"/>
                <w:sz w:val="15"/>
                <w:szCs w:val="15"/>
                <w:color w:val="006DB6"/>
              </w:rPr>
              <w:t>Badger Daylighting Ltd.</w:t>
            </w:r>
          </w:p>
        </w:tc>
        <w:tc>
          <w:tcPr>
            <w:tcW w:w="1480" w:type="dxa"/>
            <w:vAlign w:val="bottom"/>
            <w:tcBorders>
              <w:bottom w:val="single" w:sz="8" w:color="FFC03C"/>
            </w:tcBorders>
          </w:tcPr>
          <w:p>
            <w:pPr>
              <w:spacing w:after="0"/>
              <w:rPr>
                <w:sz w:val="7"/>
                <w:szCs w:val="7"/>
                <w:color w:val="auto"/>
              </w:rPr>
            </w:pPr>
          </w:p>
        </w:tc>
        <w:tc>
          <w:tcPr>
            <w:tcW w:w="20" w:type="dxa"/>
            <w:vAlign w:val="bottom"/>
            <w:tcBorders>
              <w:top w:val="single" w:sz="8" w:color="FFC03C"/>
              <w:bottom w:val="single" w:sz="8" w:color="FFC03C"/>
            </w:tcBorders>
            <w:shd w:val="clear" w:color="auto" w:fill="FFC03C"/>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380" w:type="dxa"/>
            <w:vAlign w:val="bottom"/>
            <w:tcBorders>
              <w:right w:val="single" w:sz="8" w:color="FFC03C"/>
            </w:tcBorders>
          </w:tcPr>
          <w:p>
            <w:pPr>
              <w:spacing w:after="0"/>
              <w:rPr>
                <w:sz w:val="22"/>
                <w:szCs w:val="22"/>
                <w:color w:val="auto"/>
              </w:rPr>
            </w:pPr>
          </w:p>
        </w:tc>
        <w:tc>
          <w:tcPr>
            <w:tcW w:w="2920" w:type="dxa"/>
            <w:vAlign w:val="bottom"/>
            <w:tcBorders>
              <w:right w:val="single" w:sz="8" w:color="FFC03C"/>
            </w:tcBorders>
            <w:gridSpan w:val="2"/>
            <w:vMerge w:val="continue"/>
          </w:tcPr>
          <w:p>
            <w:pPr>
              <w:spacing w:after="0"/>
              <w:rPr>
                <w:sz w:val="22"/>
                <w:szCs w:val="22"/>
                <w:color w:val="auto"/>
              </w:rPr>
            </w:pPr>
          </w:p>
        </w:tc>
        <w:tc>
          <w:tcPr>
            <w:tcW w:w="900" w:type="dxa"/>
            <w:vAlign w:val="bottom"/>
            <w:tcBorders>
              <w:right w:val="single" w:sz="8" w:color="006DB6"/>
            </w:tcBorders>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740" w:type="dxa"/>
            <w:vAlign w:val="bottom"/>
            <w:tcBorders>
              <w:right w:val="single" w:sz="8" w:color="006DB6"/>
            </w:tcBorders>
            <w:vMerge w:val="continue"/>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380" w:type="dxa"/>
            <w:vAlign w:val="bottom"/>
            <w:tcBorders>
              <w:right w:val="single" w:sz="8" w:color="FFC03C"/>
            </w:tcBorders>
          </w:tcPr>
          <w:p>
            <w:pPr>
              <w:spacing w:after="0"/>
              <w:rPr>
                <w:sz w:val="22"/>
                <w:szCs w:val="22"/>
                <w:color w:val="auto"/>
              </w:rPr>
            </w:pPr>
          </w:p>
        </w:tc>
        <w:tc>
          <w:tcPr>
            <w:tcW w:w="2920" w:type="dxa"/>
            <w:vAlign w:val="bottom"/>
            <w:tcBorders>
              <w:right w:val="single" w:sz="8" w:color="FFC03C"/>
            </w:tcBorders>
            <w:gridSpan w:val="2"/>
          </w:tcPr>
          <w:p>
            <w:pPr>
              <w:ind w:left="340"/>
              <w:spacing w:after="0"/>
              <w:rPr>
                <w:sz w:val="20"/>
                <w:szCs w:val="20"/>
                <w:color w:val="auto"/>
              </w:rPr>
            </w:pPr>
            <w:r>
              <w:rPr>
                <w:rFonts w:ascii="Arial" w:cs="Arial" w:eastAsia="Arial" w:hAnsi="Arial"/>
                <w:sz w:val="15"/>
                <w:szCs w:val="15"/>
                <w:color w:val="FFC03C"/>
              </w:rPr>
              <w:t>Quintana Energy Services Inc.</w:t>
            </w:r>
          </w:p>
        </w:tc>
        <w:tc>
          <w:tcPr>
            <w:tcW w:w="900" w:type="dxa"/>
            <w:vAlign w:val="bottom"/>
            <w:tcBorders>
              <w:right w:val="single" w:sz="8" w:color="006DB6"/>
            </w:tcBorders>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740" w:type="dxa"/>
            <w:vAlign w:val="bottom"/>
            <w:tcBorders>
              <w:right w:val="single" w:sz="8" w:color="006DB6"/>
            </w:tcBorders>
          </w:tcPr>
          <w:p>
            <w:pPr>
              <w:ind w:left="60"/>
              <w:spacing w:after="0"/>
              <w:rPr>
                <w:sz w:val="20"/>
                <w:szCs w:val="20"/>
                <w:color w:val="auto"/>
              </w:rPr>
            </w:pPr>
            <w:r>
              <w:rPr>
                <w:rFonts w:ascii="Arial" w:cs="Arial" w:eastAsia="Arial" w:hAnsi="Arial"/>
                <w:sz w:val="15"/>
                <w:szCs w:val="15"/>
                <w:color w:val="006DB6"/>
              </w:rPr>
              <w:t>Enerflex Ltd.</w:t>
            </w: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380" w:type="dxa"/>
            <w:vAlign w:val="bottom"/>
            <w:tcBorders>
              <w:right w:val="single" w:sz="8" w:color="FFC03C"/>
            </w:tcBorders>
          </w:tcPr>
          <w:p>
            <w:pPr>
              <w:spacing w:after="0"/>
              <w:rPr>
                <w:sz w:val="23"/>
                <w:szCs w:val="23"/>
                <w:color w:val="auto"/>
              </w:rPr>
            </w:pPr>
          </w:p>
        </w:tc>
        <w:tc>
          <w:tcPr>
            <w:tcW w:w="2920" w:type="dxa"/>
            <w:vAlign w:val="bottom"/>
            <w:tcBorders>
              <w:right w:val="single" w:sz="8" w:color="FFC03C"/>
            </w:tcBorders>
            <w:gridSpan w:val="2"/>
          </w:tcPr>
          <w:p>
            <w:pPr>
              <w:ind w:left="100"/>
              <w:spacing w:after="0"/>
              <w:rPr>
                <w:sz w:val="20"/>
                <w:szCs w:val="20"/>
                <w:color w:val="auto"/>
              </w:rPr>
            </w:pPr>
            <w:r>
              <w:rPr>
                <w:rFonts w:ascii="Arial" w:cs="Arial" w:eastAsia="Arial" w:hAnsi="Arial"/>
                <w:sz w:val="21"/>
                <w:szCs w:val="21"/>
                <w:b w:val="1"/>
                <w:bCs w:val="1"/>
                <w:color w:val="FFC03C"/>
              </w:rPr>
              <w:t xml:space="preserve">− </w:t>
            </w:r>
            <w:r>
              <w:rPr>
                <w:rFonts w:ascii="Arial" w:cs="Arial" w:eastAsia="Arial" w:hAnsi="Arial"/>
                <w:sz w:val="15"/>
                <w:szCs w:val="15"/>
                <w:color w:val="FFC03C"/>
              </w:rPr>
              <w:t>Source Energy Services Ltd.</w:t>
            </w:r>
          </w:p>
        </w:tc>
        <w:tc>
          <w:tcPr>
            <w:tcW w:w="900" w:type="dxa"/>
            <w:vAlign w:val="bottom"/>
            <w:tcBorders>
              <w:right w:val="single" w:sz="8" w:color="006DB6"/>
            </w:tcBorders>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jc w:val="right"/>
              <w:ind w:right="237"/>
              <w:spacing w:after="0"/>
              <w:rPr>
                <w:sz w:val="20"/>
                <w:szCs w:val="20"/>
                <w:color w:val="auto"/>
              </w:rPr>
            </w:pPr>
            <w:r>
              <w:rPr>
                <w:rFonts w:ascii="Arial" w:cs="Arial" w:eastAsia="Arial" w:hAnsi="Arial"/>
                <w:sz w:val="21"/>
                <w:szCs w:val="21"/>
                <w:b w:val="1"/>
                <w:bCs w:val="1"/>
                <w:color w:val="006DB6"/>
                <w:w w:val="81"/>
              </w:rPr>
              <w:t>+</w:t>
            </w:r>
          </w:p>
        </w:tc>
        <w:tc>
          <w:tcPr>
            <w:tcW w:w="2740" w:type="dxa"/>
            <w:vAlign w:val="bottom"/>
            <w:tcBorders>
              <w:right w:val="single" w:sz="8" w:color="006DB6"/>
            </w:tcBorders>
          </w:tcPr>
          <w:p>
            <w:pPr>
              <w:ind w:left="60"/>
              <w:spacing w:after="0"/>
              <w:rPr>
                <w:sz w:val="20"/>
                <w:szCs w:val="20"/>
                <w:color w:val="auto"/>
              </w:rPr>
            </w:pPr>
            <w:r>
              <w:rPr>
                <w:rFonts w:ascii="Arial" w:cs="Arial" w:eastAsia="Arial" w:hAnsi="Arial"/>
                <w:sz w:val="15"/>
                <w:szCs w:val="15"/>
                <w:color w:val="006DB6"/>
              </w:rPr>
              <w:t>McGrath RentCorp</w:t>
            </w: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380" w:type="dxa"/>
            <w:vAlign w:val="bottom"/>
            <w:tcBorders>
              <w:right w:val="single" w:sz="8" w:color="FFC03C"/>
            </w:tcBorders>
          </w:tcPr>
          <w:p>
            <w:pPr>
              <w:spacing w:after="0"/>
              <w:rPr>
                <w:sz w:val="18"/>
                <w:szCs w:val="18"/>
                <w:color w:val="auto"/>
              </w:rPr>
            </w:pPr>
          </w:p>
        </w:tc>
        <w:tc>
          <w:tcPr>
            <w:tcW w:w="2920" w:type="dxa"/>
            <w:vAlign w:val="bottom"/>
            <w:tcBorders>
              <w:right w:val="single" w:sz="8" w:color="FFC03C"/>
            </w:tcBorders>
            <w:gridSpan w:val="2"/>
          </w:tcPr>
          <w:p>
            <w:pPr>
              <w:ind w:left="340"/>
              <w:spacing w:after="0"/>
              <w:rPr>
                <w:sz w:val="20"/>
                <w:szCs w:val="20"/>
                <w:color w:val="auto"/>
              </w:rPr>
            </w:pPr>
            <w:r>
              <w:rPr>
                <w:rFonts w:ascii="Arial" w:cs="Arial" w:eastAsia="Arial" w:hAnsi="Arial"/>
                <w:sz w:val="15"/>
                <w:szCs w:val="15"/>
                <w:color w:val="FFC03C"/>
              </w:rPr>
              <w:t>STEP Energy Services Ltd.</w:t>
            </w:r>
          </w:p>
        </w:tc>
        <w:tc>
          <w:tcPr>
            <w:tcW w:w="900" w:type="dxa"/>
            <w:vAlign w:val="bottom"/>
            <w:tcBorders>
              <w:right w:val="single" w:sz="8" w:color="006DB6"/>
            </w:tcBorders>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Borders>
              <w:right w:val="single" w:sz="8" w:color="006DB6"/>
            </w:tcBorders>
          </w:tcPr>
          <w:p>
            <w:pPr>
              <w:ind w:left="60"/>
              <w:spacing w:after="0"/>
              <w:rPr>
                <w:sz w:val="20"/>
                <w:szCs w:val="20"/>
                <w:color w:val="auto"/>
              </w:rPr>
            </w:pPr>
            <w:r>
              <w:rPr>
                <w:rFonts w:ascii="Arial" w:cs="Arial" w:eastAsia="Arial" w:hAnsi="Arial"/>
                <w:sz w:val="15"/>
                <w:szCs w:val="15"/>
                <w:color w:val="006DB6"/>
              </w:rPr>
              <w:t>North American Construction Group</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80" w:type="dxa"/>
            <w:vAlign w:val="bottom"/>
            <w:tcBorders>
              <w:right w:val="single" w:sz="8" w:color="FFC03C"/>
            </w:tcBorders>
          </w:tcPr>
          <w:p>
            <w:pPr>
              <w:spacing w:after="0"/>
              <w:rPr>
                <w:sz w:val="22"/>
                <w:szCs w:val="22"/>
                <w:color w:val="auto"/>
              </w:rPr>
            </w:pPr>
          </w:p>
        </w:tc>
        <w:tc>
          <w:tcPr>
            <w:tcW w:w="1560" w:type="dxa"/>
            <w:vAlign w:val="bottom"/>
          </w:tcPr>
          <w:p>
            <w:pPr>
              <w:ind w:left="340"/>
              <w:spacing w:after="0"/>
              <w:rPr>
                <w:sz w:val="20"/>
                <w:szCs w:val="20"/>
                <w:color w:val="auto"/>
              </w:rPr>
            </w:pPr>
            <w:r>
              <w:rPr>
                <w:rFonts w:ascii="Arial" w:cs="Arial" w:eastAsia="Arial" w:hAnsi="Arial"/>
                <w:sz w:val="15"/>
                <w:szCs w:val="15"/>
                <w:color w:val="FFC03C"/>
              </w:rPr>
              <w:t>Unit Corp.</w:t>
            </w:r>
          </w:p>
        </w:tc>
        <w:tc>
          <w:tcPr>
            <w:tcW w:w="1360" w:type="dxa"/>
            <w:vAlign w:val="bottom"/>
            <w:tcBorders>
              <w:right w:val="single" w:sz="8" w:color="FFC03C"/>
            </w:tcBorders>
          </w:tcPr>
          <w:p>
            <w:pPr>
              <w:spacing w:after="0"/>
              <w:rPr>
                <w:sz w:val="22"/>
                <w:szCs w:val="22"/>
                <w:color w:val="auto"/>
              </w:rPr>
            </w:pPr>
          </w:p>
        </w:tc>
        <w:tc>
          <w:tcPr>
            <w:tcW w:w="900" w:type="dxa"/>
            <w:vAlign w:val="bottom"/>
            <w:tcBorders>
              <w:right w:val="single" w:sz="8" w:color="006DB6"/>
            </w:tcBorders>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740" w:type="dxa"/>
            <w:vAlign w:val="bottom"/>
            <w:tcBorders>
              <w:right w:val="single" w:sz="8" w:color="006DB6"/>
            </w:tcBorders>
          </w:tcPr>
          <w:p>
            <w:pPr>
              <w:ind w:left="60"/>
              <w:spacing w:after="0"/>
              <w:rPr>
                <w:sz w:val="20"/>
                <w:szCs w:val="20"/>
                <w:color w:val="auto"/>
              </w:rPr>
            </w:pPr>
            <w:r>
              <w:rPr>
                <w:rFonts w:ascii="Arial" w:cs="Arial" w:eastAsia="Arial" w:hAnsi="Arial"/>
                <w:sz w:val="15"/>
                <w:szCs w:val="15"/>
                <w:color w:val="006DB6"/>
              </w:rPr>
              <w:t>Target Hospitality Corp.</w:t>
            </w: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1380" w:type="dxa"/>
            <w:vAlign w:val="bottom"/>
            <w:tcBorders>
              <w:right w:val="single" w:sz="8" w:color="FFC03C"/>
            </w:tcBorders>
          </w:tcPr>
          <w:p>
            <w:pPr>
              <w:spacing w:after="0"/>
              <w:rPr>
                <w:sz w:val="7"/>
                <w:szCs w:val="7"/>
                <w:color w:val="auto"/>
              </w:rPr>
            </w:pPr>
          </w:p>
        </w:tc>
        <w:tc>
          <w:tcPr>
            <w:tcW w:w="1560" w:type="dxa"/>
            <w:vAlign w:val="bottom"/>
          </w:tcPr>
          <w:p>
            <w:pPr>
              <w:spacing w:after="0"/>
              <w:rPr>
                <w:sz w:val="7"/>
                <w:szCs w:val="7"/>
                <w:color w:val="auto"/>
              </w:rPr>
            </w:pPr>
          </w:p>
        </w:tc>
        <w:tc>
          <w:tcPr>
            <w:tcW w:w="1360" w:type="dxa"/>
            <w:vAlign w:val="bottom"/>
            <w:tcBorders>
              <w:right w:val="single" w:sz="8" w:color="FFC03C"/>
            </w:tcBorders>
          </w:tcPr>
          <w:p>
            <w:pPr>
              <w:spacing w:after="0"/>
              <w:rPr>
                <w:sz w:val="7"/>
                <w:szCs w:val="7"/>
                <w:color w:val="auto"/>
              </w:rPr>
            </w:pPr>
          </w:p>
        </w:tc>
        <w:tc>
          <w:tcPr>
            <w:tcW w:w="900" w:type="dxa"/>
            <w:vAlign w:val="bottom"/>
            <w:tcBorders>
              <w:right w:val="single" w:sz="8" w:color="006DB6"/>
            </w:tcBorders>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740" w:type="dxa"/>
            <w:vAlign w:val="bottom"/>
            <w:tcBorders>
              <w:right w:val="single" w:sz="8" w:color="006DB6"/>
            </w:tcBorders>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80" w:type="dxa"/>
            <w:vAlign w:val="bottom"/>
            <w:tcBorders>
              <w:left w:val="single" w:sz="8" w:color="E8EEF7"/>
              <w:bottom w:val="single" w:sz="8" w:color="E8EEF7"/>
              <w:right w:val="single" w:sz="8" w:color="FFC03C"/>
            </w:tcBorders>
            <w:shd w:val="clear" w:color="auto" w:fill="E8EEF7"/>
          </w:tcPr>
          <w:p>
            <w:pPr>
              <w:spacing w:after="0"/>
              <w:rPr>
                <w:sz w:val="8"/>
                <w:szCs w:val="8"/>
                <w:color w:val="auto"/>
              </w:rPr>
            </w:pPr>
          </w:p>
        </w:tc>
        <w:tc>
          <w:tcPr>
            <w:tcW w:w="1560" w:type="dxa"/>
            <w:vAlign w:val="bottom"/>
            <w:tcBorders>
              <w:bottom w:val="single" w:sz="8" w:color="FFC03C"/>
            </w:tcBorders>
          </w:tcPr>
          <w:p>
            <w:pPr>
              <w:spacing w:after="0"/>
              <w:rPr>
                <w:sz w:val="8"/>
                <w:szCs w:val="8"/>
                <w:color w:val="auto"/>
              </w:rPr>
            </w:pPr>
          </w:p>
        </w:tc>
        <w:tc>
          <w:tcPr>
            <w:tcW w:w="1360" w:type="dxa"/>
            <w:vAlign w:val="bottom"/>
            <w:tcBorders>
              <w:bottom w:val="single" w:sz="8" w:color="FFC03C"/>
              <w:right w:val="single" w:sz="8" w:color="FFC03C"/>
            </w:tcBorders>
          </w:tcPr>
          <w:p>
            <w:pPr>
              <w:spacing w:after="0"/>
              <w:rPr>
                <w:sz w:val="8"/>
                <w:szCs w:val="8"/>
                <w:color w:val="auto"/>
              </w:rPr>
            </w:pPr>
          </w:p>
        </w:tc>
        <w:tc>
          <w:tcPr>
            <w:tcW w:w="900" w:type="dxa"/>
            <w:vAlign w:val="bottom"/>
            <w:tcBorders>
              <w:bottom w:val="single" w:sz="8" w:color="E8EEF7"/>
              <w:right w:val="single" w:sz="8" w:color="006DB6"/>
            </w:tcBorders>
            <w:shd w:val="clear" w:color="auto" w:fill="E8EEF7"/>
          </w:tcPr>
          <w:p>
            <w:pPr>
              <w:spacing w:after="0"/>
              <w:rPr>
                <w:sz w:val="8"/>
                <w:szCs w:val="8"/>
                <w:color w:val="auto"/>
              </w:rPr>
            </w:pPr>
          </w:p>
        </w:tc>
        <w:tc>
          <w:tcPr>
            <w:tcW w:w="360" w:type="dxa"/>
            <w:vAlign w:val="bottom"/>
            <w:tcBorders>
              <w:bottom w:val="single" w:sz="8" w:color="006DB6"/>
            </w:tcBorders>
          </w:tcPr>
          <w:p>
            <w:pPr>
              <w:spacing w:after="0"/>
              <w:rPr>
                <w:sz w:val="8"/>
                <w:szCs w:val="8"/>
                <w:color w:val="auto"/>
              </w:rPr>
            </w:pPr>
          </w:p>
        </w:tc>
        <w:tc>
          <w:tcPr>
            <w:tcW w:w="460" w:type="dxa"/>
            <w:vAlign w:val="bottom"/>
            <w:tcBorders>
              <w:bottom w:val="single" w:sz="8" w:color="006DB6"/>
            </w:tcBorders>
          </w:tcPr>
          <w:p>
            <w:pPr>
              <w:spacing w:after="0"/>
              <w:rPr>
                <w:sz w:val="8"/>
                <w:szCs w:val="8"/>
                <w:color w:val="auto"/>
              </w:rPr>
            </w:pPr>
          </w:p>
        </w:tc>
        <w:tc>
          <w:tcPr>
            <w:tcW w:w="2740" w:type="dxa"/>
            <w:vAlign w:val="bottom"/>
            <w:tcBorders>
              <w:bottom w:val="single" w:sz="8" w:color="006DB6"/>
              <w:right w:val="single" w:sz="8" w:color="006DB6"/>
            </w:tcBorders>
          </w:tcPr>
          <w:p>
            <w:pPr>
              <w:spacing w:after="0"/>
              <w:rPr>
                <w:sz w:val="8"/>
                <w:szCs w:val="8"/>
                <w:color w:val="auto"/>
              </w:rPr>
            </w:pPr>
          </w:p>
        </w:tc>
        <w:tc>
          <w:tcPr>
            <w:tcW w:w="1480" w:type="dxa"/>
            <w:vAlign w:val="bottom"/>
            <w:tcBorders>
              <w:bottom w:val="single" w:sz="8" w:color="E8EEF7"/>
            </w:tcBorders>
            <w:shd w:val="clear" w:color="auto" w:fill="E8EEF7"/>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Badger Daylighting Ltd.</w:t>
            </w:r>
          </w:p>
        </w:tc>
        <w:tc>
          <w:tcPr>
            <w:tcW w:w="2620" w:type="dxa"/>
            <w:vAlign w:val="bottom"/>
            <w:gridSpan w:val="3"/>
            <w:shd w:val="clear" w:color="auto" w:fill="E8EEF7"/>
          </w:tcPr>
          <w:p>
            <w:pPr>
              <w:ind w:left="580"/>
              <w:spacing w:after="0"/>
              <w:rPr>
                <w:sz w:val="20"/>
                <w:szCs w:val="20"/>
                <w:color w:val="auto"/>
              </w:rPr>
            </w:pPr>
            <w:r>
              <w:rPr>
                <w:rFonts w:ascii="Arial" w:cs="Arial" w:eastAsia="Arial" w:hAnsi="Arial"/>
                <w:sz w:val="15"/>
                <w:szCs w:val="15"/>
                <w:color w:val="auto"/>
              </w:rPr>
              <w:t>Matrix Service Company</w:t>
            </w:r>
          </w:p>
        </w:tc>
        <w:tc>
          <w:tcPr>
            <w:tcW w:w="460" w:type="dxa"/>
            <w:vAlign w:val="bottom"/>
            <w:shd w:val="clear" w:color="auto" w:fill="E8EEF7"/>
          </w:tcPr>
          <w:p>
            <w:pPr>
              <w:spacing w:after="0"/>
              <w:rPr>
                <w:sz w:val="24"/>
                <w:szCs w:val="24"/>
                <w:color w:val="auto"/>
              </w:rPr>
            </w:pPr>
          </w:p>
        </w:tc>
        <w:tc>
          <w:tcPr>
            <w:tcW w:w="4220" w:type="dxa"/>
            <w:vAlign w:val="bottom"/>
            <w:gridSpan w:val="2"/>
            <w:shd w:val="clear" w:color="auto" w:fill="E8EEF7"/>
          </w:tcPr>
          <w:p>
            <w:pPr>
              <w:ind w:left="960"/>
              <w:spacing w:after="0"/>
              <w:rPr>
                <w:sz w:val="20"/>
                <w:szCs w:val="20"/>
                <w:color w:val="auto"/>
              </w:rPr>
            </w:pPr>
            <w:r>
              <w:rPr>
                <w:rFonts w:ascii="Arial" w:cs="Arial" w:eastAsia="Arial" w:hAnsi="Arial"/>
                <w:sz w:val="15"/>
                <w:szCs w:val="15"/>
                <w:color w:val="auto"/>
              </w:rPr>
              <w:t>Precision Drilling Corporation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Black Diamond Group Limited</w:t>
            </w:r>
          </w:p>
        </w:tc>
        <w:tc>
          <w:tcPr>
            <w:tcW w:w="2620" w:type="dxa"/>
            <w:vAlign w:val="bottom"/>
            <w:gridSpan w:val="3"/>
            <w:shd w:val="clear" w:color="auto" w:fill="E8EEF7"/>
          </w:tcPr>
          <w:p>
            <w:pPr>
              <w:ind w:left="580"/>
              <w:spacing w:after="0"/>
              <w:rPr>
                <w:sz w:val="20"/>
                <w:szCs w:val="20"/>
                <w:color w:val="auto"/>
              </w:rPr>
            </w:pPr>
            <w:r>
              <w:rPr>
                <w:rFonts w:ascii="Arial" w:cs="Arial" w:eastAsia="Arial" w:hAnsi="Arial"/>
                <w:sz w:val="15"/>
                <w:szCs w:val="15"/>
                <w:color w:val="auto"/>
              </w:rPr>
              <w:t>McGrath RentCorp</w:t>
            </w:r>
          </w:p>
        </w:tc>
        <w:tc>
          <w:tcPr>
            <w:tcW w:w="460" w:type="dxa"/>
            <w:vAlign w:val="bottom"/>
            <w:shd w:val="clear" w:color="auto" w:fill="E8EEF7"/>
          </w:tcPr>
          <w:p>
            <w:pPr>
              <w:spacing w:after="0"/>
              <w:rPr>
                <w:sz w:val="22"/>
                <w:szCs w:val="22"/>
                <w:color w:val="auto"/>
              </w:rPr>
            </w:pPr>
          </w:p>
        </w:tc>
        <w:tc>
          <w:tcPr>
            <w:tcW w:w="4220" w:type="dxa"/>
            <w:vAlign w:val="bottom"/>
            <w:gridSpan w:val="2"/>
            <w:shd w:val="clear" w:color="auto" w:fill="E8EEF7"/>
          </w:tcPr>
          <w:p>
            <w:pPr>
              <w:ind w:left="960"/>
              <w:spacing w:after="0"/>
              <w:rPr>
                <w:sz w:val="20"/>
                <w:szCs w:val="20"/>
                <w:color w:val="auto"/>
              </w:rPr>
            </w:pPr>
            <w:r>
              <w:rPr>
                <w:rFonts w:ascii="Arial" w:cs="Arial" w:eastAsia="Arial" w:hAnsi="Arial"/>
                <w:sz w:val="15"/>
                <w:szCs w:val="15"/>
                <w:color w:val="auto"/>
              </w:rPr>
              <w:t>Select Energy Services,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Dexterra Group</w:t>
            </w:r>
          </w:p>
        </w:tc>
        <w:tc>
          <w:tcPr>
            <w:tcW w:w="2620" w:type="dxa"/>
            <w:vAlign w:val="bottom"/>
            <w:gridSpan w:val="3"/>
            <w:shd w:val="clear" w:color="auto" w:fill="E8EEF7"/>
          </w:tcPr>
          <w:p>
            <w:pPr>
              <w:ind w:left="580"/>
              <w:spacing w:after="0"/>
              <w:rPr>
                <w:sz w:val="20"/>
                <w:szCs w:val="20"/>
                <w:color w:val="auto"/>
              </w:rPr>
            </w:pPr>
            <w:r>
              <w:rPr>
                <w:rFonts w:ascii="Arial" w:cs="Arial" w:eastAsia="Arial" w:hAnsi="Arial"/>
                <w:sz w:val="15"/>
                <w:szCs w:val="15"/>
                <w:color w:val="auto"/>
              </w:rPr>
              <w:t>Newpark Resources, Inc.</w:t>
            </w:r>
          </w:p>
        </w:tc>
        <w:tc>
          <w:tcPr>
            <w:tcW w:w="460" w:type="dxa"/>
            <w:vAlign w:val="bottom"/>
            <w:shd w:val="clear" w:color="auto" w:fill="E8EEF7"/>
          </w:tcPr>
          <w:p>
            <w:pPr>
              <w:spacing w:after="0"/>
              <w:rPr>
                <w:sz w:val="24"/>
                <w:szCs w:val="24"/>
                <w:color w:val="auto"/>
              </w:rPr>
            </w:pPr>
          </w:p>
        </w:tc>
        <w:tc>
          <w:tcPr>
            <w:tcW w:w="4220" w:type="dxa"/>
            <w:vAlign w:val="bottom"/>
            <w:gridSpan w:val="2"/>
            <w:shd w:val="clear" w:color="auto" w:fill="E8EEF7"/>
          </w:tcPr>
          <w:p>
            <w:pPr>
              <w:ind w:left="960"/>
              <w:spacing w:after="0"/>
              <w:rPr>
                <w:sz w:val="20"/>
                <w:szCs w:val="20"/>
                <w:color w:val="auto"/>
              </w:rPr>
            </w:pPr>
            <w:r>
              <w:rPr>
                <w:rFonts w:ascii="Arial" w:cs="Arial" w:eastAsia="Arial" w:hAnsi="Arial"/>
                <w:sz w:val="15"/>
                <w:szCs w:val="15"/>
                <w:color w:val="auto"/>
              </w:rPr>
              <w:t>Target Hospitality Corp.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Enerflex Ltd.</w:t>
            </w:r>
          </w:p>
        </w:tc>
        <w:tc>
          <w:tcPr>
            <w:tcW w:w="2620" w:type="dxa"/>
            <w:vAlign w:val="bottom"/>
            <w:gridSpan w:val="3"/>
            <w:shd w:val="clear" w:color="auto" w:fill="E8EEF7"/>
          </w:tcPr>
          <w:p>
            <w:pPr>
              <w:ind w:left="580"/>
              <w:spacing w:after="0"/>
              <w:rPr>
                <w:sz w:val="20"/>
                <w:szCs w:val="20"/>
                <w:color w:val="auto"/>
              </w:rPr>
            </w:pPr>
            <w:r>
              <w:rPr>
                <w:rFonts w:ascii="Arial" w:cs="Arial" w:eastAsia="Arial" w:hAnsi="Arial"/>
                <w:sz w:val="15"/>
                <w:szCs w:val="15"/>
                <w:color w:val="auto"/>
              </w:rPr>
              <w:t>Nine Energy Service, Inc.</w:t>
            </w:r>
          </w:p>
        </w:tc>
        <w:tc>
          <w:tcPr>
            <w:tcW w:w="460" w:type="dxa"/>
            <w:vAlign w:val="bottom"/>
            <w:shd w:val="clear" w:color="auto" w:fill="E8EEF7"/>
          </w:tcPr>
          <w:p>
            <w:pPr>
              <w:spacing w:after="0"/>
              <w:rPr>
                <w:sz w:val="24"/>
                <w:szCs w:val="24"/>
                <w:color w:val="auto"/>
              </w:rPr>
            </w:pPr>
          </w:p>
        </w:tc>
        <w:tc>
          <w:tcPr>
            <w:tcW w:w="4220" w:type="dxa"/>
            <w:vAlign w:val="bottom"/>
            <w:gridSpan w:val="2"/>
            <w:shd w:val="clear" w:color="auto" w:fill="E8EEF7"/>
          </w:tcPr>
          <w:p>
            <w:pPr>
              <w:ind w:left="960"/>
              <w:spacing w:after="0"/>
              <w:rPr>
                <w:sz w:val="20"/>
                <w:szCs w:val="20"/>
                <w:color w:val="auto"/>
              </w:rPr>
            </w:pPr>
            <w:r>
              <w:rPr>
                <w:rFonts w:ascii="Arial" w:cs="Arial" w:eastAsia="Arial" w:hAnsi="Arial"/>
                <w:sz w:val="15"/>
                <w:szCs w:val="15"/>
                <w:color w:val="auto"/>
              </w:rPr>
              <w:t>TETRA Technologies,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Exterran Corporation</w:t>
            </w:r>
          </w:p>
        </w:tc>
        <w:tc>
          <w:tcPr>
            <w:tcW w:w="3080" w:type="dxa"/>
            <w:vAlign w:val="bottom"/>
            <w:gridSpan w:val="4"/>
            <w:shd w:val="clear" w:color="auto" w:fill="E8EEF7"/>
          </w:tcPr>
          <w:p>
            <w:pPr>
              <w:ind w:left="580"/>
              <w:spacing w:after="0"/>
              <w:rPr>
                <w:sz w:val="20"/>
                <w:szCs w:val="20"/>
                <w:color w:val="auto"/>
              </w:rPr>
            </w:pPr>
            <w:r>
              <w:rPr>
                <w:rFonts w:ascii="Arial" w:cs="Arial" w:eastAsia="Arial" w:hAnsi="Arial"/>
                <w:sz w:val="15"/>
                <w:szCs w:val="15"/>
                <w:color w:val="auto"/>
              </w:rPr>
              <w:t>North American Construction Group</w:t>
            </w:r>
          </w:p>
        </w:tc>
        <w:tc>
          <w:tcPr>
            <w:tcW w:w="4220" w:type="dxa"/>
            <w:vAlign w:val="bottom"/>
            <w:gridSpan w:val="2"/>
            <w:shd w:val="clear" w:color="auto" w:fill="E8EEF7"/>
          </w:tcPr>
          <w:p>
            <w:pPr>
              <w:ind w:left="960"/>
              <w:spacing w:after="0"/>
              <w:rPr>
                <w:sz w:val="20"/>
                <w:szCs w:val="20"/>
                <w:color w:val="auto"/>
              </w:rPr>
            </w:pPr>
            <w:r>
              <w:rPr>
                <w:rFonts w:ascii="Arial" w:cs="Arial" w:eastAsia="Arial" w:hAnsi="Arial"/>
                <w:sz w:val="15"/>
                <w:szCs w:val="15"/>
                <w:color w:val="auto"/>
              </w:rPr>
              <w:t>Total Energy Services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5"/>
                <w:szCs w:val="15"/>
                <w:color w:val="auto"/>
              </w:rPr>
              <w:t>Forum Energy Technologies, Inc.</w:t>
            </w:r>
          </w:p>
        </w:tc>
        <w:tc>
          <w:tcPr>
            <w:tcW w:w="2620" w:type="dxa"/>
            <w:vAlign w:val="bottom"/>
            <w:gridSpan w:val="3"/>
            <w:shd w:val="clear" w:color="auto" w:fill="E8EEF7"/>
          </w:tcPr>
          <w:p>
            <w:pPr>
              <w:ind w:left="580"/>
              <w:spacing w:after="0"/>
              <w:rPr>
                <w:sz w:val="20"/>
                <w:szCs w:val="20"/>
                <w:color w:val="auto"/>
              </w:rPr>
            </w:pPr>
            <w:r>
              <w:rPr>
                <w:rFonts w:ascii="Arial" w:cs="Arial" w:eastAsia="Arial" w:hAnsi="Arial"/>
                <w:sz w:val="15"/>
                <w:szCs w:val="15"/>
                <w:color w:val="auto"/>
              </w:rPr>
              <w:t>Oil States International, Inc.</w:t>
            </w:r>
          </w:p>
        </w:tc>
        <w:tc>
          <w:tcPr>
            <w:tcW w:w="460" w:type="dxa"/>
            <w:vAlign w:val="bottom"/>
            <w:shd w:val="clear" w:color="auto" w:fill="E8EEF7"/>
          </w:tcPr>
          <w:p>
            <w:pPr>
              <w:spacing w:after="0"/>
              <w:rPr>
                <w:sz w:val="24"/>
                <w:szCs w:val="24"/>
                <w:color w:val="auto"/>
              </w:rPr>
            </w:pPr>
          </w:p>
        </w:tc>
        <w:tc>
          <w:tcPr>
            <w:tcW w:w="2740" w:type="dxa"/>
            <w:vAlign w:val="bottom"/>
            <w:tcBorders>
              <w:right w:val="single" w:sz="8" w:color="E8EEF7"/>
            </w:tcBorders>
            <w:shd w:val="clear" w:color="auto" w:fill="E8EEF7"/>
          </w:tcPr>
          <w:p>
            <w:pPr>
              <w:spacing w:after="0"/>
              <w:rPr>
                <w:sz w:val="24"/>
                <w:szCs w:val="24"/>
                <w:color w:val="auto"/>
              </w:rPr>
            </w:pPr>
          </w:p>
        </w:tc>
        <w:tc>
          <w:tcPr>
            <w:tcW w:w="1480" w:type="dxa"/>
            <w:vAlign w:val="bottom"/>
            <w:shd w:val="clear" w:color="auto" w:fill="E8EEF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E8EEF7"/>
              <w:right w:val="single" w:sz="8" w:color="E8EEF7"/>
            </w:tcBorders>
            <w:shd w:val="clear" w:color="auto" w:fill="E8EEF7"/>
          </w:tcPr>
          <w:p>
            <w:pPr>
              <w:spacing w:after="0"/>
              <w:rPr>
                <w:sz w:val="16"/>
                <w:szCs w:val="16"/>
                <w:color w:val="auto"/>
              </w:rPr>
            </w:pPr>
          </w:p>
        </w:tc>
        <w:tc>
          <w:tcPr>
            <w:tcW w:w="1560" w:type="dxa"/>
            <w:vAlign w:val="bottom"/>
            <w:shd w:val="clear" w:color="auto" w:fill="E8EEF7"/>
          </w:tcPr>
          <w:p>
            <w:pPr>
              <w:spacing w:after="0"/>
              <w:rPr>
                <w:sz w:val="16"/>
                <w:szCs w:val="16"/>
                <w:color w:val="auto"/>
              </w:rPr>
            </w:pPr>
          </w:p>
        </w:tc>
        <w:tc>
          <w:tcPr>
            <w:tcW w:w="1360" w:type="dxa"/>
            <w:vAlign w:val="bottom"/>
            <w:tcBorders>
              <w:right w:val="single" w:sz="8" w:color="E8EEF7"/>
            </w:tcBorders>
            <w:shd w:val="clear" w:color="auto" w:fill="E8EEF7"/>
          </w:tcPr>
          <w:p>
            <w:pPr>
              <w:spacing w:after="0"/>
              <w:rPr>
                <w:sz w:val="16"/>
                <w:szCs w:val="16"/>
                <w:color w:val="auto"/>
              </w:rPr>
            </w:pPr>
          </w:p>
        </w:tc>
        <w:tc>
          <w:tcPr>
            <w:tcW w:w="900" w:type="dxa"/>
            <w:vAlign w:val="bottom"/>
            <w:tcBorders>
              <w:right w:val="single" w:sz="8" w:color="E8EEF7"/>
            </w:tcBorders>
            <w:shd w:val="clear" w:color="auto" w:fill="E8EEF7"/>
          </w:tcPr>
          <w:p>
            <w:pPr>
              <w:spacing w:after="0"/>
              <w:rPr>
                <w:sz w:val="16"/>
                <w:szCs w:val="16"/>
                <w:color w:val="auto"/>
              </w:rPr>
            </w:pPr>
          </w:p>
        </w:tc>
        <w:tc>
          <w:tcPr>
            <w:tcW w:w="360" w:type="dxa"/>
            <w:vAlign w:val="bottom"/>
            <w:shd w:val="clear" w:color="auto" w:fill="E8EEF7"/>
          </w:tcPr>
          <w:p>
            <w:pPr>
              <w:spacing w:after="0"/>
              <w:rPr>
                <w:sz w:val="16"/>
                <w:szCs w:val="16"/>
                <w:color w:val="auto"/>
              </w:rPr>
            </w:pPr>
          </w:p>
        </w:tc>
        <w:tc>
          <w:tcPr>
            <w:tcW w:w="460" w:type="dxa"/>
            <w:vAlign w:val="bottom"/>
            <w:shd w:val="clear" w:color="auto" w:fill="E8EEF7"/>
          </w:tcPr>
          <w:p>
            <w:pPr>
              <w:spacing w:after="0"/>
              <w:rPr>
                <w:sz w:val="16"/>
                <w:szCs w:val="16"/>
                <w:color w:val="auto"/>
              </w:rPr>
            </w:pPr>
          </w:p>
        </w:tc>
        <w:tc>
          <w:tcPr>
            <w:tcW w:w="2740" w:type="dxa"/>
            <w:vAlign w:val="bottom"/>
            <w:tcBorders>
              <w:right w:val="single" w:sz="8" w:color="E8EEF7"/>
            </w:tcBorders>
            <w:shd w:val="clear" w:color="auto" w:fill="E8EEF7"/>
          </w:tcPr>
          <w:p>
            <w:pPr>
              <w:spacing w:after="0"/>
              <w:rPr>
                <w:sz w:val="16"/>
                <w:szCs w:val="16"/>
                <w:color w:val="auto"/>
              </w:rPr>
            </w:pPr>
          </w:p>
        </w:tc>
        <w:tc>
          <w:tcPr>
            <w:tcW w:w="1480" w:type="dxa"/>
            <w:vAlign w:val="bottom"/>
            <w:shd w:val="clear" w:color="auto" w:fill="E8EEF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0" w:space="600"/>
            <w:col w:w="10280"/>
          </w:cols>
          <w:pgMar w:left="320" w:top="123"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2021 Peer Group</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In late 2020, Mercer reviewed Civeo’s peer group of companies used for benchmarking purposes to assess the ongoing competitiveness and suitability of Civeo’s compensation programs and practices. Following that review, Mercer recommended that Unit Corp. and Quintana Energy Services Inc. be removed as both companies were taken private. Further, Mercer recommended removing Basic Energy Services, STEP Energy Services and Source Energy Services as a result of its significantly lower small market capitalization. Further, Mercer recommended that Badger Daylighting Ltd., Enerflex Ltd., McGrath RentCorp, North American Construction Group and Target Hospitality Corp. be added to the peer group based on most of the added companies serving the oil and gas industry and their comparability with other companies in the peer group. The Compensation Committee approved these changes to the peer group, and it was determined that, unless otherwise determined in subsequent peer group evaluations, this new peer group is intended to be used by the Compensation Committee for compensation evaluation purposes for 2021.</w:t>
      </w:r>
    </w:p>
    <w:p>
      <w:pPr>
        <w:spacing w:after="0" w:line="200" w:lineRule="exact"/>
        <w:rPr>
          <w:sz w:val="20"/>
          <w:szCs w:val="20"/>
          <w:color w:val="auto"/>
        </w:rPr>
      </w:pPr>
    </w:p>
    <w:p>
      <w:pPr>
        <w:spacing w:after="0" w:line="30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bl>
    <w:p>
      <w:pPr>
        <w:sectPr>
          <w:pgSz w:w="11900" w:h="16838" w:orient="portrait"/>
          <w:cols w:equalWidth="0" w:num="1">
            <w:col w:w="11240"/>
          </w:cols>
          <w:pgMar w:left="320" w:top="12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Compensation and Risk Management</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Civeo’s compensation programs have been designed to (i) promote financial, operational and organizational growth, while giving due consideration to broader enterprise risk management issues and (ii) maintain a balance between short and long-term incentive compensation, company growth, shareholder returns and risk. The Compensation Committee, in its sole discretion, retains full authority to adjust any aspect of Civeo’s compensation programs.</w:t>
      </w:r>
    </w:p>
    <w:p>
      <w:pPr>
        <w:spacing w:after="0" w:line="85"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85"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by the Compensation Committee. The following specific factors, in particular, reduce the likelihood of excessive risk-taking:</w:t>
      </w:r>
    </w:p>
    <w:p>
      <w:pPr>
        <w:spacing w:after="0" w:line="85" w:lineRule="exact"/>
        <w:rPr>
          <w:sz w:val="20"/>
          <w:szCs w:val="20"/>
          <w:color w:val="auto"/>
        </w:rPr>
      </w:pPr>
    </w:p>
    <w:p>
      <w:pPr>
        <w:ind w:left="180" w:right="580" w:hanging="177"/>
        <w:spacing w:after="0" w:line="267" w:lineRule="auto"/>
        <w:tabs>
          <w:tab w:leader="none" w:pos="152" w:val="left"/>
        </w:tabs>
        <w:numPr>
          <w:ilvl w:val="0"/>
          <w:numId w:val="36"/>
        </w:numPr>
        <w:rPr>
          <w:rFonts w:ascii="Arial" w:cs="Arial" w:eastAsia="Arial" w:hAnsi="Arial"/>
          <w:sz w:val="15"/>
          <w:szCs w:val="15"/>
          <w:color w:val="006DB6"/>
        </w:rPr>
      </w:pPr>
      <w:r>
        <w:rPr>
          <w:rFonts w:ascii="Arial" w:cs="Arial" w:eastAsia="Arial" w:hAnsi="Arial"/>
          <w:sz w:val="15"/>
          <w:szCs w:val="15"/>
          <w:color w:val="auto"/>
        </w:rPr>
        <w:t>Our overall executive compensation levels are competitive with the market, based on information provided by the Compensation Committee’s independent consultant, Mercer and reviewed by the Compensation Committee;</w:t>
      </w:r>
    </w:p>
    <w:p>
      <w:pPr>
        <w:spacing w:after="0" w:line="39" w:lineRule="exact"/>
        <w:rPr>
          <w:rFonts w:ascii="Arial" w:cs="Arial" w:eastAsia="Arial" w:hAnsi="Arial"/>
          <w:sz w:val="15"/>
          <w:szCs w:val="15"/>
          <w:color w:val="006DB6"/>
        </w:rPr>
      </w:pPr>
    </w:p>
    <w:p>
      <w:pPr>
        <w:ind w:left="180" w:right="20" w:hanging="177"/>
        <w:spacing w:after="0" w:line="258" w:lineRule="auto"/>
        <w:tabs>
          <w:tab w:leader="none" w:pos="152" w:val="left"/>
        </w:tabs>
        <w:numPr>
          <w:ilvl w:val="0"/>
          <w:numId w:val="36"/>
        </w:numPr>
        <w:rPr>
          <w:rFonts w:ascii="Arial" w:cs="Arial" w:eastAsia="Arial" w:hAnsi="Arial"/>
          <w:sz w:val="15"/>
          <w:szCs w:val="15"/>
          <w:color w:val="006DB6"/>
        </w:rPr>
      </w:pPr>
      <w:r>
        <w:rPr>
          <w:rFonts w:ascii="Arial" w:cs="Arial" w:eastAsia="Arial" w:hAnsi="Arial"/>
          <w:sz w:val="15"/>
          <w:szCs w:val="15"/>
          <w:color w:val="auto"/>
        </w:rPr>
        <w:t>Our executive compensation mix is balanced among (i) fixed components including salary and benefits, (ii) capped annual incentives that reward our overall financial and operating performance and (iii) long-term incentives, 50% of which are generally performance-based for named executive officers, to more closely tie executive compensation to shareholder interests and to provide for a substantial portion of at-risk compensation in relation to share price performance;</w:t>
      </w:r>
    </w:p>
    <w:p>
      <w:pPr>
        <w:spacing w:after="0" w:line="59" w:lineRule="exact"/>
        <w:rPr>
          <w:rFonts w:ascii="Arial" w:cs="Arial" w:eastAsia="Arial" w:hAnsi="Arial"/>
          <w:sz w:val="15"/>
          <w:szCs w:val="15"/>
          <w:color w:val="006DB6"/>
        </w:rPr>
      </w:pPr>
    </w:p>
    <w:p>
      <w:pPr>
        <w:ind w:left="180" w:right="340" w:hanging="177"/>
        <w:spacing w:after="0" w:line="267" w:lineRule="auto"/>
        <w:tabs>
          <w:tab w:leader="none" w:pos="152" w:val="left"/>
        </w:tabs>
        <w:numPr>
          <w:ilvl w:val="0"/>
          <w:numId w:val="36"/>
        </w:numPr>
        <w:rPr>
          <w:rFonts w:ascii="Arial" w:cs="Arial" w:eastAsia="Arial" w:hAnsi="Arial"/>
          <w:sz w:val="15"/>
          <w:szCs w:val="15"/>
          <w:color w:val="006DB6"/>
        </w:rPr>
      </w:pPr>
      <w:r>
        <w:rPr>
          <w:rFonts w:ascii="Arial" w:cs="Arial" w:eastAsia="Arial" w:hAnsi="Arial"/>
          <w:sz w:val="15"/>
          <w:szCs w:val="15"/>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39" w:lineRule="exact"/>
        <w:rPr>
          <w:rFonts w:ascii="Arial" w:cs="Arial" w:eastAsia="Arial" w:hAnsi="Arial"/>
          <w:sz w:val="15"/>
          <w:szCs w:val="15"/>
          <w:color w:val="006DB6"/>
        </w:rPr>
      </w:pPr>
    </w:p>
    <w:p>
      <w:pPr>
        <w:ind w:left="180" w:right="40" w:hanging="177"/>
        <w:spacing w:after="0" w:line="267" w:lineRule="auto"/>
        <w:tabs>
          <w:tab w:leader="none" w:pos="152" w:val="left"/>
        </w:tabs>
        <w:numPr>
          <w:ilvl w:val="0"/>
          <w:numId w:val="36"/>
        </w:numPr>
        <w:rPr>
          <w:rFonts w:ascii="Arial" w:cs="Arial" w:eastAsia="Arial" w:hAnsi="Arial"/>
          <w:sz w:val="15"/>
          <w:szCs w:val="15"/>
          <w:color w:val="006DB6"/>
        </w:rPr>
      </w:pPr>
      <w:r>
        <w:rPr>
          <w:rFonts w:ascii="Arial" w:cs="Arial" w:eastAsia="Arial" w:hAnsi="Arial"/>
          <w:sz w:val="15"/>
          <w:szCs w:val="15"/>
          <w:color w:val="auto"/>
        </w:rPr>
        <w:t>We have established maximum award levels as a cap on performance incentives. Beginning in 2021, the Compensation Committee capped all future performance shares at 100% payout (Target), if Civeo’s relative TSR over the performance period is negative, irrespective of relative performance.</w:t>
      </w:r>
    </w:p>
    <w:p>
      <w:pPr>
        <w:spacing w:after="0" w:line="78"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In summary, although a portion of the compensation provided to our named executive officers is based on our overall performance or division performance, we believe our compensation programs do not encourage excessive or unnecessary risk-taking by our named executive officers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Compensation Program Components</w:t>
      </w:r>
    </w:p>
    <w:p>
      <w:pPr>
        <w:spacing w:after="0" w:line="139"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This section outlines each of the components of our compensation program. Compensation decisions specific to our named executive officers for 2020 for each of these components are discussed in greater detail under 2020 Executive Compensation. Overall compensation consists of base salary, annual performance incentive awards and long-term incentive awards.</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Base Salary</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seniority,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In light of the market environment in early 2020, including the near term outlook for oil and gas activity, Mr. Dodson volunteered for a 20% interim annualized salary reduction to $600,000, with a corresponding reduction to his potential bonus under the AICP for 2020, effective as of April 2, 2020. In addition, Mr. Schoening and Ms. Stone both agreed to reduce their base salaries from April 2, 2020 through September 30, 2020 by 10%, with a corresponding decrease to their potential bonuses under the AICP. Mr. Schoening and Ms. Stone both received increases to their base salaries on October 1, 2020 to return to the base salary in place prior to the reduction. No reductions to Mr. McCann’s salary or target AICP were made in 2020.</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Base salaries, as in effect on December 31, 2020, and target AICP levels for 2020, are set forth below for each named executive officer. The base salary for Mr.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Dodson reflects a reduced salary for the majority of 2020. Mr. Dodson's salary was returned to $750,000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166370</wp:posOffset>
            </wp:positionV>
            <wp:extent cx="374650" cy="1873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220"/>
          </w:cols>
          <w:pgMar w:left="320" w:top="123"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Arial" w:cs="Arial" w:eastAsia="Arial" w:hAnsi="Arial"/>
                <w:sz w:val="14"/>
                <w:szCs w:val="14"/>
                <w:b w:val="1"/>
                <w:bCs w:val="1"/>
                <w:color w:val="70706F"/>
                <w:w w:val="98"/>
              </w:rPr>
              <w:t>Base Salary</w:t>
            </w:r>
          </w:p>
        </w:tc>
        <w:tc>
          <w:tcPr>
            <w:tcW w:w="1080" w:type="dxa"/>
            <w:vAlign w:val="bottom"/>
          </w:tcPr>
          <w:p>
            <w:pPr>
              <w:spacing w:after="0"/>
              <w:rPr>
                <w:sz w:val="14"/>
                <w:szCs w:val="14"/>
                <w:color w:val="auto"/>
              </w:rPr>
            </w:pPr>
          </w:p>
        </w:tc>
      </w:tr>
      <w:tr>
        <w:trPr>
          <w:trHeight w:val="197"/>
        </w:trPr>
        <w:tc>
          <w:tcPr>
            <w:tcW w:w="18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800" w:type="dxa"/>
            <w:vAlign w:val="bottom"/>
            <w:tcBorders>
              <w:bottom w:val="single" w:sz="8" w:color="006DB6"/>
            </w:tcBorders>
          </w:tcPr>
          <w:p>
            <w:pPr>
              <w:ind w:left="360"/>
              <w:spacing w:after="0"/>
              <w:rPr>
                <w:sz w:val="20"/>
                <w:szCs w:val="20"/>
                <w:color w:val="auto"/>
              </w:rPr>
            </w:pPr>
            <w:r>
              <w:rPr>
                <w:rFonts w:ascii="Arial" w:cs="Arial" w:eastAsia="Arial" w:hAnsi="Arial"/>
                <w:sz w:val="14"/>
                <w:szCs w:val="14"/>
                <w:b w:val="1"/>
                <w:bCs w:val="1"/>
                <w:color w:val="70706F"/>
              </w:rPr>
              <w:t>Position (December 31, 2020)</w:t>
            </w:r>
          </w:p>
        </w:tc>
        <w:tc>
          <w:tcPr>
            <w:tcW w:w="1480" w:type="dxa"/>
            <w:vAlign w:val="bottom"/>
            <w:tcBorders>
              <w:bottom w:val="single" w:sz="8" w:color="006DB6"/>
            </w:tcBorders>
          </w:tcPr>
          <w:p>
            <w:pPr>
              <w:spacing w:after="0"/>
              <w:rPr>
                <w:sz w:val="17"/>
                <w:szCs w:val="17"/>
                <w:color w:val="auto"/>
              </w:rPr>
            </w:pPr>
          </w:p>
        </w:tc>
        <w:tc>
          <w:tcPr>
            <w:tcW w:w="1080" w:type="dxa"/>
            <w:vAlign w:val="bottom"/>
            <w:tcBorders>
              <w:bottom w:val="single" w:sz="8" w:color="006DB6"/>
            </w:tcBorders>
          </w:tcPr>
          <w:p>
            <w:pPr>
              <w:jc w:val="right"/>
              <w:ind w:right="206"/>
              <w:spacing w:after="0"/>
              <w:rPr>
                <w:sz w:val="20"/>
                <w:szCs w:val="20"/>
                <w:color w:val="auto"/>
              </w:rPr>
            </w:pPr>
            <w:r>
              <w:rPr>
                <w:rFonts w:ascii="Arial" w:cs="Arial" w:eastAsia="Arial" w:hAnsi="Arial"/>
                <w:sz w:val="14"/>
                <w:szCs w:val="14"/>
                <w:b w:val="1"/>
                <w:bCs w:val="1"/>
                <w:color w:val="70706F"/>
              </w:rPr>
              <w:t>(USD)</w:t>
            </w: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Target AICP</w:t>
            </w:r>
          </w:p>
        </w:tc>
      </w:tr>
      <w:tr>
        <w:trPr>
          <w:trHeight w:val="224"/>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President and Chief Executive Officer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600,000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24"/>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Senior Vice President, Chief Financial Officer and Treasurer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340,000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60 %</w:t>
            </w:r>
          </w:p>
        </w:tc>
      </w:tr>
      <w:tr>
        <w:trPr>
          <w:trHeight w:val="224"/>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Senior Vice President, Australia</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300,411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65 %</w:t>
            </w:r>
          </w:p>
        </w:tc>
      </w:tr>
      <w:tr>
        <w:trPr>
          <w:trHeight w:val="213"/>
        </w:trPr>
        <w:tc>
          <w:tcPr>
            <w:tcW w:w="180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5800" w:type="dxa"/>
            <w:vAlign w:val="bottom"/>
          </w:tcPr>
          <w:p>
            <w:pPr>
              <w:ind w:left="360"/>
              <w:spacing w:after="0"/>
              <w:rPr>
                <w:sz w:val="20"/>
                <w:szCs w:val="20"/>
                <w:color w:val="auto"/>
              </w:rPr>
            </w:pPr>
            <w:r>
              <w:rPr>
                <w:rFonts w:ascii="Arial" w:cs="Arial" w:eastAsia="Arial" w:hAnsi="Arial"/>
                <w:sz w:val="15"/>
                <w:szCs w:val="15"/>
                <w:color w:val="auto"/>
              </w:rPr>
              <w:t>Senior Vice President, Canada</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46"/>
              <w:spacing w:after="0"/>
              <w:rPr>
                <w:sz w:val="20"/>
                <w:szCs w:val="20"/>
                <w:color w:val="auto"/>
              </w:rPr>
            </w:pPr>
            <w:r>
              <w:rPr>
                <w:rFonts w:ascii="Arial" w:cs="Arial" w:eastAsia="Arial" w:hAnsi="Arial"/>
                <w:sz w:val="15"/>
                <w:szCs w:val="15"/>
                <w:color w:val="auto"/>
              </w:rPr>
              <w:t>354,493</w:t>
            </w:r>
          </w:p>
        </w:tc>
        <w:tc>
          <w:tcPr>
            <w:tcW w:w="1080" w:type="dxa"/>
            <w:vAlign w:val="bottom"/>
          </w:tcPr>
          <w:p>
            <w:pPr>
              <w:jc w:val="right"/>
              <w:spacing w:after="0"/>
              <w:rPr>
                <w:sz w:val="20"/>
                <w:szCs w:val="20"/>
                <w:color w:val="auto"/>
              </w:rPr>
            </w:pPr>
            <w:r>
              <w:rPr>
                <w:rFonts w:ascii="Arial" w:cs="Arial" w:eastAsia="Arial" w:hAnsi="Arial"/>
                <w:sz w:val="15"/>
                <w:szCs w:val="15"/>
                <w:color w:val="auto"/>
              </w:rPr>
              <w:t>60 %</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Annual Incentive Compensation Plan</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85"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2020, achieving results which exceeded a minimum, or threshold, level of performance triggered an AICP payout. Performance results at or below threshold (</w:t>
      </w:r>
      <w:r>
        <w:rPr>
          <w:rFonts w:ascii="Arial" w:cs="Arial" w:eastAsia="Arial" w:hAnsi="Arial"/>
          <w:sz w:val="15"/>
          <w:szCs w:val="15"/>
          <w:i w:val="1"/>
          <w:iCs w:val="1"/>
          <w:color w:val="auto"/>
        </w:rPr>
        <w:t>i.e.</w:t>
      </w:r>
      <w:r>
        <w:rPr>
          <w:rFonts w:ascii="Arial" w:cs="Arial" w:eastAsia="Arial" w:hAnsi="Arial"/>
          <w:sz w:val="15"/>
          <w:szCs w:val="15"/>
          <w:color w:val="auto"/>
        </w:rPr>
        <w:t>, typically achieving a percentage less than 85% of the related AICP performance objective) results in no AICP award. A target award is earned when an executive achieves 100% of his or her budgeted safety and financial performance objectives. Overachievement is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BETWEEN BASE SALARY, TARGET AICP AND MAXIMUM AICP AWARD</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70706F"/>
        </w:rPr>
        <w:t>Target AICP</w:t>
      </w:r>
    </w:p>
    <w:p>
      <w:pPr>
        <w:spacing w:after="0" w:line="9" w:lineRule="exact"/>
        <w:rPr>
          <w:sz w:val="20"/>
          <w:szCs w:val="20"/>
          <w:color w:val="auto"/>
        </w:rPr>
      </w:pPr>
    </w:p>
    <w:p>
      <w:pPr>
        <w:ind w:left="20"/>
        <w:spacing w:after="0"/>
        <w:tabs>
          <w:tab w:leader="none" w:pos="2340" w:val="left"/>
          <w:tab w:leader="none" w:pos="3740" w:val="left"/>
          <w:tab w:leader="none" w:pos="5300" w:val="left"/>
          <w:tab w:leader="none" w:pos="8200" w:val="left"/>
        </w:tabs>
        <w:rPr>
          <w:sz w:val="20"/>
          <w:szCs w:val="20"/>
          <w:color w:val="auto"/>
        </w:rPr>
      </w:pPr>
      <w:r>
        <w:rPr>
          <w:rFonts w:ascii="Arial" w:cs="Arial" w:eastAsia="Arial" w:hAnsi="Arial"/>
          <w:sz w:val="14"/>
          <w:szCs w:val="14"/>
          <w:b w:val="1"/>
          <w:bCs w:val="1"/>
          <w:color w:val="70706F"/>
        </w:rPr>
        <w:t>Named Executive Officer</w:t>
      </w:r>
      <w:r>
        <w:rPr>
          <w:sz w:val="20"/>
          <w:szCs w:val="20"/>
          <w:color w:val="auto"/>
        </w:rPr>
        <w:tab/>
      </w:r>
      <w:r>
        <w:rPr>
          <w:rFonts w:ascii="Arial" w:cs="Arial" w:eastAsia="Arial" w:hAnsi="Arial"/>
          <w:sz w:val="14"/>
          <w:szCs w:val="14"/>
          <w:b w:val="1"/>
          <w:bCs w:val="1"/>
          <w:color w:val="70706F"/>
        </w:rPr>
        <w:t>(% of base salary)</w:t>
      </w:r>
      <w:r>
        <w:rPr>
          <w:sz w:val="20"/>
          <w:szCs w:val="20"/>
          <w:color w:val="auto"/>
        </w:rPr>
        <w:tab/>
      </w:r>
      <w:r>
        <w:rPr>
          <w:rFonts w:ascii="Arial" w:cs="Arial" w:eastAsia="Arial" w:hAnsi="Arial"/>
          <w:sz w:val="14"/>
          <w:szCs w:val="14"/>
          <w:b w:val="1"/>
          <w:bCs w:val="1"/>
          <w:color w:val="70706F"/>
        </w:rPr>
        <w:t>Threshold</w:t>
      </w:r>
      <w:r>
        <w:rPr>
          <w:sz w:val="20"/>
          <w:szCs w:val="20"/>
          <w:color w:val="auto"/>
        </w:rPr>
        <w:tab/>
      </w:r>
      <w:r>
        <w:rPr>
          <w:rFonts w:ascii="Arial" w:cs="Arial" w:eastAsia="Arial" w:hAnsi="Arial"/>
          <w:sz w:val="14"/>
          <w:szCs w:val="14"/>
          <w:b w:val="1"/>
          <w:bCs w:val="1"/>
          <w:color w:val="70706F"/>
        </w:rPr>
        <w:t>Target</w:t>
      </w:r>
      <w:r>
        <w:rPr>
          <w:sz w:val="20"/>
          <w:szCs w:val="20"/>
          <w:color w:val="auto"/>
        </w:rPr>
        <w:tab/>
      </w:r>
      <w:r>
        <w:rPr>
          <w:rFonts w:ascii="Arial" w:cs="Arial" w:eastAsia="Arial" w:hAnsi="Arial"/>
          <w:sz w:val="13"/>
          <w:szCs w:val="13"/>
          <w:b w:val="1"/>
          <w:bCs w:val="1"/>
          <w:color w:val="70706F"/>
        </w:rPr>
        <w:t>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930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ind w:left="20"/>
              <w:spacing w:after="0"/>
              <w:rPr>
                <w:sz w:val="20"/>
                <w:szCs w:val="20"/>
                <w:color w:val="auto"/>
              </w:rPr>
            </w:pPr>
            <w:r>
              <w:rPr>
                <w:rFonts w:ascii="Arial" w:cs="Arial" w:eastAsia="Arial" w:hAnsi="Arial"/>
                <w:sz w:val="15"/>
                <w:szCs w:val="15"/>
                <w:b w:val="1"/>
                <w:bCs w:val="1"/>
                <w:color w:val="006DB6"/>
              </w:rPr>
              <w:t>Bradley J. Dodson</w:t>
            </w:r>
          </w:p>
        </w:tc>
        <w:tc>
          <w:tcPr>
            <w:tcW w:w="1660" w:type="dxa"/>
            <w:vAlign w:val="bottom"/>
          </w:tcPr>
          <w:p>
            <w:pPr>
              <w:jc w:val="center"/>
              <w:spacing w:after="0"/>
              <w:rPr>
                <w:sz w:val="20"/>
                <w:szCs w:val="20"/>
                <w:color w:val="auto"/>
              </w:rPr>
            </w:pPr>
            <w:r>
              <w:rPr>
                <w:rFonts w:ascii="Arial" w:cs="Arial" w:eastAsia="Arial" w:hAnsi="Arial"/>
                <w:sz w:val="15"/>
                <w:szCs w:val="15"/>
                <w:color w:val="auto"/>
              </w:rPr>
              <w:t>100%</w:t>
            </w:r>
          </w:p>
        </w:tc>
        <w:tc>
          <w:tcPr>
            <w:tcW w:w="1340" w:type="dxa"/>
            <w:vAlign w:val="bottom"/>
          </w:tcPr>
          <w:p>
            <w:pPr>
              <w:ind w:left="20"/>
              <w:spacing w:after="0"/>
              <w:rPr>
                <w:sz w:val="20"/>
                <w:szCs w:val="20"/>
                <w:color w:val="auto"/>
              </w:rPr>
            </w:pPr>
            <w:r>
              <w:rPr>
                <w:rFonts w:ascii="Arial" w:cs="Arial" w:eastAsia="Arial" w:hAnsi="Arial"/>
                <w:sz w:val="15"/>
                <w:szCs w:val="15"/>
                <w:color w:val="auto"/>
              </w:rPr>
              <w:t>No AICP award</w:t>
            </w:r>
          </w:p>
        </w:tc>
        <w:tc>
          <w:tcPr>
            <w:tcW w:w="2940" w:type="dxa"/>
            <w:vAlign w:val="bottom"/>
          </w:tcPr>
          <w:p>
            <w:pPr>
              <w:ind w:left="240"/>
              <w:spacing w:after="0"/>
              <w:rPr>
                <w:sz w:val="20"/>
                <w:szCs w:val="20"/>
                <w:color w:val="auto"/>
              </w:rPr>
            </w:pPr>
            <w:r>
              <w:rPr>
                <w:rFonts w:ascii="Arial" w:cs="Arial" w:eastAsia="Arial" w:hAnsi="Arial"/>
                <w:sz w:val="15"/>
                <w:szCs w:val="15"/>
                <w:color w:val="auto"/>
              </w:rPr>
              <w:t>Earned when an executive achieves</w:t>
            </w:r>
          </w:p>
        </w:tc>
        <w:tc>
          <w:tcPr>
            <w:tcW w:w="0" w:type="dxa"/>
            <w:vAlign w:val="bottom"/>
          </w:tcPr>
          <w:p>
            <w:pPr>
              <w:spacing w:after="0"/>
              <w:rPr>
                <w:sz w:val="1"/>
                <w:szCs w:val="1"/>
                <w:color w:val="auto"/>
              </w:rPr>
            </w:pPr>
          </w:p>
        </w:tc>
      </w:tr>
      <w:tr>
        <w:trPr>
          <w:trHeight w:val="24"/>
        </w:trPr>
        <w:tc>
          <w:tcPr>
            <w:tcW w:w="2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940" w:type="dxa"/>
            <w:vAlign w:val="bottom"/>
            <w:vMerge w:val="restart"/>
          </w:tcPr>
          <w:p>
            <w:pPr>
              <w:ind w:left="240"/>
              <w:spacing w:after="0"/>
              <w:rPr>
                <w:sz w:val="20"/>
                <w:szCs w:val="20"/>
                <w:color w:val="auto"/>
              </w:rPr>
            </w:pPr>
            <w:r>
              <w:rPr>
                <w:rFonts w:ascii="Arial" w:cs="Arial" w:eastAsia="Arial" w:hAnsi="Arial"/>
                <w:sz w:val="15"/>
                <w:szCs w:val="15"/>
                <w:color w:val="auto"/>
              </w:rPr>
              <w:t>100% of his or her budgeted safety and</w:t>
            </w:r>
          </w:p>
        </w:tc>
        <w:tc>
          <w:tcPr>
            <w:tcW w:w="0" w:type="dxa"/>
            <w:vAlign w:val="bottom"/>
          </w:tcPr>
          <w:p>
            <w:pPr>
              <w:spacing w:after="0"/>
              <w:rPr>
                <w:sz w:val="1"/>
                <w:szCs w:val="1"/>
                <w:color w:val="auto"/>
              </w:rPr>
            </w:pPr>
          </w:p>
        </w:tc>
      </w:tr>
      <w:tr>
        <w:trPr>
          <w:trHeight w:val="159"/>
        </w:trPr>
        <w:tc>
          <w:tcPr>
            <w:tcW w:w="2080" w:type="dxa"/>
            <w:vAlign w:val="bottom"/>
          </w:tcPr>
          <w:p>
            <w:pPr>
              <w:ind w:left="20"/>
              <w:spacing w:after="0" w:line="159" w:lineRule="exact"/>
              <w:rPr>
                <w:sz w:val="20"/>
                <w:szCs w:val="20"/>
                <w:color w:val="auto"/>
              </w:rPr>
            </w:pPr>
            <w:r>
              <w:rPr>
                <w:rFonts w:ascii="Arial" w:cs="Arial" w:eastAsia="Arial" w:hAnsi="Arial"/>
                <w:sz w:val="15"/>
                <w:szCs w:val="15"/>
                <w:b w:val="1"/>
                <w:bCs w:val="1"/>
                <w:color w:val="006DB6"/>
              </w:rPr>
              <w:t>Carolyn J. Stone</w:t>
            </w:r>
          </w:p>
        </w:tc>
        <w:tc>
          <w:tcPr>
            <w:tcW w:w="1660" w:type="dxa"/>
            <w:vAlign w:val="bottom"/>
          </w:tcPr>
          <w:p>
            <w:pPr>
              <w:jc w:val="center"/>
              <w:ind w:left="3"/>
              <w:spacing w:after="0" w:line="159" w:lineRule="exact"/>
              <w:rPr>
                <w:sz w:val="20"/>
                <w:szCs w:val="20"/>
                <w:color w:val="auto"/>
              </w:rPr>
            </w:pPr>
            <w:r>
              <w:rPr>
                <w:rFonts w:ascii="Arial" w:cs="Arial" w:eastAsia="Arial" w:hAnsi="Arial"/>
                <w:sz w:val="15"/>
                <w:szCs w:val="15"/>
                <w:color w:val="auto"/>
                <w:w w:val="99"/>
              </w:rPr>
              <w:t>60%</w:t>
            </w:r>
          </w:p>
        </w:tc>
        <w:tc>
          <w:tcPr>
            <w:tcW w:w="134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2940" w:type="dxa"/>
            <w:vAlign w:val="bottom"/>
            <w:vMerge w:val="restart"/>
          </w:tcPr>
          <w:p>
            <w:pPr>
              <w:ind w:left="240"/>
              <w:spacing w:after="0"/>
              <w:rPr>
                <w:sz w:val="20"/>
                <w:szCs w:val="20"/>
                <w:color w:val="auto"/>
              </w:rPr>
            </w:pPr>
            <w:r>
              <w:rPr>
                <w:rFonts w:ascii="Arial" w:cs="Arial" w:eastAsia="Arial" w:hAnsi="Arial"/>
                <w:sz w:val="15"/>
                <w:szCs w:val="15"/>
                <w:color w:val="auto"/>
              </w:rPr>
              <w:t>financial performance objectives</w:t>
            </w:r>
          </w:p>
        </w:tc>
        <w:tc>
          <w:tcPr>
            <w:tcW w:w="0" w:type="dxa"/>
            <w:vAlign w:val="bottom"/>
          </w:tcPr>
          <w:p>
            <w:pPr>
              <w:spacing w:after="0"/>
              <w:rPr>
                <w:sz w:val="1"/>
                <w:szCs w:val="1"/>
                <w:color w:val="auto"/>
              </w:rPr>
            </w:pPr>
          </w:p>
        </w:tc>
      </w:tr>
      <w:tr>
        <w:trPr>
          <w:trHeight w:val="101"/>
        </w:trPr>
        <w:tc>
          <w:tcPr>
            <w:tcW w:w="2080" w:type="dxa"/>
            <w:vAlign w:val="bottom"/>
            <w:vMerge w:val="restart"/>
          </w:tcPr>
          <w:p>
            <w:pPr>
              <w:ind w:left="20"/>
              <w:spacing w:after="0"/>
              <w:rPr>
                <w:sz w:val="20"/>
                <w:szCs w:val="20"/>
                <w:color w:val="auto"/>
              </w:rPr>
            </w:pPr>
            <w:r>
              <w:rPr>
                <w:rFonts w:ascii="Arial" w:cs="Arial" w:eastAsia="Arial" w:hAnsi="Arial"/>
                <w:sz w:val="15"/>
                <w:szCs w:val="15"/>
                <w:b w:val="1"/>
                <w:bCs w:val="1"/>
                <w:color w:val="006DB6"/>
              </w:rPr>
              <w:t>Peter L. McCann</w:t>
            </w:r>
          </w:p>
        </w:tc>
        <w:tc>
          <w:tcPr>
            <w:tcW w:w="1660" w:type="dxa"/>
            <w:vAlign w:val="bottom"/>
            <w:vMerge w:val="restart"/>
          </w:tcPr>
          <w:p>
            <w:pPr>
              <w:jc w:val="center"/>
              <w:ind w:left="3"/>
              <w:spacing w:after="0"/>
              <w:rPr>
                <w:sz w:val="20"/>
                <w:szCs w:val="20"/>
                <w:color w:val="auto"/>
              </w:rPr>
            </w:pPr>
            <w:r>
              <w:rPr>
                <w:rFonts w:ascii="Arial" w:cs="Arial" w:eastAsia="Arial" w:hAnsi="Arial"/>
                <w:sz w:val="15"/>
                <w:szCs w:val="15"/>
                <w:color w:val="auto"/>
                <w:w w:val="99"/>
              </w:rPr>
              <w:t>65%</w:t>
            </w:r>
          </w:p>
        </w:tc>
        <w:tc>
          <w:tcPr>
            <w:tcW w:w="134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80" w:type="dxa"/>
            <w:vAlign w:val="bottom"/>
            <w:tcBorders>
              <w:bottom w:val="single" w:sz="8" w:color="auto"/>
            </w:tcBorders>
            <w:vMerge w:val="continue"/>
          </w:tcPr>
          <w:p>
            <w:pPr>
              <w:spacing w:after="0"/>
              <w:rPr>
                <w:sz w:val="10"/>
                <w:szCs w:val="10"/>
                <w:color w:val="auto"/>
              </w:rPr>
            </w:pPr>
          </w:p>
        </w:tc>
        <w:tc>
          <w:tcPr>
            <w:tcW w:w="1660" w:type="dxa"/>
            <w:vAlign w:val="bottom"/>
            <w:tcBorders>
              <w:bottom w:val="single" w:sz="8" w:color="auto"/>
            </w:tcBorders>
            <w:vMerge w:val="continue"/>
          </w:tcPr>
          <w:p>
            <w:pPr>
              <w:spacing w:after="0"/>
              <w:rPr>
                <w:sz w:val="10"/>
                <w:szCs w:val="10"/>
                <w:color w:val="auto"/>
              </w:rPr>
            </w:pPr>
          </w:p>
        </w:tc>
        <w:tc>
          <w:tcPr>
            <w:tcW w:w="13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1660" w:type="dxa"/>
            <w:vAlign w:val="bottom"/>
          </w:tcPr>
          <w:p>
            <w:pPr>
              <w:jc w:val="center"/>
              <w:ind w:left="3"/>
              <w:spacing w:after="0"/>
              <w:rPr>
                <w:sz w:val="20"/>
                <w:szCs w:val="20"/>
                <w:color w:val="auto"/>
              </w:rPr>
            </w:pPr>
            <w:r>
              <w:rPr>
                <w:rFonts w:ascii="Arial" w:cs="Arial" w:eastAsia="Arial" w:hAnsi="Arial"/>
                <w:sz w:val="15"/>
                <w:szCs w:val="15"/>
                <w:color w:val="auto"/>
                <w:w w:val="99"/>
              </w:rPr>
              <w:t>60%</w:t>
            </w:r>
          </w:p>
        </w:tc>
        <w:tc>
          <w:tcPr>
            <w:tcW w:w="1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color w:val="auto"/>
        </w:rPr>
        <w:t>Earned when performance results are above 100% of budgeted safety and financial performance, with the maximum being 120%</w:t>
      </w:r>
    </w:p>
    <w:p>
      <w:pPr>
        <w:spacing w:after="0" w:line="382" w:lineRule="exact"/>
        <w:rPr>
          <w:sz w:val="20"/>
          <w:szCs w:val="20"/>
          <w:color w:val="auto"/>
        </w:rPr>
      </w:pPr>
    </w:p>
    <w:p>
      <w:pPr>
        <w:sectPr>
          <w:pgSz w:w="11900" w:h="16838" w:orient="portrait"/>
          <w:cols w:equalWidth="0" w:num="2">
            <w:col w:w="8020" w:space="200"/>
            <w:col w:w="3020"/>
          </w:cols>
          <w:pgMar w:left="320" w:top="123" w:right="339" w:bottom="1440" w:gutter="0" w:footer="0" w:header="0"/>
          <w:type w:val="continuous"/>
        </w:sectPr>
      </w:pPr>
    </w:p>
    <w:p>
      <w:pPr>
        <w:spacing w:after="0" w:line="256" w:lineRule="exact"/>
        <w:rPr>
          <w:sz w:val="20"/>
          <w:szCs w:val="20"/>
          <w:color w:val="auto"/>
        </w:rPr>
      </w:pPr>
    </w:p>
    <w:p>
      <w:pPr>
        <w:ind w:right="640"/>
        <w:spacing w:after="0" w:line="267" w:lineRule="auto"/>
        <w:rPr>
          <w:sz w:val="20"/>
          <w:szCs w:val="20"/>
          <w:color w:val="auto"/>
        </w:rPr>
      </w:pPr>
      <w:r>
        <w:rPr>
          <w:rFonts w:ascii="Arial" w:cs="Arial" w:eastAsia="Arial" w:hAnsi="Arial"/>
          <w:sz w:val="15"/>
          <w:szCs w:val="15"/>
          <w:color w:val="auto"/>
        </w:rPr>
        <w:t>The performance metrics for our AICP consist of financial metrics, typically budgeted EBITDA, as adjusted where deemed appropriate by the Compensation Committee, and safety performance.</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maximum AICP overachievement percentage permitted under the AICP is capped at two times the target level to mitigate the potential for excessive risk taking.</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NEO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performance metrics formed the basis for annual incentive award determinations for our named executive officers for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60" w:type="dxa"/>
            <w:vAlign w:val="bottom"/>
            <w:tcBorders>
              <w:bottom w:val="single" w:sz="8" w:color="006DB6"/>
            </w:tcBorders>
            <w:gridSpan w:val="2"/>
          </w:tcPr>
          <w:p>
            <w:pPr>
              <w:jc w:val="right"/>
              <w:ind w:right="325"/>
              <w:spacing w:after="0"/>
              <w:rPr>
                <w:sz w:val="20"/>
                <w:szCs w:val="20"/>
                <w:color w:val="auto"/>
              </w:rPr>
            </w:pPr>
            <w:r>
              <w:rPr>
                <w:rFonts w:ascii="Arial" w:cs="Arial" w:eastAsia="Arial" w:hAnsi="Arial"/>
                <w:sz w:val="14"/>
                <w:szCs w:val="14"/>
                <w:b w:val="1"/>
                <w:bCs w:val="1"/>
                <w:color w:val="70706F"/>
              </w:rPr>
              <w:t>Financial Performance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70706F"/>
              </w:rPr>
              <w:t>Safety</w:t>
            </w:r>
          </w:p>
        </w:tc>
      </w:tr>
      <w:tr>
        <w:trPr>
          <w:trHeight w:val="211"/>
        </w:trPr>
        <w:tc>
          <w:tcPr>
            <w:tcW w:w="18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940" w:type="dxa"/>
            <w:vAlign w:val="bottom"/>
            <w:tcBorders>
              <w:bottom w:val="single" w:sz="8" w:color="006DB6"/>
            </w:tcBorders>
          </w:tcPr>
          <w:p>
            <w:pPr>
              <w:ind w:left="380"/>
              <w:spacing w:after="0"/>
              <w:rPr>
                <w:sz w:val="20"/>
                <w:szCs w:val="20"/>
                <w:color w:val="auto"/>
              </w:rPr>
            </w:pPr>
            <w:r>
              <w:rPr>
                <w:rFonts w:ascii="Arial" w:cs="Arial" w:eastAsia="Arial" w:hAnsi="Arial"/>
                <w:sz w:val="14"/>
                <w:szCs w:val="14"/>
                <w:b w:val="1"/>
                <w:bCs w:val="1"/>
                <w:color w:val="70706F"/>
              </w:rPr>
              <w:t>Position (December 31, 2020)</w:t>
            </w:r>
          </w:p>
        </w:tc>
        <w:tc>
          <w:tcPr>
            <w:tcW w:w="1400" w:type="dxa"/>
            <w:vAlign w:val="bottom"/>
            <w:tcBorders>
              <w:bottom w:val="single" w:sz="8" w:color="006DB6"/>
            </w:tcBorders>
          </w:tcPr>
          <w:p>
            <w:pPr>
              <w:jc w:val="right"/>
              <w:ind w:right="226"/>
              <w:spacing w:after="0"/>
              <w:rPr>
                <w:sz w:val="20"/>
                <w:szCs w:val="20"/>
                <w:color w:val="auto"/>
              </w:rPr>
            </w:pPr>
            <w:r>
              <w:rPr>
                <w:rFonts w:ascii="Arial" w:cs="Arial" w:eastAsia="Arial" w:hAnsi="Arial"/>
                <w:sz w:val="14"/>
                <w:szCs w:val="14"/>
                <w:b w:val="1"/>
                <w:bCs w:val="1"/>
                <w:color w:val="70706F"/>
              </w:rPr>
              <w:t>Corporate</w:t>
            </w:r>
          </w:p>
        </w:tc>
        <w:tc>
          <w:tcPr>
            <w:tcW w:w="8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Division</w:t>
            </w:r>
          </w:p>
        </w:tc>
        <w:tc>
          <w:tcPr>
            <w:tcW w:w="12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Performance</w:t>
            </w:r>
          </w:p>
        </w:tc>
      </w:tr>
      <w:tr>
        <w:trPr>
          <w:trHeight w:val="224"/>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5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President and Chief Executive Officer</w:t>
            </w:r>
          </w:p>
        </w:tc>
        <w:tc>
          <w:tcPr>
            <w:tcW w:w="1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24"/>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5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Senior Vice President, Chief Financial Officer and Treasurer</w:t>
            </w:r>
          </w:p>
        </w:tc>
        <w:tc>
          <w:tcPr>
            <w:tcW w:w="1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24"/>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59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Senior Vice President, Australia</w:t>
            </w:r>
          </w:p>
        </w:tc>
        <w:tc>
          <w:tcPr>
            <w:tcW w:w="1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40%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13"/>
        </w:trPr>
        <w:tc>
          <w:tcPr>
            <w:tcW w:w="182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5940" w:type="dxa"/>
            <w:vAlign w:val="bottom"/>
          </w:tcPr>
          <w:p>
            <w:pPr>
              <w:ind w:left="380"/>
              <w:spacing w:after="0"/>
              <w:rPr>
                <w:sz w:val="20"/>
                <w:szCs w:val="20"/>
                <w:color w:val="auto"/>
              </w:rPr>
            </w:pPr>
            <w:r>
              <w:rPr>
                <w:rFonts w:ascii="Arial" w:cs="Arial" w:eastAsia="Arial" w:hAnsi="Arial"/>
                <w:sz w:val="15"/>
                <w:szCs w:val="15"/>
                <w:color w:val="auto"/>
              </w:rPr>
              <w:t>Senior Vice President, Canada</w:t>
            </w:r>
          </w:p>
        </w:tc>
        <w:tc>
          <w:tcPr>
            <w:tcW w:w="1400" w:type="dxa"/>
            <w:vAlign w:val="bottom"/>
          </w:tcPr>
          <w:p>
            <w:pPr>
              <w:jc w:val="right"/>
              <w:ind w:right="226"/>
              <w:spacing w:after="0"/>
              <w:rPr>
                <w:sz w:val="20"/>
                <w:szCs w:val="20"/>
                <w:color w:val="auto"/>
              </w:rPr>
            </w:pPr>
            <w:r>
              <w:rPr>
                <w:rFonts w:ascii="Arial" w:cs="Arial" w:eastAsia="Arial" w:hAnsi="Arial"/>
                <w:sz w:val="15"/>
                <w:szCs w:val="15"/>
                <w:color w:val="auto"/>
              </w:rPr>
              <w:t>40%</w:t>
            </w:r>
          </w:p>
        </w:tc>
        <w:tc>
          <w:tcPr>
            <w:tcW w:w="860" w:type="dxa"/>
            <w:vAlign w:val="bottom"/>
          </w:tcPr>
          <w:p>
            <w:pPr>
              <w:jc w:val="right"/>
              <w:spacing w:after="0"/>
              <w:rPr>
                <w:sz w:val="20"/>
                <w:szCs w:val="20"/>
                <w:color w:val="auto"/>
              </w:rPr>
            </w:pPr>
            <w:r>
              <w:rPr>
                <w:rFonts w:ascii="Arial" w:cs="Arial" w:eastAsia="Arial" w:hAnsi="Arial"/>
                <w:sz w:val="15"/>
                <w:szCs w:val="15"/>
                <w:color w:val="auto"/>
              </w:rPr>
              <w:t>40%</w:t>
            </w:r>
          </w:p>
        </w:tc>
        <w:tc>
          <w:tcPr>
            <w:tcW w:w="1220" w:type="dxa"/>
            <w:vAlign w:val="bottom"/>
          </w:tcPr>
          <w:p>
            <w:pPr>
              <w:jc w:val="right"/>
              <w:spacing w:after="0"/>
              <w:rPr>
                <w:sz w:val="20"/>
                <w:szCs w:val="20"/>
                <w:color w:val="auto"/>
              </w:rPr>
            </w:pPr>
            <w:r>
              <w:rPr>
                <w:rFonts w:ascii="Arial" w:cs="Arial" w:eastAsia="Arial" w:hAnsi="Arial"/>
                <w:sz w:val="15"/>
                <w:szCs w:val="15"/>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bl>
    <w:p>
      <w:pPr>
        <w:sectPr>
          <w:pgSz w:w="11900" w:h="16838" w:orient="portrait"/>
          <w:cols w:equalWidth="0" w:num="1">
            <w:col w:w="11240"/>
          </w:cols>
          <w:pgMar w:left="320" w:top="12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63"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For AICP purposes in 2020, performance metrics consisted of one financial metric, budgeted EBITDA, and one metric based on safety performance as measured by the TRIR. Consistent with industry and regulatory standards, the calculation of TRIR is based on the number of recordable safety incidents per 200,000 hours worked. The following entry, target, and over-achievement performance goals were used for determining payouts for our named executive officers under the 2020 AICP (dollars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706F6F"/>
              </w:rPr>
              <w:t>Actual</w:t>
            </w:r>
          </w:p>
        </w:tc>
      </w:tr>
      <w:tr>
        <w:trPr>
          <w:trHeight w:val="197"/>
        </w:trPr>
        <w:tc>
          <w:tcPr>
            <w:tcW w:w="4100" w:type="dxa"/>
            <w:vAlign w:val="bottom"/>
            <w:tcBorders>
              <w:bottom w:val="single" w:sz="8" w:color="006DB6"/>
            </w:tcBorders>
          </w:tcPr>
          <w:p>
            <w:pPr>
              <w:spacing w:after="0"/>
              <w:rPr>
                <w:sz w:val="17"/>
                <w:szCs w:val="17"/>
                <w:color w:val="auto"/>
              </w:rPr>
            </w:pPr>
          </w:p>
        </w:tc>
        <w:tc>
          <w:tcPr>
            <w:tcW w:w="1880" w:type="dxa"/>
            <w:vAlign w:val="bottom"/>
            <w:tcBorders>
              <w:bottom w:val="single" w:sz="8" w:color="006DB6"/>
            </w:tcBorders>
          </w:tcPr>
          <w:p>
            <w:pPr>
              <w:spacing w:after="0"/>
              <w:rPr>
                <w:sz w:val="17"/>
                <w:szCs w:val="17"/>
                <w:color w:val="auto"/>
              </w:rPr>
            </w:pPr>
          </w:p>
        </w:tc>
        <w:tc>
          <w:tcPr>
            <w:tcW w:w="860" w:type="dxa"/>
            <w:vAlign w:val="bottom"/>
            <w:tcBorders>
              <w:bottom w:val="single" w:sz="8" w:color="006DB6"/>
            </w:tcBorders>
          </w:tcPr>
          <w:p>
            <w:pPr>
              <w:ind w:left="380"/>
              <w:spacing w:after="0"/>
              <w:rPr>
                <w:sz w:val="20"/>
                <w:szCs w:val="20"/>
                <w:color w:val="auto"/>
              </w:rPr>
            </w:pPr>
            <w:r>
              <w:rPr>
                <w:rFonts w:ascii="Arial" w:cs="Arial" w:eastAsia="Arial" w:hAnsi="Arial"/>
                <w:sz w:val="14"/>
                <w:szCs w:val="14"/>
                <w:b w:val="1"/>
                <w:bCs w:val="1"/>
                <w:color w:val="706F6F"/>
              </w:rPr>
              <w:t>Entry</w:t>
            </w:r>
          </w:p>
        </w:tc>
        <w:tc>
          <w:tcPr>
            <w:tcW w:w="460" w:type="dxa"/>
            <w:vAlign w:val="bottom"/>
            <w:tcBorders>
              <w:bottom w:val="single" w:sz="8" w:color="006DB6"/>
            </w:tcBorders>
          </w:tcPr>
          <w:p>
            <w:pPr>
              <w:spacing w:after="0"/>
              <w:rPr>
                <w:sz w:val="17"/>
                <w:szCs w:val="17"/>
                <w:color w:val="auto"/>
              </w:rPr>
            </w:pPr>
          </w:p>
        </w:tc>
        <w:tc>
          <w:tcPr>
            <w:tcW w:w="860" w:type="dxa"/>
            <w:vAlign w:val="bottom"/>
            <w:tcBorders>
              <w:bottom w:val="single" w:sz="8" w:color="006DB6"/>
            </w:tcBorders>
          </w:tcPr>
          <w:p>
            <w:pPr>
              <w:jc w:val="right"/>
              <w:ind w:right="105"/>
              <w:spacing w:after="0"/>
              <w:rPr>
                <w:sz w:val="20"/>
                <w:szCs w:val="20"/>
                <w:color w:val="auto"/>
              </w:rPr>
            </w:pPr>
            <w:r>
              <w:rPr>
                <w:rFonts w:ascii="Arial" w:cs="Arial" w:eastAsia="Arial" w:hAnsi="Arial"/>
                <w:sz w:val="14"/>
                <w:szCs w:val="14"/>
                <w:b w:val="1"/>
                <w:bCs w:val="1"/>
                <w:color w:val="706F6F"/>
              </w:rPr>
              <w:t>Target</w:t>
            </w:r>
          </w:p>
        </w:tc>
        <w:tc>
          <w:tcPr>
            <w:tcW w:w="280" w:type="dxa"/>
            <w:vAlign w:val="bottom"/>
            <w:tcBorders>
              <w:bottom w:val="single" w:sz="8" w:color="006DB6"/>
            </w:tcBorders>
          </w:tcPr>
          <w:p>
            <w:pPr>
              <w:spacing w:after="0"/>
              <w:rPr>
                <w:sz w:val="17"/>
                <w:szCs w:val="17"/>
                <w:color w:val="auto"/>
              </w:rPr>
            </w:pPr>
          </w:p>
        </w:tc>
        <w:tc>
          <w:tcPr>
            <w:tcW w:w="1360" w:type="dxa"/>
            <w:vAlign w:val="bottom"/>
            <w:tcBorders>
              <w:bottom w:val="single" w:sz="8" w:color="006DB6"/>
            </w:tcBorders>
          </w:tcPr>
          <w:p>
            <w:pPr>
              <w:jc w:val="right"/>
              <w:ind w:right="65"/>
              <w:spacing w:after="0"/>
              <w:rPr>
                <w:sz w:val="20"/>
                <w:szCs w:val="20"/>
                <w:color w:val="auto"/>
              </w:rPr>
            </w:pPr>
            <w:r>
              <w:rPr>
                <w:rFonts w:ascii="Arial" w:cs="Arial" w:eastAsia="Arial" w:hAnsi="Arial"/>
                <w:sz w:val="14"/>
                <w:szCs w:val="14"/>
                <w:b w:val="1"/>
                <w:bCs w:val="1"/>
                <w:color w:val="706F6F"/>
                <w:w w:val="97"/>
              </w:rPr>
              <w:t>Over Achievement</w:t>
            </w:r>
          </w:p>
        </w:tc>
        <w:tc>
          <w:tcPr>
            <w:tcW w:w="400" w:type="dxa"/>
            <w:vAlign w:val="bottom"/>
            <w:tcBorders>
              <w:bottom w:val="single" w:sz="8" w:color="006DB6"/>
            </w:tcBorders>
          </w:tcPr>
          <w:p>
            <w:pPr>
              <w:spacing w:after="0"/>
              <w:rPr>
                <w:sz w:val="17"/>
                <w:szCs w:val="17"/>
                <w:color w:val="auto"/>
              </w:rPr>
            </w:pPr>
          </w:p>
        </w:tc>
        <w:tc>
          <w:tcPr>
            <w:tcW w:w="10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Achievement</w:t>
            </w:r>
          </w:p>
        </w:tc>
      </w:tr>
      <w:tr>
        <w:trPr>
          <w:trHeight w:val="22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Consolidated EBITDA Targets (in USD)</w:t>
            </w:r>
          </w:p>
        </w:tc>
        <w:tc>
          <w:tcPr>
            <w:tcW w:w="18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85.9</w:t>
            </w: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101.1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121.3</w:t>
            </w:r>
          </w:p>
        </w:tc>
        <w:tc>
          <w:tcPr>
            <w:tcW w:w="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113.3</w:t>
            </w:r>
          </w:p>
        </w:tc>
      </w:tr>
      <w:tr>
        <w:trPr>
          <w:trHeight w:val="213"/>
        </w:trPr>
        <w:tc>
          <w:tcPr>
            <w:tcW w:w="4100" w:type="dxa"/>
            <w:vAlign w:val="bottom"/>
          </w:tcPr>
          <w:p>
            <w:pPr>
              <w:ind w:left="20"/>
              <w:spacing w:after="0"/>
              <w:rPr>
                <w:sz w:val="20"/>
                <w:szCs w:val="20"/>
                <w:color w:val="auto"/>
              </w:rPr>
            </w:pPr>
            <w:r>
              <w:rPr>
                <w:rFonts w:ascii="Arial" w:cs="Arial" w:eastAsia="Arial" w:hAnsi="Arial"/>
                <w:sz w:val="15"/>
                <w:szCs w:val="15"/>
                <w:color w:val="auto"/>
              </w:rPr>
              <w:t>Division EBITDA Targets</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1"/>
        </w:trPr>
        <w:tc>
          <w:tcPr>
            <w:tcW w:w="4100" w:type="dxa"/>
            <w:vAlign w:val="bottom"/>
          </w:tcPr>
          <w:p>
            <w:pPr>
              <w:ind w:left="140"/>
              <w:spacing w:after="0"/>
              <w:rPr>
                <w:sz w:val="20"/>
                <w:szCs w:val="20"/>
                <w:color w:val="auto"/>
              </w:rPr>
            </w:pPr>
            <w:r>
              <w:rPr>
                <w:rFonts w:ascii="Arial" w:cs="Arial" w:eastAsia="Arial" w:hAnsi="Arial"/>
                <w:sz w:val="15"/>
                <w:szCs w:val="15"/>
                <w:color w:val="auto"/>
              </w:rPr>
              <w:t>Canada (in CAD)</w:t>
            </w:r>
          </w:p>
        </w:tc>
        <w:tc>
          <w:tcPr>
            <w:tcW w:w="18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860" w:type="dxa"/>
            <w:vAlign w:val="bottom"/>
          </w:tcPr>
          <w:p>
            <w:pPr>
              <w:ind w:left="380"/>
              <w:spacing w:after="0"/>
              <w:rPr>
                <w:sz w:val="20"/>
                <w:szCs w:val="20"/>
                <w:color w:val="auto"/>
              </w:rPr>
            </w:pPr>
            <w:r>
              <w:rPr>
                <w:rFonts w:ascii="Arial" w:cs="Arial" w:eastAsia="Arial" w:hAnsi="Arial"/>
                <w:sz w:val="15"/>
                <w:szCs w:val="15"/>
                <w:color w:val="auto"/>
              </w:rPr>
              <w:t>72.5</w:t>
            </w:r>
          </w:p>
        </w:tc>
        <w:tc>
          <w:tcPr>
            <w:tcW w:w="4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65"/>
              <w:spacing w:after="0"/>
              <w:rPr>
                <w:sz w:val="20"/>
                <w:szCs w:val="20"/>
                <w:color w:val="auto"/>
              </w:rPr>
            </w:pPr>
            <w:r>
              <w:rPr>
                <w:rFonts w:ascii="Arial" w:cs="Arial" w:eastAsia="Arial" w:hAnsi="Arial"/>
                <w:sz w:val="15"/>
                <w:szCs w:val="15"/>
                <w:color w:val="auto"/>
              </w:rPr>
              <w:t>85.3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102.4</w:t>
            </w:r>
          </w:p>
        </w:tc>
        <w:tc>
          <w:tcPr>
            <w:tcW w:w="4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88.5</w:t>
            </w:r>
          </w:p>
        </w:tc>
      </w:tr>
      <w:tr>
        <w:trPr>
          <w:trHeight w:val="242"/>
        </w:trPr>
        <w:tc>
          <w:tcPr>
            <w:tcW w:w="41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Australia (in AUD)</w:t>
            </w:r>
          </w:p>
        </w:tc>
        <w:tc>
          <w:tcPr>
            <w:tcW w:w="18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71.5</w:t>
            </w: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84.1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101.0</w:t>
            </w:r>
          </w:p>
        </w:tc>
        <w:tc>
          <w:tcPr>
            <w:tcW w:w="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r>
      <w:tr>
        <w:trPr>
          <w:trHeight w:val="213"/>
        </w:trPr>
        <w:tc>
          <w:tcPr>
            <w:tcW w:w="4100" w:type="dxa"/>
            <w:vAlign w:val="bottom"/>
          </w:tcPr>
          <w:p>
            <w:pPr>
              <w:ind w:left="20"/>
              <w:spacing w:after="0"/>
              <w:rPr>
                <w:sz w:val="20"/>
                <w:szCs w:val="20"/>
                <w:color w:val="auto"/>
              </w:rPr>
            </w:pPr>
            <w:r>
              <w:rPr>
                <w:rFonts w:ascii="Arial" w:cs="Arial" w:eastAsia="Arial" w:hAnsi="Arial"/>
                <w:sz w:val="15"/>
                <w:szCs w:val="15"/>
                <w:color w:val="auto"/>
              </w:rPr>
              <w:t>Global TRIR Targets</w:t>
            </w:r>
          </w:p>
        </w:tc>
        <w:tc>
          <w:tcPr>
            <w:tcW w:w="188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5"/>
                <w:szCs w:val="15"/>
                <w:color w:val="auto"/>
              </w:rPr>
              <w:t>1.06</w:t>
            </w:r>
          </w:p>
        </w:tc>
        <w:tc>
          <w:tcPr>
            <w:tcW w:w="460" w:type="dxa"/>
            <w:vAlign w:val="bottom"/>
          </w:tcPr>
          <w:p>
            <w:pPr>
              <w:spacing w:after="0"/>
              <w:rPr>
                <w:sz w:val="18"/>
                <w:szCs w:val="18"/>
                <w:color w:val="auto"/>
              </w:rPr>
            </w:pPr>
          </w:p>
        </w:tc>
        <w:tc>
          <w:tcPr>
            <w:tcW w:w="860" w:type="dxa"/>
            <w:vAlign w:val="bottom"/>
          </w:tcPr>
          <w:p>
            <w:pPr>
              <w:jc w:val="right"/>
              <w:ind w:right="105"/>
              <w:spacing w:after="0"/>
              <w:rPr>
                <w:sz w:val="20"/>
                <w:szCs w:val="20"/>
                <w:color w:val="auto"/>
              </w:rPr>
            </w:pPr>
            <w:r>
              <w:rPr>
                <w:rFonts w:ascii="Arial" w:cs="Arial" w:eastAsia="Arial" w:hAnsi="Arial"/>
                <w:sz w:val="15"/>
                <w:szCs w:val="15"/>
                <w:color w:val="auto"/>
              </w:rPr>
              <w:t>0.88</w:t>
            </w:r>
          </w:p>
        </w:tc>
        <w:tc>
          <w:tcPr>
            <w:tcW w:w="280" w:type="dxa"/>
            <w:vAlign w:val="bottom"/>
          </w:tcPr>
          <w:p>
            <w:pPr>
              <w:spacing w:after="0"/>
              <w:rPr>
                <w:sz w:val="18"/>
                <w:szCs w:val="18"/>
                <w:color w:val="auto"/>
              </w:rPr>
            </w:pPr>
          </w:p>
        </w:tc>
        <w:tc>
          <w:tcPr>
            <w:tcW w:w="1360" w:type="dxa"/>
            <w:vAlign w:val="bottom"/>
          </w:tcPr>
          <w:p>
            <w:pPr>
              <w:jc w:val="right"/>
              <w:ind w:right="65"/>
              <w:spacing w:after="0"/>
              <w:rPr>
                <w:sz w:val="20"/>
                <w:szCs w:val="20"/>
                <w:color w:val="auto"/>
              </w:rPr>
            </w:pPr>
            <w:r>
              <w:rPr>
                <w:rFonts w:ascii="Arial" w:cs="Arial" w:eastAsia="Arial" w:hAnsi="Arial"/>
                <w:sz w:val="15"/>
                <w:szCs w:val="15"/>
                <w:color w:val="auto"/>
              </w:rPr>
              <w:t>0.70</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0.45</w:t>
            </w:r>
          </w:p>
        </w:tc>
      </w:tr>
    </w:tbl>
    <w:p>
      <w:pPr>
        <w:spacing w:after="0" w:line="200" w:lineRule="exact"/>
        <w:rPr>
          <w:sz w:val="20"/>
          <w:szCs w:val="20"/>
          <w:color w:val="auto"/>
        </w:rPr>
      </w:pPr>
    </w:p>
    <w:p>
      <w:pPr>
        <w:spacing w:after="0" w:line="243"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The 2020 EBITDA target of $101.1 million was lower than the 2019 EBITDA target of $113.0 million and the 2019 actual EBITDA achievement of $114.6 million due to:</w:t>
      </w:r>
    </w:p>
    <w:p>
      <w:pPr>
        <w:spacing w:after="0" w:line="261" w:lineRule="exact"/>
        <w:rPr>
          <w:sz w:val="20"/>
          <w:szCs w:val="20"/>
          <w:color w:val="auto"/>
        </w:rPr>
      </w:pPr>
    </w:p>
    <w:p>
      <w:pPr>
        <w:ind w:left="140" w:hanging="137"/>
        <w:spacing w:after="0"/>
        <w:tabs>
          <w:tab w:leader="none" w:pos="140" w:val="left"/>
        </w:tabs>
        <w:numPr>
          <w:ilvl w:val="0"/>
          <w:numId w:val="37"/>
        </w:numPr>
        <w:rPr>
          <w:rFonts w:ascii="Arial" w:cs="Arial" w:eastAsia="Arial" w:hAnsi="Arial"/>
          <w:sz w:val="15"/>
          <w:szCs w:val="15"/>
          <w:color w:val="006DB6"/>
        </w:rPr>
      </w:pPr>
      <w:r>
        <w:rPr>
          <w:rFonts w:ascii="Arial" w:cs="Arial" w:eastAsia="Arial" w:hAnsi="Arial"/>
          <w:sz w:val="15"/>
          <w:szCs w:val="15"/>
          <w:color w:val="auto"/>
        </w:rPr>
        <w:t>Decreased U.S. drilling and completion activity experienced in the second half of 2019 and forecasted for 2020;</w:t>
      </w:r>
    </w:p>
    <w:p>
      <w:pPr>
        <w:spacing w:after="0" w:line="109" w:lineRule="exact"/>
        <w:rPr>
          <w:rFonts w:ascii="Arial" w:cs="Arial" w:eastAsia="Arial" w:hAnsi="Arial"/>
          <w:sz w:val="15"/>
          <w:szCs w:val="15"/>
          <w:color w:val="006DB6"/>
        </w:rPr>
      </w:pPr>
    </w:p>
    <w:p>
      <w:pPr>
        <w:ind w:left="140" w:hanging="137"/>
        <w:spacing w:after="0"/>
        <w:tabs>
          <w:tab w:leader="none" w:pos="140" w:val="left"/>
        </w:tabs>
        <w:numPr>
          <w:ilvl w:val="0"/>
          <w:numId w:val="37"/>
        </w:numPr>
        <w:rPr>
          <w:rFonts w:ascii="Arial" w:cs="Arial" w:eastAsia="Arial" w:hAnsi="Arial"/>
          <w:sz w:val="15"/>
          <w:szCs w:val="15"/>
          <w:color w:val="006DB6"/>
        </w:rPr>
      </w:pPr>
      <w:r>
        <w:rPr>
          <w:rFonts w:ascii="Arial" w:cs="Arial" w:eastAsia="Arial" w:hAnsi="Arial"/>
          <w:sz w:val="15"/>
          <w:szCs w:val="15"/>
          <w:color w:val="auto"/>
        </w:rPr>
        <w:t>Lower Canadian turnaround activity expected for 2020, particularly when compared to actual turnaround activity in the second half of 2019; and</w:t>
      </w:r>
    </w:p>
    <w:p>
      <w:pPr>
        <w:spacing w:after="0" w:line="109" w:lineRule="exact"/>
        <w:rPr>
          <w:rFonts w:ascii="Arial" w:cs="Arial" w:eastAsia="Arial" w:hAnsi="Arial"/>
          <w:sz w:val="15"/>
          <w:szCs w:val="15"/>
          <w:color w:val="006DB6"/>
        </w:rPr>
      </w:pPr>
    </w:p>
    <w:p>
      <w:pPr>
        <w:ind w:left="140" w:hanging="137"/>
        <w:spacing w:after="0"/>
        <w:tabs>
          <w:tab w:leader="none" w:pos="140" w:val="left"/>
        </w:tabs>
        <w:numPr>
          <w:ilvl w:val="0"/>
          <w:numId w:val="37"/>
        </w:numPr>
        <w:rPr>
          <w:rFonts w:ascii="Arial" w:cs="Arial" w:eastAsia="Arial" w:hAnsi="Arial"/>
          <w:sz w:val="15"/>
          <w:szCs w:val="15"/>
          <w:color w:val="006DB6"/>
        </w:rPr>
      </w:pPr>
      <w:r>
        <w:rPr>
          <w:rFonts w:ascii="Arial" w:cs="Arial" w:eastAsia="Arial" w:hAnsi="Arial"/>
          <w:sz w:val="15"/>
          <w:szCs w:val="15"/>
          <w:color w:val="auto"/>
        </w:rPr>
        <w:t>Changes in exchange rates.</w:t>
      </w:r>
    </w:p>
    <w:p>
      <w:pPr>
        <w:spacing w:after="0" w:line="97" w:lineRule="exact"/>
        <w:rPr>
          <w:sz w:val="20"/>
          <w:szCs w:val="20"/>
          <w:color w:val="auto"/>
        </w:rPr>
      </w:pPr>
    </w:p>
    <w:p>
      <w:pPr>
        <w:ind w:right="240"/>
        <w:spacing w:after="0" w:line="249" w:lineRule="auto"/>
        <w:rPr>
          <w:sz w:val="20"/>
          <w:szCs w:val="20"/>
          <w:color w:val="auto"/>
        </w:rPr>
      </w:pPr>
      <w:r>
        <w:rPr>
          <w:rFonts w:ascii="Arial" w:cs="Arial" w:eastAsia="Arial" w:hAnsi="Arial"/>
          <w:sz w:val="15"/>
          <w:szCs w:val="15"/>
          <w:color w:val="auto"/>
        </w:rPr>
        <w:t>These items were partially offset by higher expected occupancy in the Company’s Bowen Basin villages and the full year inclusion of the Action Catering business acquired in July 2019.</w:t>
      </w:r>
    </w:p>
    <w:p>
      <w:pPr>
        <w:spacing w:after="0" w:line="78"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Adjustments to EBITDA under the AICP for 2020 reflected one-time, unanticipated financial events incurred following approval of the 2020 budget. For 2020, specific adjustments included impairment expenses, expenses related to unbudgeted variability in stock-based compensation expense, changes in foreign exchange rates, transaction related costs and certain other costs. The adjustments to EBITDA in 2020 were consistent with past practices; none of these adjustments were related to the COVID-19 pandemic.</w:t>
      </w:r>
    </w:p>
    <w:p>
      <w:pPr>
        <w:spacing w:after="0" w:line="98"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The 2020 safety TRIR target of 0.88 was higher than the 2019 target of 0.60 and 2019 actual TRIR of 0.56 primarily due to the acquisition of the Action Catering business in July 2019. Since the Action acquisition was not completed until July 2019, the Action business was not included in the 2019 safety target. Including the Action business in the 2020 target increased the global TRIR target.</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In 2020, the following performance results under the AICP were considered for award determination purposes:</w:t>
      </w:r>
    </w:p>
    <w:p>
      <w:pPr>
        <w:spacing w:after="0" w:line="110" w:lineRule="exact"/>
        <w:rPr>
          <w:sz w:val="20"/>
          <w:szCs w:val="20"/>
          <w:color w:val="auto"/>
        </w:rPr>
      </w:pPr>
    </w:p>
    <w:p>
      <w:pPr>
        <w:ind w:left="160" w:hanging="157"/>
        <w:spacing w:after="0"/>
        <w:tabs>
          <w:tab w:leader="none" w:pos="160" w:val="left"/>
        </w:tabs>
        <w:numPr>
          <w:ilvl w:val="0"/>
          <w:numId w:val="38"/>
        </w:numPr>
        <w:rPr>
          <w:rFonts w:ascii="Arial" w:cs="Arial" w:eastAsia="Arial" w:hAnsi="Arial"/>
          <w:sz w:val="15"/>
          <w:szCs w:val="15"/>
          <w:color w:val="006DB6"/>
        </w:rPr>
      </w:pPr>
      <w:r>
        <w:rPr>
          <w:rFonts w:ascii="Arial" w:cs="Arial" w:eastAsia="Arial" w:hAnsi="Arial"/>
          <w:sz w:val="15"/>
          <w:szCs w:val="15"/>
          <w:color w:val="auto"/>
        </w:rPr>
        <w:t>Consolidated Adjusted EBITDA of USD $113.3 million (112.1% of budget);</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38"/>
        </w:numPr>
        <w:rPr>
          <w:rFonts w:ascii="Arial" w:cs="Arial" w:eastAsia="Arial" w:hAnsi="Arial"/>
          <w:sz w:val="15"/>
          <w:szCs w:val="15"/>
          <w:color w:val="006DB6"/>
        </w:rPr>
      </w:pPr>
      <w:r>
        <w:rPr>
          <w:rFonts w:ascii="Arial" w:cs="Arial" w:eastAsia="Arial" w:hAnsi="Arial"/>
          <w:sz w:val="15"/>
          <w:szCs w:val="15"/>
          <w:color w:val="auto"/>
        </w:rPr>
        <w:t>Adjusted EBITDA for our Canadian division of CAD $88.5 million (103.8% of budget);</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38"/>
        </w:numPr>
        <w:rPr>
          <w:rFonts w:ascii="Arial" w:cs="Arial" w:eastAsia="Arial" w:hAnsi="Arial"/>
          <w:sz w:val="15"/>
          <w:szCs w:val="15"/>
          <w:color w:val="006DB6"/>
        </w:rPr>
      </w:pPr>
      <w:r>
        <w:rPr>
          <w:rFonts w:ascii="Arial" w:cs="Arial" w:eastAsia="Arial" w:hAnsi="Arial"/>
          <w:sz w:val="15"/>
          <w:szCs w:val="15"/>
          <w:color w:val="auto"/>
        </w:rPr>
        <w:t>Adjusted EBITDA for our Australian division of AUD $106.9 million (127.1% of budget); and</w:t>
      </w:r>
    </w:p>
    <w:p>
      <w:pPr>
        <w:spacing w:after="0" w:line="71" w:lineRule="exact"/>
        <w:rPr>
          <w:rFonts w:ascii="Arial" w:cs="Arial" w:eastAsia="Arial" w:hAnsi="Arial"/>
          <w:sz w:val="15"/>
          <w:szCs w:val="15"/>
          <w:color w:val="006DB6"/>
        </w:rPr>
      </w:pPr>
    </w:p>
    <w:p>
      <w:pPr>
        <w:ind w:left="180" w:right="500" w:hanging="177"/>
        <w:spacing w:after="0" w:line="267" w:lineRule="auto"/>
        <w:tabs>
          <w:tab w:leader="none" w:pos="152" w:val="left"/>
        </w:tabs>
        <w:numPr>
          <w:ilvl w:val="0"/>
          <w:numId w:val="38"/>
        </w:numPr>
        <w:rPr>
          <w:rFonts w:ascii="Arial" w:cs="Arial" w:eastAsia="Arial" w:hAnsi="Arial"/>
          <w:sz w:val="15"/>
          <w:szCs w:val="15"/>
          <w:color w:val="006DB6"/>
        </w:rPr>
      </w:pPr>
      <w:r>
        <w:rPr>
          <w:rFonts w:ascii="Arial" w:cs="Arial" w:eastAsia="Arial" w:hAnsi="Arial"/>
          <w:sz w:val="15"/>
          <w:szCs w:val="15"/>
          <w:color w:val="auto"/>
        </w:rPr>
        <w:t>TRIR safety performance achievement of 200% payout for Consolidated; 200% payout for Canada, 200% payout for the United States and 200% payout for Australia.</w:t>
      </w:r>
    </w:p>
    <w:p>
      <w:pPr>
        <w:spacing w:after="0" w:line="7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Based on these results, the following AICP payouts were approved by the Compensation Committee. These payouts are stated in U.S. dollars. Mr. McCann’s bonus, which is paid out in Australian dollars, has been converted to U.S. dollars below at an exchange rate of $0.6906 U.S. dollar per Australian dollar, the average exchange rate for 2020. Mr. Schoening’s bonus, which is paid out in Canadian dollars, has been converted to U.S. dollars below at an exchange rate of $0.7463 U.S. dollar per Canadian dollar, the average exchange rate for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0" w:type="dxa"/>
            <w:vAlign w:val="bottom"/>
            <w:tcBorders>
              <w:bottom w:val="single" w:sz="8" w:color="006DB6"/>
            </w:tcBorders>
          </w:tcPr>
          <w:p>
            <w:pPr>
              <w:spacing w:after="0"/>
              <w:rPr>
                <w:sz w:val="17"/>
                <w:szCs w:val="17"/>
                <w:color w:val="auto"/>
              </w:rPr>
            </w:pPr>
          </w:p>
        </w:tc>
        <w:tc>
          <w:tcPr>
            <w:tcW w:w="2020" w:type="dxa"/>
            <w:vAlign w:val="bottom"/>
            <w:tcBorders>
              <w:bottom w:val="single" w:sz="8" w:color="006DB6"/>
            </w:tcBorders>
            <w:gridSpan w:val="3"/>
          </w:tcPr>
          <w:p>
            <w:pPr>
              <w:jc w:val="right"/>
              <w:ind w:right="285"/>
              <w:spacing w:after="0"/>
              <w:rPr>
                <w:sz w:val="20"/>
                <w:szCs w:val="20"/>
                <w:color w:val="auto"/>
              </w:rPr>
            </w:pPr>
            <w:r>
              <w:rPr>
                <w:rFonts w:ascii="Arial" w:cs="Arial" w:eastAsia="Arial" w:hAnsi="Arial"/>
                <w:sz w:val="14"/>
                <w:szCs w:val="14"/>
                <w:b w:val="1"/>
                <w:bCs w:val="1"/>
                <w:color w:val="706F6F"/>
              </w:rPr>
              <w:t>Business Performance</w:t>
            </w:r>
          </w:p>
        </w:tc>
        <w:tc>
          <w:tcPr>
            <w:tcW w:w="140" w:type="dxa"/>
            <w:vAlign w:val="bottom"/>
          </w:tcPr>
          <w:p>
            <w:pPr>
              <w:spacing w:after="0"/>
              <w:rPr>
                <w:sz w:val="17"/>
                <w:szCs w:val="17"/>
                <w:color w:val="auto"/>
              </w:rPr>
            </w:pPr>
          </w:p>
        </w:tc>
        <w:tc>
          <w:tcPr>
            <w:tcW w:w="360" w:type="dxa"/>
            <w:vAlign w:val="bottom"/>
            <w:tcBorders>
              <w:bottom w:val="single" w:sz="8" w:color="006DB6"/>
            </w:tcBorders>
          </w:tcPr>
          <w:p>
            <w:pPr>
              <w:spacing w:after="0"/>
              <w:rPr>
                <w:sz w:val="17"/>
                <w:szCs w:val="17"/>
                <w:color w:val="auto"/>
              </w:rPr>
            </w:pPr>
          </w:p>
        </w:tc>
        <w:tc>
          <w:tcPr>
            <w:tcW w:w="2220" w:type="dxa"/>
            <w:vAlign w:val="bottom"/>
            <w:tcBorders>
              <w:bottom w:val="single" w:sz="8" w:color="006DB6"/>
            </w:tcBorders>
            <w:gridSpan w:val="2"/>
          </w:tcPr>
          <w:p>
            <w:pPr>
              <w:jc w:val="right"/>
              <w:ind w:right="625"/>
              <w:spacing w:after="0"/>
              <w:rPr>
                <w:sz w:val="20"/>
                <w:szCs w:val="20"/>
                <w:color w:val="auto"/>
              </w:rPr>
            </w:pPr>
            <w:r>
              <w:rPr>
                <w:rFonts w:ascii="Arial" w:cs="Arial" w:eastAsia="Arial" w:hAnsi="Arial"/>
                <w:sz w:val="14"/>
                <w:szCs w:val="14"/>
                <w:b w:val="1"/>
                <w:bCs w:val="1"/>
                <w:color w:val="706F6F"/>
              </w:rPr>
              <w:t>Total AICP Payout</w:t>
            </w:r>
          </w:p>
        </w:tc>
      </w:tr>
      <w:tr>
        <w:trPr>
          <w:trHeight w:val="211"/>
        </w:trPr>
        <w:tc>
          <w:tcPr>
            <w:tcW w:w="17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580" w:type="dxa"/>
            <w:vAlign w:val="bottom"/>
            <w:tcBorders>
              <w:bottom w:val="single" w:sz="8" w:color="006DB6"/>
            </w:tcBorders>
          </w:tcPr>
          <w:p>
            <w:pPr>
              <w:ind w:left="320"/>
              <w:spacing w:after="0"/>
              <w:rPr>
                <w:sz w:val="20"/>
                <w:szCs w:val="20"/>
                <w:color w:val="auto"/>
              </w:rPr>
            </w:pPr>
            <w:r>
              <w:rPr>
                <w:rFonts w:ascii="Arial" w:cs="Arial" w:eastAsia="Arial" w:hAnsi="Arial"/>
                <w:sz w:val="14"/>
                <w:szCs w:val="14"/>
                <w:b w:val="1"/>
                <w:bCs w:val="1"/>
                <w:color w:val="706F6F"/>
              </w:rPr>
              <w:t>Position</w:t>
            </w:r>
          </w:p>
        </w:tc>
        <w:tc>
          <w:tcPr>
            <w:tcW w:w="200" w:type="dxa"/>
            <w:vAlign w:val="bottom"/>
            <w:tcBorders>
              <w:bottom w:val="single" w:sz="8" w:color="006DB6"/>
            </w:tcBorders>
          </w:tcPr>
          <w:p>
            <w:pPr>
              <w:spacing w:after="0"/>
              <w:rPr>
                <w:sz w:val="18"/>
                <w:szCs w:val="18"/>
                <w:color w:val="auto"/>
              </w:rPr>
            </w:pPr>
          </w:p>
        </w:tc>
        <w:tc>
          <w:tcPr>
            <w:tcW w:w="940" w:type="dxa"/>
            <w:vAlign w:val="bottom"/>
            <w:tcBorders>
              <w:bottom w:val="single" w:sz="8" w:color="006DB6"/>
            </w:tcBorders>
          </w:tcPr>
          <w:p>
            <w:pPr>
              <w:jc w:val="right"/>
              <w:ind w:right="246"/>
              <w:spacing w:after="0"/>
              <w:rPr>
                <w:sz w:val="20"/>
                <w:szCs w:val="20"/>
                <w:color w:val="auto"/>
              </w:rPr>
            </w:pPr>
            <w:r>
              <w:rPr>
                <w:rFonts w:ascii="Arial" w:cs="Arial" w:eastAsia="Arial" w:hAnsi="Arial"/>
                <w:sz w:val="14"/>
                <w:szCs w:val="14"/>
                <w:b w:val="1"/>
                <w:bCs w:val="1"/>
                <w:color w:val="706F6F"/>
                <w:w w:val="98"/>
              </w:rPr>
              <w:t>Financial</w:t>
            </w:r>
          </w:p>
        </w:tc>
        <w:tc>
          <w:tcPr>
            <w:tcW w:w="260" w:type="dxa"/>
            <w:vAlign w:val="bottom"/>
            <w:tcBorders>
              <w:bottom w:val="single" w:sz="8" w:color="006DB6"/>
            </w:tcBorders>
          </w:tcPr>
          <w:p>
            <w:pPr>
              <w:spacing w:after="0"/>
              <w:rPr>
                <w:sz w:val="18"/>
                <w:szCs w:val="18"/>
                <w:color w:val="auto"/>
              </w:rPr>
            </w:pPr>
          </w:p>
        </w:tc>
        <w:tc>
          <w:tcPr>
            <w:tcW w:w="960" w:type="dxa"/>
            <w:vAlign w:val="bottom"/>
            <w:tcBorders>
              <w:bottom w:val="single" w:sz="8" w:color="006DB6"/>
            </w:tcBorders>
            <w:gridSpan w:val="2"/>
          </w:tcPr>
          <w:p>
            <w:pPr>
              <w:jc w:val="right"/>
              <w:ind w:right="520"/>
              <w:spacing w:after="0"/>
              <w:rPr>
                <w:sz w:val="20"/>
                <w:szCs w:val="20"/>
                <w:color w:val="auto"/>
              </w:rPr>
            </w:pPr>
            <w:r>
              <w:rPr>
                <w:rFonts w:ascii="Arial" w:cs="Arial" w:eastAsia="Arial" w:hAnsi="Arial"/>
                <w:sz w:val="14"/>
                <w:szCs w:val="14"/>
                <w:b w:val="1"/>
                <w:bCs w:val="1"/>
                <w:color w:val="706F6F"/>
                <w:w w:val="99"/>
              </w:rPr>
              <w:t>Safety</w:t>
            </w:r>
          </w:p>
        </w:tc>
        <w:tc>
          <w:tcPr>
            <w:tcW w:w="36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ind w:right="626"/>
              <w:spacing w:after="0"/>
              <w:rPr>
                <w:sz w:val="20"/>
                <w:szCs w:val="20"/>
                <w:color w:val="auto"/>
              </w:rPr>
            </w:pPr>
            <w:r>
              <w:rPr>
                <w:rFonts w:ascii="Arial" w:cs="Arial" w:eastAsia="Arial" w:hAnsi="Arial"/>
                <w:sz w:val="14"/>
                <w:szCs w:val="14"/>
                <w:b w:val="1"/>
                <w:bCs w:val="1"/>
                <w:color w:val="706F6F"/>
              </w:rPr>
              <w:t>$</w:t>
            </w:r>
          </w:p>
        </w:tc>
        <w:tc>
          <w:tcPr>
            <w:tcW w:w="1240" w:type="dxa"/>
            <w:vAlign w:val="bottom"/>
            <w:tcBorders>
              <w:bottom w:val="single" w:sz="8" w:color="006DB6"/>
            </w:tcBorders>
          </w:tcPr>
          <w:p>
            <w:pPr>
              <w:jc w:val="right"/>
              <w:ind w:right="245"/>
              <w:spacing w:after="0"/>
              <w:rPr>
                <w:sz w:val="20"/>
                <w:szCs w:val="20"/>
                <w:color w:val="auto"/>
              </w:rPr>
            </w:pPr>
            <w:r>
              <w:rPr>
                <w:rFonts w:ascii="Arial" w:cs="Arial" w:eastAsia="Arial" w:hAnsi="Arial"/>
                <w:sz w:val="14"/>
                <w:szCs w:val="14"/>
                <w:b w:val="1"/>
                <w:bCs w:val="1"/>
                <w:color w:val="706F6F"/>
              </w:rPr>
              <w:t>% of Target</w:t>
            </w:r>
          </w:p>
        </w:tc>
      </w:tr>
      <w:tr>
        <w:trPr>
          <w:trHeight w:val="22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President and Chief Executive Officer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811,725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253,000</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1,064,725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168 %</w:t>
            </w:r>
          </w:p>
        </w:tc>
      </w:tr>
      <w:tr>
        <w:trPr>
          <w:trHeight w:val="22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Senior Vice President, Chief Financial Officer and Treasurer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249,017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77,614</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326,631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168 %</w:t>
            </w:r>
          </w:p>
        </w:tc>
      </w:tr>
      <w:tr>
        <w:trPr>
          <w:trHeight w:val="22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Senior Vice President, Australia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279,815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77,636</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357,451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184 %</w:t>
            </w:r>
          </w:p>
        </w:tc>
      </w:tr>
      <w:tr>
        <w:trPr>
          <w:trHeight w:val="213"/>
        </w:trPr>
        <w:tc>
          <w:tcPr>
            <w:tcW w:w="172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4580" w:type="dxa"/>
            <w:vAlign w:val="bottom"/>
          </w:tcPr>
          <w:p>
            <w:pPr>
              <w:ind w:left="320"/>
              <w:spacing w:after="0"/>
              <w:rPr>
                <w:sz w:val="20"/>
                <w:szCs w:val="20"/>
                <w:color w:val="auto"/>
              </w:rPr>
            </w:pPr>
            <w:r>
              <w:rPr>
                <w:rFonts w:ascii="Arial" w:cs="Arial" w:eastAsia="Arial" w:hAnsi="Arial"/>
                <w:sz w:val="15"/>
                <w:szCs w:val="15"/>
                <w:color w:val="auto"/>
              </w:rPr>
              <w:t>Senior Vice President, Canada</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225,620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80,922</w:t>
            </w:r>
          </w:p>
        </w:tc>
        <w:tc>
          <w:tcPr>
            <w:tcW w:w="140" w:type="dxa"/>
            <w:vAlign w:val="bottom"/>
          </w:tcPr>
          <w:p>
            <w:pPr>
              <w:spacing w:after="0"/>
              <w:rPr>
                <w:sz w:val="18"/>
                <w:szCs w:val="18"/>
                <w:color w:val="auto"/>
              </w:rPr>
            </w:pP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306,542</w:t>
            </w:r>
          </w:p>
        </w:tc>
        <w:tc>
          <w:tcPr>
            <w:tcW w:w="1240" w:type="dxa"/>
            <w:vAlign w:val="bottom"/>
          </w:tcPr>
          <w:p>
            <w:pPr>
              <w:jc w:val="right"/>
              <w:spacing w:after="0"/>
              <w:rPr>
                <w:sz w:val="20"/>
                <w:szCs w:val="20"/>
                <w:color w:val="auto"/>
              </w:rPr>
            </w:pPr>
            <w:r>
              <w:rPr>
                <w:rFonts w:ascii="Arial" w:cs="Arial" w:eastAsia="Arial" w:hAnsi="Arial"/>
                <w:sz w:val="15"/>
                <w:szCs w:val="15"/>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866140</wp:posOffset>
            </wp:positionV>
            <wp:extent cx="374650" cy="1873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240"/>
          </w:cols>
          <w:pgMar w:left="320" w:top="12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Long-Term Incentive Plan</w:t>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2020, all named executive officers received equity awards made up of 50% time-based phantom units and 50% cliff-vested cash-based awards. All long-term incentive awards made to employees are generally subject to a three-year vesting period, with time-based awards vesting equally each year from date of grant and cash-based awards vesting on the third anniversary of the grant. All awards are subject to the approval of our Compensation Committee.</w:t>
      </w:r>
    </w:p>
    <w:p>
      <w:pPr>
        <w:spacing w:after="0" w:line="269"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85" w:lineRule="exact"/>
        <w:rPr>
          <w:sz w:val="20"/>
          <w:szCs w:val="20"/>
          <w:color w:val="auto"/>
        </w:rPr>
      </w:pPr>
    </w:p>
    <w:p>
      <w:pPr>
        <w:ind w:right="580"/>
        <w:spacing w:after="0" w:line="267" w:lineRule="auto"/>
        <w:rPr>
          <w:sz w:val="20"/>
          <w:szCs w:val="20"/>
          <w:color w:val="auto"/>
        </w:rPr>
      </w:pPr>
      <w:r>
        <w:rPr>
          <w:rFonts w:ascii="Arial" w:cs="Arial" w:eastAsia="Arial" w:hAnsi="Arial"/>
          <w:sz w:val="15"/>
          <w:szCs w:val="15"/>
          <w:color w:val="auto"/>
        </w:rPr>
        <w:t>For 2020, Civeo granted a combination of phantom share units and cash-based awards as long-term incentives to its named executive officers and other key employees. The value of awards made to individuals in this group took into consideration the following factors:</w:t>
      </w:r>
    </w:p>
    <w:p>
      <w:pPr>
        <w:spacing w:after="0" w:line="78" w:lineRule="exact"/>
        <w:rPr>
          <w:sz w:val="20"/>
          <w:szCs w:val="20"/>
          <w:color w:val="auto"/>
        </w:rPr>
      </w:pPr>
    </w:p>
    <w:p>
      <w:pPr>
        <w:ind w:left="160" w:hanging="157"/>
        <w:spacing w:after="0"/>
        <w:tabs>
          <w:tab w:leader="none" w:pos="160" w:val="left"/>
        </w:tabs>
        <w:numPr>
          <w:ilvl w:val="0"/>
          <w:numId w:val="39"/>
        </w:numPr>
        <w:rPr>
          <w:rFonts w:ascii="Arial" w:cs="Arial" w:eastAsia="Arial" w:hAnsi="Arial"/>
          <w:sz w:val="15"/>
          <w:szCs w:val="15"/>
          <w:color w:val="006DB6"/>
        </w:rPr>
      </w:pPr>
      <w:r>
        <w:rPr>
          <w:rFonts w:ascii="Arial" w:cs="Arial" w:eastAsia="Arial" w:hAnsi="Arial"/>
          <w:sz w:val="15"/>
          <w:szCs w:val="15"/>
          <w:color w:val="auto"/>
        </w:rPr>
        <w:t>Corporate, business unit and individual performance;</w:t>
      </w:r>
    </w:p>
    <w:p>
      <w:pPr>
        <w:spacing w:after="0" w:line="109" w:lineRule="exact"/>
        <w:rPr>
          <w:rFonts w:ascii="Arial" w:cs="Arial" w:eastAsia="Arial" w:hAnsi="Arial"/>
          <w:sz w:val="15"/>
          <w:szCs w:val="15"/>
          <w:color w:val="006DB6"/>
        </w:rPr>
      </w:pPr>
    </w:p>
    <w:p>
      <w:pPr>
        <w:ind w:left="160" w:hanging="157"/>
        <w:spacing w:after="0"/>
        <w:tabs>
          <w:tab w:leader="none" w:pos="160" w:val="left"/>
        </w:tabs>
        <w:numPr>
          <w:ilvl w:val="0"/>
          <w:numId w:val="39"/>
        </w:numPr>
        <w:rPr>
          <w:rFonts w:ascii="Arial" w:cs="Arial" w:eastAsia="Arial" w:hAnsi="Arial"/>
          <w:sz w:val="15"/>
          <w:szCs w:val="15"/>
          <w:color w:val="006DB6"/>
        </w:rPr>
      </w:pPr>
      <w:r>
        <w:rPr>
          <w:rFonts w:ascii="Arial" w:cs="Arial" w:eastAsia="Arial" w:hAnsi="Arial"/>
          <w:sz w:val="15"/>
          <w:szCs w:val="15"/>
          <w:color w:val="auto"/>
        </w:rPr>
        <w:t>Competitive market practice;</w:t>
      </w:r>
    </w:p>
    <w:p>
      <w:pPr>
        <w:spacing w:after="0" w:line="109" w:lineRule="exact"/>
        <w:rPr>
          <w:rFonts w:ascii="Arial" w:cs="Arial" w:eastAsia="Arial" w:hAnsi="Arial"/>
          <w:sz w:val="15"/>
          <w:szCs w:val="15"/>
          <w:color w:val="006DB6"/>
        </w:rPr>
      </w:pPr>
    </w:p>
    <w:p>
      <w:pPr>
        <w:ind w:left="160" w:hanging="157"/>
        <w:spacing w:after="0"/>
        <w:tabs>
          <w:tab w:leader="none" w:pos="160" w:val="left"/>
        </w:tabs>
        <w:numPr>
          <w:ilvl w:val="0"/>
          <w:numId w:val="39"/>
        </w:numPr>
        <w:rPr>
          <w:rFonts w:ascii="Arial" w:cs="Arial" w:eastAsia="Arial" w:hAnsi="Arial"/>
          <w:sz w:val="15"/>
          <w:szCs w:val="15"/>
          <w:color w:val="006DB6"/>
        </w:rPr>
      </w:pPr>
      <w:r>
        <w:rPr>
          <w:rFonts w:ascii="Arial" w:cs="Arial" w:eastAsia="Arial" w:hAnsi="Arial"/>
          <w:sz w:val="15"/>
          <w:szCs w:val="15"/>
          <w:color w:val="auto"/>
        </w:rPr>
        <w:t>Executive retention;</w:t>
      </w:r>
    </w:p>
    <w:p>
      <w:pPr>
        <w:spacing w:after="0" w:line="109" w:lineRule="exact"/>
        <w:rPr>
          <w:rFonts w:ascii="Arial" w:cs="Arial" w:eastAsia="Arial" w:hAnsi="Arial"/>
          <w:sz w:val="15"/>
          <w:szCs w:val="15"/>
          <w:color w:val="006DB6"/>
        </w:rPr>
      </w:pPr>
    </w:p>
    <w:p>
      <w:pPr>
        <w:ind w:left="160" w:hanging="157"/>
        <w:spacing w:after="0"/>
        <w:tabs>
          <w:tab w:leader="none" w:pos="160" w:val="left"/>
        </w:tabs>
        <w:numPr>
          <w:ilvl w:val="0"/>
          <w:numId w:val="39"/>
        </w:numPr>
        <w:rPr>
          <w:rFonts w:ascii="Arial" w:cs="Arial" w:eastAsia="Arial" w:hAnsi="Arial"/>
          <w:sz w:val="15"/>
          <w:szCs w:val="15"/>
          <w:color w:val="006DB6"/>
        </w:rPr>
      </w:pPr>
      <w:r>
        <w:rPr>
          <w:rFonts w:ascii="Arial" w:cs="Arial" w:eastAsia="Arial" w:hAnsi="Arial"/>
          <w:sz w:val="15"/>
          <w:szCs w:val="15"/>
          <w:color w:val="auto"/>
        </w:rPr>
        <w:t>Impact of awards and quantum of awards on dilution and liquidity; and</w:t>
      </w:r>
    </w:p>
    <w:p>
      <w:pPr>
        <w:spacing w:after="0" w:line="109" w:lineRule="exact"/>
        <w:rPr>
          <w:rFonts w:ascii="Arial" w:cs="Arial" w:eastAsia="Arial" w:hAnsi="Arial"/>
          <w:sz w:val="15"/>
          <w:szCs w:val="15"/>
          <w:color w:val="006DB6"/>
        </w:rPr>
      </w:pPr>
    </w:p>
    <w:p>
      <w:pPr>
        <w:ind w:left="160" w:hanging="157"/>
        <w:spacing w:after="0"/>
        <w:tabs>
          <w:tab w:leader="none" w:pos="160" w:val="left"/>
        </w:tabs>
        <w:numPr>
          <w:ilvl w:val="0"/>
          <w:numId w:val="39"/>
        </w:numPr>
        <w:rPr>
          <w:rFonts w:ascii="Arial" w:cs="Arial" w:eastAsia="Arial" w:hAnsi="Arial"/>
          <w:sz w:val="15"/>
          <w:szCs w:val="15"/>
          <w:color w:val="006DB6"/>
        </w:rPr>
      </w:pPr>
      <w:r>
        <w:rPr>
          <w:rFonts w:ascii="Arial" w:cs="Arial" w:eastAsia="Arial" w:hAnsi="Arial"/>
          <w:sz w:val="15"/>
          <w:szCs w:val="15"/>
          <w:color w:val="auto"/>
        </w:rPr>
        <w:t>Tax considerations in the U.S., Canada and Australia.</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LTIP awards approved by the Compensation Committee were made at levels consistent with past practices.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jc w:val="center"/>
              <w:ind w:left="107"/>
              <w:spacing w:after="0"/>
              <w:rPr>
                <w:sz w:val="20"/>
                <w:szCs w:val="20"/>
                <w:color w:val="auto"/>
              </w:rPr>
            </w:pPr>
            <w:r>
              <w:rPr>
                <w:rFonts w:ascii="Arial" w:cs="Arial" w:eastAsia="Arial" w:hAnsi="Arial"/>
                <w:sz w:val="14"/>
                <w:szCs w:val="14"/>
                <w:b w:val="1"/>
                <w:bCs w:val="1"/>
                <w:color w:val="706F6F"/>
                <w:w w:val="96"/>
              </w:rPr>
              <w:t>Phantom</w:t>
            </w:r>
          </w:p>
        </w:tc>
        <w:tc>
          <w:tcPr>
            <w:tcW w:w="1500" w:type="dxa"/>
            <w:vAlign w:val="bottom"/>
          </w:tcPr>
          <w:p>
            <w:pPr>
              <w:spacing w:after="0"/>
              <w:rPr>
                <w:sz w:val="14"/>
                <w:szCs w:val="14"/>
                <w:color w:val="auto"/>
              </w:rPr>
            </w:pPr>
          </w:p>
        </w:tc>
        <w:tc>
          <w:tcPr>
            <w:tcW w:w="1280" w:type="dxa"/>
            <w:vAlign w:val="bottom"/>
            <w:gridSpan w:val="2"/>
          </w:tcPr>
          <w:p>
            <w:pPr>
              <w:jc w:val="right"/>
              <w:ind w:right="5"/>
              <w:spacing w:after="0"/>
              <w:rPr>
                <w:sz w:val="20"/>
                <w:szCs w:val="20"/>
                <w:color w:val="auto"/>
              </w:rPr>
            </w:pPr>
            <w:r>
              <w:rPr>
                <w:rFonts w:ascii="Arial" w:cs="Arial" w:eastAsia="Arial" w:hAnsi="Arial"/>
                <w:sz w:val="14"/>
                <w:szCs w:val="14"/>
                <w:b w:val="1"/>
                <w:bCs w:val="1"/>
                <w:color w:val="706F6F"/>
              </w:rPr>
              <w:t>Stock Price at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8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Share</w:t>
            </w:r>
          </w:p>
        </w:tc>
        <w:tc>
          <w:tcPr>
            <w:tcW w:w="1500" w:type="dxa"/>
            <w:vAlign w:val="bottom"/>
          </w:tcPr>
          <w:p>
            <w:pPr>
              <w:jc w:val="right"/>
              <w:ind w:right="206"/>
              <w:spacing w:after="0" w:line="154" w:lineRule="exact"/>
              <w:rPr>
                <w:sz w:val="20"/>
                <w:szCs w:val="20"/>
                <w:color w:val="auto"/>
              </w:rPr>
            </w:pPr>
            <w:r>
              <w:rPr>
                <w:rFonts w:ascii="Arial" w:cs="Arial" w:eastAsia="Arial" w:hAnsi="Arial"/>
                <w:sz w:val="14"/>
                <w:szCs w:val="14"/>
                <w:b w:val="1"/>
                <w:bCs w:val="1"/>
                <w:color w:val="706F6F"/>
                <w:w w:val="98"/>
              </w:rPr>
              <w:t>Time-Vested Cash</w:t>
            </w:r>
          </w:p>
        </w:tc>
        <w:tc>
          <w:tcPr>
            <w:tcW w:w="1280" w:type="dxa"/>
            <w:vAlign w:val="bottom"/>
            <w:gridSpan w:val="2"/>
          </w:tcPr>
          <w:p>
            <w:pPr>
              <w:jc w:val="right"/>
              <w:ind w:right="5"/>
              <w:spacing w:after="0" w:line="154" w:lineRule="exact"/>
              <w:rPr>
                <w:sz w:val="20"/>
                <w:szCs w:val="20"/>
                <w:color w:val="auto"/>
              </w:rPr>
            </w:pPr>
            <w:r>
              <w:rPr>
                <w:rFonts w:ascii="Arial" w:cs="Arial" w:eastAsia="Arial" w:hAnsi="Arial"/>
                <w:sz w:val="14"/>
                <w:szCs w:val="14"/>
                <w:b w:val="1"/>
                <w:bCs w:val="1"/>
                <w:color w:val="706F6F"/>
              </w:rPr>
              <w:t>Date of Grant</w:t>
            </w:r>
          </w:p>
        </w:tc>
        <w:tc>
          <w:tcPr>
            <w:tcW w:w="3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Valuation</w:t>
            </w:r>
            <w:r>
              <w:rPr>
                <w:rFonts w:ascii="Arial" w:cs="Arial" w:eastAsia="Arial" w:hAnsi="Arial"/>
                <w:sz w:val="17"/>
                <w:szCs w:val="17"/>
                <w:b w:val="1"/>
                <w:bCs w:val="1"/>
                <w:color w:val="706F6F"/>
                <w:vertAlign w:val="superscript"/>
              </w:rPr>
              <w:t>(1)</w:t>
            </w:r>
          </w:p>
        </w:tc>
        <w:tc>
          <w:tcPr>
            <w:tcW w:w="0" w:type="dxa"/>
            <w:vAlign w:val="bottom"/>
          </w:tcPr>
          <w:p>
            <w:pPr>
              <w:spacing w:after="0"/>
              <w:rPr>
                <w:sz w:val="1"/>
                <w:szCs w:val="1"/>
                <w:color w:val="auto"/>
              </w:rPr>
            </w:pPr>
          </w:p>
        </w:tc>
      </w:tr>
      <w:tr>
        <w:trPr>
          <w:trHeight w:val="197"/>
        </w:trPr>
        <w:tc>
          <w:tcPr>
            <w:tcW w:w="17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660" w:type="dxa"/>
            <w:vAlign w:val="bottom"/>
            <w:tcBorders>
              <w:bottom w:val="single" w:sz="8" w:color="006DB6"/>
            </w:tcBorders>
          </w:tcPr>
          <w:p>
            <w:pPr>
              <w:ind w:left="340"/>
              <w:spacing w:after="0"/>
              <w:rPr>
                <w:sz w:val="20"/>
                <w:szCs w:val="20"/>
                <w:color w:val="auto"/>
              </w:rPr>
            </w:pPr>
            <w:r>
              <w:rPr>
                <w:rFonts w:ascii="Arial" w:cs="Arial" w:eastAsia="Arial" w:hAnsi="Arial"/>
                <w:sz w:val="14"/>
                <w:szCs w:val="14"/>
                <w:b w:val="1"/>
                <w:bCs w:val="1"/>
                <w:color w:val="706F6F"/>
              </w:rPr>
              <w:t>Position</w:t>
            </w:r>
          </w:p>
        </w:tc>
        <w:tc>
          <w:tcPr>
            <w:tcW w:w="8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Units</w:t>
            </w:r>
          </w:p>
        </w:tc>
        <w:tc>
          <w:tcPr>
            <w:tcW w:w="1500" w:type="dxa"/>
            <w:vAlign w:val="bottom"/>
            <w:tcBorders>
              <w:bottom w:val="single" w:sz="8" w:color="006DB6"/>
            </w:tcBorders>
          </w:tcPr>
          <w:p>
            <w:pPr>
              <w:jc w:val="right"/>
              <w:ind w:right="206"/>
              <w:spacing w:after="0"/>
              <w:rPr>
                <w:sz w:val="20"/>
                <w:szCs w:val="20"/>
                <w:color w:val="auto"/>
              </w:rPr>
            </w:pPr>
            <w:r>
              <w:rPr>
                <w:rFonts w:ascii="Arial" w:cs="Arial" w:eastAsia="Arial" w:hAnsi="Arial"/>
                <w:sz w:val="14"/>
                <w:szCs w:val="14"/>
                <w:b w:val="1"/>
                <w:bCs w:val="1"/>
                <w:color w:val="706F6F"/>
              </w:rPr>
              <w:t>Retainer ($)</w:t>
            </w:r>
          </w:p>
        </w:tc>
        <w:tc>
          <w:tcPr>
            <w:tcW w:w="680" w:type="dxa"/>
            <w:vAlign w:val="bottom"/>
            <w:tcBorders>
              <w:bottom w:val="single" w:sz="8" w:color="006DB6"/>
            </w:tcBorders>
          </w:tcPr>
          <w:p>
            <w:pPr>
              <w:spacing w:after="0"/>
              <w:rPr>
                <w:sz w:val="17"/>
                <w:szCs w:val="17"/>
                <w:color w:val="auto"/>
              </w:rPr>
            </w:pPr>
          </w:p>
        </w:tc>
        <w:tc>
          <w:tcPr>
            <w:tcW w:w="600" w:type="dxa"/>
            <w:vAlign w:val="bottom"/>
            <w:tcBorders>
              <w:bottom w:val="single" w:sz="8" w:color="006DB6"/>
            </w:tcBorders>
          </w:tcPr>
          <w:p>
            <w:pPr>
              <w:jc w:val="right"/>
              <w:ind w:right="5"/>
              <w:spacing w:after="0"/>
              <w:rPr>
                <w:sz w:val="20"/>
                <w:szCs w:val="20"/>
                <w:color w:val="auto"/>
              </w:rPr>
            </w:pPr>
            <w:r>
              <w:rPr>
                <w:rFonts w:ascii="Arial" w:cs="Arial" w:eastAsia="Arial" w:hAnsi="Arial"/>
                <w:sz w:val="14"/>
                <w:szCs w:val="14"/>
                <w:b w:val="1"/>
                <w:bCs w:val="1"/>
                <w:color w:val="706F6F"/>
              </w:rPr>
              <w:t>($)</w:t>
            </w:r>
          </w:p>
        </w:tc>
        <w:tc>
          <w:tcPr>
            <w:tcW w:w="300" w:type="dxa"/>
            <w:vAlign w:val="bottom"/>
            <w:tcBorders>
              <w:bottom w:val="single" w:sz="8" w:color="006DB6"/>
            </w:tcBorders>
          </w:tcPr>
          <w:p>
            <w:pPr>
              <w:spacing w:after="0"/>
              <w:rPr>
                <w:sz w:val="17"/>
                <w:szCs w:val="17"/>
                <w:color w:val="auto"/>
              </w:rPr>
            </w:pPr>
          </w:p>
        </w:tc>
        <w:tc>
          <w:tcPr>
            <w:tcW w:w="880" w:type="dxa"/>
            <w:vAlign w:val="bottom"/>
            <w:tcBorders>
              <w:bottom w:val="single" w:sz="8" w:color="006D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46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President and Chief Executive Officer</w:t>
            </w:r>
          </w:p>
        </w:tc>
        <w:tc>
          <w:tcPr>
            <w:tcW w:w="88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rPr>
              <w:t>79,309</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1,256,251</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15.84</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2,512,506</w:t>
            </w:r>
          </w:p>
        </w:tc>
        <w:tc>
          <w:tcPr>
            <w:tcW w:w="0" w:type="dxa"/>
            <w:vAlign w:val="bottom"/>
          </w:tcPr>
          <w:p>
            <w:pPr>
              <w:spacing w:after="0"/>
              <w:rPr>
                <w:sz w:val="1"/>
                <w:szCs w:val="1"/>
                <w:color w:val="auto"/>
              </w:rPr>
            </w:pPr>
          </w:p>
        </w:tc>
      </w:tr>
      <w:tr>
        <w:trPr>
          <w:trHeight w:val="224"/>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46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Senior Vice President, Chief Financial Officer and Treasurer</w:t>
            </w:r>
          </w:p>
        </w:tc>
        <w:tc>
          <w:tcPr>
            <w:tcW w:w="88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rPr>
              <w:t>16,099</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255,000</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15.84</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510,008</w:t>
            </w:r>
          </w:p>
        </w:tc>
        <w:tc>
          <w:tcPr>
            <w:tcW w:w="0" w:type="dxa"/>
            <w:vAlign w:val="bottom"/>
          </w:tcPr>
          <w:p>
            <w:pPr>
              <w:spacing w:after="0"/>
              <w:rPr>
                <w:sz w:val="1"/>
                <w:szCs w:val="1"/>
                <w:color w:val="auto"/>
              </w:rPr>
            </w:pPr>
          </w:p>
        </w:tc>
      </w:tr>
      <w:tr>
        <w:trPr>
          <w:trHeight w:val="224"/>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46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Senior Vice President, Australia</w:t>
            </w:r>
          </w:p>
        </w:tc>
        <w:tc>
          <w:tcPr>
            <w:tcW w:w="88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rPr>
              <w:t>11,246</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178,133</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15.84</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356,270</w:t>
            </w:r>
          </w:p>
        </w:tc>
        <w:tc>
          <w:tcPr>
            <w:tcW w:w="0" w:type="dxa"/>
            <w:vAlign w:val="bottom"/>
          </w:tcPr>
          <w:p>
            <w:pPr>
              <w:spacing w:after="0"/>
              <w:rPr>
                <w:sz w:val="1"/>
                <w:szCs w:val="1"/>
                <w:color w:val="auto"/>
              </w:rPr>
            </w:pPr>
          </w:p>
        </w:tc>
      </w:tr>
      <w:tr>
        <w:trPr>
          <w:trHeight w:val="213"/>
        </w:trPr>
        <w:tc>
          <w:tcPr>
            <w:tcW w:w="174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4660" w:type="dxa"/>
            <w:vAlign w:val="bottom"/>
          </w:tcPr>
          <w:p>
            <w:pPr>
              <w:ind w:left="340"/>
              <w:spacing w:after="0"/>
              <w:rPr>
                <w:sz w:val="20"/>
                <w:szCs w:val="20"/>
                <w:color w:val="auto"/>
              </w:rPr>
            </w:pPr>
            <w:r>
              <w:rPr>
                <w:rFonts w:ascii="Arial" w:cs="Arial" w:eastAsia="Arial" w:hAnsi="Arial"/>
                <w:sz w:val="15"/>
                <w:szCs w:val="15"/>
                <w:color w:val="auto"/>
              </w:rPr>
              <w:t>Senior Vice President, Canada</w:t>
            </w:r>
          </w:p>
        </w:tc>
        <w:tc>
          <w:tcPr>
            <w:tcW w:w="880" w:type="dxa"/>
            <w:vAlign w:val="bottom"/>
          </w:tcPr>
          <w:p>
            <w:pPr>
              <w:jc w:val="center"/>
              <w:ind w:left="127"/>
              <w:spacing w:after="0"/>
              <w:rPr>
                <w:sz w:val="20"/>
                <w:szCs w:val="20"/>
                <w:color w:val="auto"/>
              </w:rPr>
            </w:pPr>
            <w:r>
              <w:rPr>
                <w:rFonts w:ascii="Arial" w:cs="Arial" w:eastAsia="Arial" w:hAnsi="Arial"/>
                <w:sz w:val="15"/>
                <w:szCs w:val="15"/>
                <w:color w:val="auto"/>
              </w:rPr>
              <w:t>16,924</w:t>
            </w:r>
          </w:p>
        </w:tc>
        <w:tc>
          <w:tcPr>
            <w:tcW w:w="1500" w:type="dxa"/>
            <w:vAlign w:val="bottom"/>
          </w:tcPr>
          <w:p>
            <w:pPr>
              <w:jc w:val="right"/>
              <w:ind w:right="266"/>
              <w:spacing w:after="0"/>
              <w:rPr>
                <w:sz w:val="20"/>
                <w:szCs w:val="20"/>
                <w:color w:val="auto"/>
              </w:rPr>
            </w:pPr>
            <w:r>
              <w:rPr>
                <w:rFonts w:ascii="Arial" w:cs="Arial" w:eastAsia="Arial" w:hAnsi="Arial"/>
                <w:sz w:val="15"/>
                <w:szCs w:val="15"/>
                <w:color w:val="auto"/>
              </w:rPr>
              <w:t>268,079</w:t>
            </w:r>
          </w:p>
        </w:tc>
        <w:tc>
          <w:tcPr>
            <w:tcW w:w="6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15.84</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536,155</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40" w:right="60" w:hanging="237"/>
        <w:spacing w:after="0" w:line="282" w:lineRule="auto"/>
        <w:tabs>
          <w:tab w:leader="none" w:pos="243" w:val="left"/>
        </w:tabs>
        <w:numPr>
          <w:ilvl w:val="0"/>
          <w:numId w:val="40"/>
        </w:numPr>
        <w:rPr>
          <w:rFonts w:ascii="Arial" w:cs="Arial" w:eastAsia="Arial" w:hAnsi="Arial"/>
          <w:sz w:val="8"/>
          <w:szCs w:val="8"/>
          <w:color w:val="auto"/>
        </w:rPr>
      </w:pPr>
      <w:r>
        <w:rPr>
          <w:rFonts w:ascii="Arial" w:cs="Arial" w:eastAsia="Arial" w:hAnsi="Arial"/>
          <w:sz w:val="12"/>
          <w:szCs w:val="12"/>
          <w:color w:val="auto"/>
        </w:rPr>
        <w:t>This column shows the full grant date fair value of the phantom share units and time-vested cash retainer as computed under FASB ASC Topic 718—Stock Compensation and granted to the named executive officers during 2020. Generally, the grant date fair value is the amount that Civeo would expense in its financial statements over the vesting schedule of the awards. For purposes of the phantom share units, the value in this column is based upon the closing stock price on date of grant. See Note 18 to Civeo’s consolidated financial statements included in its Annual Report on Form 10-K for the year ended December 31, 2020 for additional detail regarding assumptions underlying the value of these awards.</w:t>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Cash-Based Awards</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Previously, we have granted performance-based share awards to our named executive officers. However, in 2020, given the number of shares available under the EPP, the Company's stock price at the time and feedback from the Company’s largest investors regarding potential dilution, the Compensation Committee determined that it was in the best interest of Civeo's shareholders not to issue share awards to NEOs or other employees. Named executive officers received a cash-based retainer in lieu of a performance award totaling approximately $2.0 million. The award vests and will be paid in 2023 to those participants still employed with the Company. If performance shares had been granted in 2020, the current economic value of those performance shares, as of March 24, 2021, would be approximately 166% of the cash retainer value at target performance without considering any outperformance by the Company under relative TSR and financial metrics of contemplated 2020 performance share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bl>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Performance Share Award Programs</w:t>
      </w:r>
    </w:p>
    <w:p>
      <w:pPr>
        <w:spacing w:after="0" w:line="126" w:lineRule="exact"/>
        <w:rPr>
          <w:sz w:val="20"/>
          <w:szCs w:val="20"/>
          <w:color w:val="auto"/>
        </w:rPr>
      </w:pPr>
    </w:p>
    <w:p>
      <w:pPr>
        <w:ind w:right="700"/>
        <w:spacing w:after="0" w:line="267" w:lineRule="auto"/>
        <w:rPr>
          <w:sz w:val="20"/>
          <w:szCs w:val="20"/>
          <w:color w:val="auto"/>
        </w:rPr>
      </w:pPr>
      <w:r>
        <w:rPr>
          <w:rFonts w:ascii="Arial" w:cs="Arial" w:eastAsia="Arial" w:hAnsi="Arial"/>
          <w:sz w:val="15"/>
          <w:szCs w:val="15"/>
          <w:color w:val="auto"/>
        </w:rPr>
        <w:t>Historically, our Performance Share Award Program has been comprised of the following key elements listed below. We have returned to a more traditional Performance Share Awards Program design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14540" cy="6184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4540" cy="61849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p>
      <w:pPr>
        <w:spacing w:after="0" w:line="27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006DB6"/>
        </w:rPr>
        <w:t>Performance metric</w:t>
      </w:r>
    </w:p>
    <w:p>
      <w:pPr>
        <w:spacing w:after="0" w:line="76" w:lineRule="exact"/>
        <w:rPr>
          <w:sz w:val="20"/>
          <w:szCs w:val="20"/>
          <w:color w:val="auto"/>
        </w:rPr>
      </w:pPr>
    </w:p>
    <w:p>
      <w:pPr>
        <w:ind w:left="100"/>
        <w:spacing w:after="0" w:line="267" w:lineRule="auto"/>
        <w:rPr>
          <w:sz w:val="20"/>
          <w:szCs w:val="20"/>
          <w:color w:val="auto"/>
        </w:rPr>
      </w:pPr>
      <w:r>
        <w:rPr>
          <w:rFonts w:ascii="Arial" w:cs="Arial" w:eastAsia="Arial" w:hAnsi="Arial"/>
          <w:sz w:val="15"/>
          <w:szCs w:val="15"/>
          <w:color w:val="auto"/>
        </w:rPr>
        <w:t>Relative TSR (compared against our defined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2279650" cy="7327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79650" cy="7327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006DB6"/>
        </w:rPr>
        <w:t>Vesting</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Cliff vesting</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Performance period</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320675</wp:posOffset>
            </wp:positionV>
            <wp:extent cx="2287270" cy="7327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8727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Award amount</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Comprises 50% of a named executive officer’s LTIP, as determined by the Compensation Committee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Participants</w:t>
      </w:r>
    </w:p>
    <w:p>
      <w:pPr>
        <w:spacing w:after="0" w:line="76" w:lineRule="exact"/>
        <w:rPr>
          <w:sz w:val="20"/>
          <w:szCs w:val="20"/>
          <w:color w:val="auto"/>
        </w:rPr>
      </w:pPr>
    </w:p>
    <w:p>
      <w:pPr>
        <w:ind w:right="460"/>
        <w:spacing w:after="0" w:line="267" w:lineRule="auto"/>
        <w:rPr>
          <w:sz w:val="20"/>
          <w:szCs w:val="20"/>
          <w:color w:val="auto"/>
        </w:rPr>
      </w:pPr>
      <w:r>
        <w:rPr>
          <w:rFonts w:ascii="Arial" w:cs="Arial" w:eastAsia="Arial" w:hAnsi="Arial"/>
          <w:sz w:val="15"/>
          <w:szCs w:val="15"/>
          <w:color w:val="auto"/>
        </w:rPr>
        <w:t>All named executive officers and other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186690</wp:posOffset>
            </wp:positionV>
            <wp:extent cx="2287270" cy="7327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87270" cy="7327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Payout</w:t>
      </w:r>
    </w:p>
    <w:p>
      <w:pPr>
        <w:spacing w:after="0" w:line="76"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3">
            <w:col w:w="3480" w:space="400"/>
            <w:col w:w="3180" w:space="640"/>
            <w:col w:w="3520"/>
          </w:cols>
          <w:pgMar w:left="320" w:top="123" w:right="359" w:bottom="1440" w:gutter="0" w:footer="0" w:header="0"/>
          <w:type w:val="continuous"/>
        </w:sectPr>
      </w:pPr>
    </w:p>
    <w:p>
      <w:pPr>
        <w:spacing w:after="0" w:line="180" w:lineRule="exact"/>
        <w:rPr>
          <w:sz w:val="20"/>
          <w:szCs w:val="20"/>
          <w:color w:val="auto"/>
        </w:rPr>
      </w:pPr>
    </w:p>
    <w:p>
      <w:pPr>
        <w:jc w:val="both"/>
        <w:ind w:right="140"/>
        <w:spacing w:after="0" w:line="258" w:lineRule="auto"/>
        <w:rPr>
          <w:sz w:val="20"/>
          <w:szCs w:val="20"/>
          <w:color w:val="auto"/>
        </w:rPr>
      </w:pPr>
      <w:r>
        <w:rPr>
          <w:rFonts w:ascii="Arial" w:cs="Arial" w:eastAsia="Arial" w:hAnsi="Arial"/>
          <w:sz w:val="15"/>
          <w:szCs w:val="15"/>
          <w:color w:val="auto"/>
        </w:rPr>
        <w:t>Calculation of our relative TSR is conducted by a third party designated by the Compensation Committee following completion of the three-year performance cycle. Performance share awards granted in 2018 and 2019 will be earned in amounts between 0% and 200% of the participant’s target performance share award, based on the payout percentage associated with Civeo’s percentile performance among the peer group.</w:t>
      </w:r>
    </w:p>
    <w:p>
      <w:pPr>
        <w:spacing w:after="0" w:line="85" w:lineRule="exact"/>
        <w:rPr>
          <w:sz w:val="20"/>
          <w:szCs w:val="20"/>
          <w:color w:val="auto"/>
        </w:rPr>
      </w:pPr>
    </w:p>
    <w:p>
      <w:pPr>
        <w:ind w:right="380"/>
        <w:spacing w:after="0" w:line="255" w:lineRule="auto"/>
        <w:rPr>
          <w:sz w:val="20"/>
          <w:szCs w:val="20"/>
          <w:color w:val="auto"/>
        </w:rPr>
      </w:pPr>
      <w:r>
        <w:rPr>
          <w:rFonts w:ascii="Arial" w:cs="Arial" w:eastAsia="Arial" w:hAnsi="Arial"/>
          <w:sz w:val="15"/>
          <w:szCs w:val="15"/>
          <w:color w:val="auto"/>
        </w:rPr>
        <w:t>If the performance metric yields a payout percentage of 0%, participants will not earn any performance shares for the applicable three-year performance period. Calculation of relative TSR includes all dividends paid over the performance cycle. Between the quartiles, linear interpolation is used for the actual percentile performance. Beginning in 2021, the Compensation Committee has committed to cap all future performance shares at 100% payout (Target), if Civeo’s total shareholder return over the performance period is negative, irrespective of relative performance.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PSA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95885</wp:posOffset>
            </wp:positionV>
            <wp:extent cx="8255" cy="7486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748665"/>
                    </a:xfrm>
                    <a:prstGeom prst="rect">
                      <a:avLst/>
                    </a:prstGeom>
                    <a:noFill/>
                  </pic:spPr>
                </pic:pic>
              </a:graphicData>
            </a:graphic>
          </wp:anchor>
        </w:drawing>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122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FY18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FY19</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w w:val="95"/>
              </w:rPr>
              <w:t>FY20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w w:val="95"/>
              </w:rPr>
              <w:t>FY21</w:t>
            </w:r>
          </w:p>
        </w:tc>
        <w:tc>
          <w:tcPr>
            <w:tcW w:w="1140" w:type="dxa"/>
            <w:vAlign w:val="bottom"/>
          </w:tcPr>
          <w:p>
            <w:pPr>
              <w:ind w:left="820"/>
              <w:spacing w:after="0"/>
              <w:rPr>
                <w:sz w:val="20"/>
                <w:szCs w:val="20"/>
                <w:color w:val="auto"/>
              </w:rPr>
            </w:pPr>
            <w:r>
              <w:rPr>
                <w:rFonts w:ascii="Arial" w:cs="Arial" w:eastAsia="Arial" w:hAnsi="Arial"/>
                <w:sz w:val="14"/>
                <w:szCs w:val="14"/>
                <w:b w:val="1"/>
                <w:bCs w:val="1"/>
                <w:color w:val="70706F"/>
                <w:w w:val="89"/>
              </w:rPr>
              <w:t>FY22</w:t>
            </w:r>
          </w:p>
        </w:tc>
      </w:tr>
      <w:tr>
        <w:trPr>
          <w:trHeight w:val="114"/>
        </w:trPr>
        <w:tc>
          <w:tcPr>
            <w:tcW w:w="122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r>
      <w:tr>
        <w:trPr>
          <w:trHeight w:val="264"/>
        </w:trPr>
        <w:tc>
          <w:tcPr>
            <w:tcW w:w="122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FY18 PSA</w:t>
            </w:r>
          </w:p>
        </w:tc>
        <w:tc>
          <w:tcPr>
            <w:tcW w:w="200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5"/>
                <w:szCs w:val="15"/>
                <w:b w:val="1"/>
                <w:bCs w:val="1"/>
                <w:color w:val="auto"/>
              </w:rPr>
              <w:t>Year 1</w:t>
            </w:r>
          </w:p>
        </w:tc>
        <w:tc>
          <w:tcPr>
            <w:tcW w:w="200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5"/>
                <w:szCs w:val="15"/>
                <w:b w:val="1"/>
                <w:bCs w:val="1"/>
                <w:color w:val="auto"/>
              </w:rPr>
              <w:t>Year 2</w:t>
            </w:r>
          </w:p>
        </w:tc>
        <w:tc>
          <w:tcPr>
            <w:tcW w:w="200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5"/>
                <w:szCs w:val="15"/>
                <w:b w:val="1"/>
                <w:bCs w:val="1"/>
                <w:color w:val="FFFFFF"/>
              </w:rPr>
              <w:t>Year 3</w:t>
            </w:r>
          </w:p>
        </w:tc>
        <w:tc>
          <w:tcPr>
            <w:tcW w:w="2000" w:type="dxa"/>
            <w:vAlign w:val="bottom"/>
            <w:tcBorders>
              <w:right w:val="single" w:sz="8" w:color="auto"/>
            </w:tcBorders>
          </w:tcPr>
          <w:p>
            <w:pPr>
              <w:spacing w:after="0"/>
              <w:rPr>
                <w:sz w:val="22"/>
                <w:szCs w:val="22"/>
                <w:color w:val="auto"/>
              </w:rPr>
            </w:pPr>
          </w:p>
        </w:tc>
        <w:tc>
          <w:tcPr>
            <w:tcW w:w="1140" w:type="dxa"/>
            <w:vAlign w:val="bottom"/>
          </w:tcPr>
          <w:p>
            <w:pPr>
              <w:spacing w:after="0"/>
              <w:rPr>
                <w:sz w:val="22"/>
                <w:szCs w:val="22"/>
                <w:color w:val="auto"/>
              </w:rPr>
            </w:pPr>
          </w:p>
        </w:tc>
      </w:tr>
      <w:tr>
        <w:trPr>
          <w:trHeight w:val="69"/>
        </w:trPr>
        <w:tc>
          <w:tcPr>
            <w:tcW w:w="122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shd w:val="clear" w:color="auto" w:fill="BED0E9"/>
          </w:tcPr>
          <w:p>
            <w:pPr>
              <w:spacing w:after="0"/>
              <w:rPr>
                <w:sz w:val="6"/>
                <w:szCs w:val="6"/>
                <w:color w:val="auto"/>
              </w:rPr>
            </w:pPr>
          </w:p>
        </w:tc>
        <w:tc>
          <w:tcPr>
            <w:tcW w:w="2000" w:type="dxa"/>
            <w:vAlign w:val="bottom"/>
            <w:tcBorders>
              <w:right w:val="single" w:sz="8" w:color="auto"/>
            </w:tcBorders>
            <w:shd w:val="clear" w:color="auto" w:fill="94B2DA"/>
          </w:tcPr>
          <w:p>
            <w:pPr>
              <w:spacing w:after="0"/>
              <w:rPr>
                <w:sz w:val="6"/>
                <w:szCs w:val="6"/>
                <w:color w:val="auto"/>
              </w:rPr>
            </w:pPr>
          </w:p>
        </w:tc>
        <w:tc>
          <w:tcPr>
            <w:tcW w:w="2000" w:type="dxa"/>
            <w:vAlign w:val="bottom"/>
            <w:tcBorders>
              <w:right w:val="single" w:sz="8" w:color="auto"/>
            </w:tcBorders>
            <w:shd w:val="clear" w:color="auto" w:fill="006DB6"/>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r>
      <w:tr>
        <w:trPr>
          <w:trHeight w:val="51"/>
        </w:trPr>
        <w:tc>
          <w:tcPr>
            <w:tcW w:w="122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122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FY19 PSA</w:t>
            </w:r>
          </w:p>
        </w:tc>
        <w:tc>
          <w:tcPr>
            <w:tcW w:w="200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5"/>
                <w:szCs w:val="15"/>
                <w:b w:val="1"/>
                <w:bCs w:val="1"/>
                <w:color w:val="auto"/>
              </w:rPr>
              <w:t>Year 1</w:t>
            </w:r>
          </w:p>
        </w:tc>
        <w:tc>
          <w:tcPr>
            <w:tcW w:w="200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5"/>
                <w:szCs w:val="15"/>
                <w:b w:val="1"/>
                <w:bCs w:val="1"/>
                <w:color w:val="auto"/>
              </w:rPr>
              <w:t>Year 2</w:t>
            </w:r>
          </w:p>
        </w:tc>
        <w:tc>
          <w:tcPr>
            <w:tcW w:w="200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5"/>
                <w:szCs w:val="15"/>
                <w:b w:val="1"/>
                <w:bCs w:val="1"/>
                <w:color w:val="FFFFFF"/>
              </w:rPr>
              <w:t>Year 3</w:t>
            </w:r>
          </w:p>
        </w:tc>
        <w:tc>
          <w:tcPr>
            <w:tcW w:w="1140" w:type="dxa"/>
            <w:vAlign w:val="bottom"/>
          </w:tcPr>
          <w:p>
            <w:pPr>
              <w:spacing w:after="0"/>
              <w:rPr>
                <w:sz w:val="22"/>
                <w:szCs w:val="22"/>
                <w:color w:val="auto"/>
              </w:rPr>
            </w:pPr>
          </w:p>
        </w:tc>
      </w:tr>
      <w:tr>
        <w:trPr>
          <w:trHeight w:val="69"/>
        </w:trPr>
        <w:tc>
          <w:tcPr>
            <w:tcW w:w="122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shd w:val="clear" w:color="auto" w:fill="BED0E9"/>
          </w:tcPr>
          <w:p>
            <w:pPr>
              <w:spacing w:after="0"/>
              <w:rPr>
                <w:sz w:val="6"/>
                <w:szCs w:val="6"/>
                <w:color w:val="auto"/>
              </w:rPr>
            </w:pPr>
          </w:p>
        </w:tc>
        <w:tc>
          <w:tcPr>
            <w:tcW w:w="2000" w:type="dxa"/>
            <w:vAlign w:val="bottom"/>
            <w:tcBorders>
              <w:right w:val="single" w:sz="8" w:color="auto"/>
            </w:tcBorders>
            <w:shd w:val="clear" w:color="auto" w:fill="94B2DA"/>
          </w:tcPr>
          <w:p>
            <w:pPr>
              <w:spacing w:after="0"/>
              <w:rPr>
                <w:sz w:val="6"/>
                <w:szCs w:val="6"/>
                <w:color w:val="auto"/>
              </w:rPr>
            </w:pPr>
          </w:p>
        </w:tc>
        <w:tc>
          <w:tcPr>
            <w:tcW w:w="2000" w:type="dxa"/>
            <w:vAlign w:val="bottom"/>
            <w:tcBorders>
              <w:right w:val="single" w:sz="8" w:color="auto"/>
            </w:tcBorders>
            <w:shd w:val="clear" w:color="auto" w:fill="006DB6"/>
          </w:tcPr>
          <w:p>
            <w:pPr>
              <w:spacing w:after="0"/>
              <w:rPr>
                <w:sz w:val="6"/>
                <w:szCs w:val="6"/>
                <w:color w:val="auto"/>
              </w:rPr>
            </w:pPr>
          </w:p>
        </w:tc>
        <w:tc>
          <w:tcPr>
            <w:tcW w:w="1140" w:type="dxa"/>
            <w:vAlign w:val="bottom"/>
          </w:tcPr>
          <w:p>
            <w:pPr>
              <w:spacing w:after="0"/>
              <w:rPr>
                <w:sz w:val="6"/>
                <w:szCs w:val="6"/>
                <w:color w:val="auto"/>
              </w:rPr>
            </w:pPr>
          </w:p>
        </w:tc>
      </w:tr>
      <w:tr>
        <w:trPr>
          <w:trHeight w:val="51"/>
        </w:trPr>
        <w:tc>
          <w:tcPr>
            <w:tcW w:w="122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r>
    </w:tbl>
    <w:p>
      <w:pPr>
        <w:spacing w:after="0" w:line="200" w:lineRule="exact"/>
        <w:rPr>
          <w:sz w:val="20"/>
          <w:szCs w:val="20"/>
          <w:color w:val="auto"/>
        </w:rPr>
      </w:pP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All performance share awards have been approved by the Compensation Committee and the board of directors. For 2019, Mercer was engaged to calculate Civeo’s ranking in regards to the performance awards that were issued in February 2016. For those 2016 performance share awards that vested in February 2019, Civeo was the highest ranked TSR in the group and therefore, a payout of 200% of target was approved. For 2020, Mercer was engaged to calculate Civeo’s ranking in regards to the performance awards that were issued in February 2017. For those 2017 performance share awards that vested in February 2020, Civeo was the 4th ranked TSR in the group and therefore, a payout of 175% of target was approved.</w:t>
      </w:r>
    </w:p>
    <w:p>
      <w:pPr>
        <w:spacing w:after="0" w:line="87"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 xml:space="preserve">All long-term incentive awards under the EPP are expensed in a manner to comply with Financial Accounting Standards Board, Accounting Standards Codification,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(“FASB ASC Topic 718—Stock Compensation”). Except in special circumstances, long-term incentive awards are made to participants in these plans annually.</w:t>
      </w:r>
    </w:p>
    <w:p>
      <w:pPr>
        <w:spacing w:after="0" w:line="397"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Chief Executive Officer Compensation for 2020</w:t>
      </w:r>
    </w:p>
    <w:p>
      <w:pPr>
        <w:spacing w:after="0" w:line="126"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During its evaluation of Mr. Dodson’s compensation, the Compensation Committee reviewed (i) performance against the 2020 business plan, (ii) TSR performance against a group of peer companies, (iii) pay levels and compensation trends at peer group companies and (iv) progress against the Company’s strategic plan.</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addition to performance information that supports compensation levels that is included in the proxy statement, the Company provides additional information in the Annual Report on Form 10-K including a performance graph that reflects the company’s relative stock performance against the S&amp;P 500, PHLX Oil Services Sector, the prior peer group and the current peer group to assist shareholders and proxy advisors as they consider a “Say on Pay” analysis. The performance graph covers a five-year period with the first year being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144145</wp:posOffset>
            </wp:positionV>
            <wp:extent cx="374650" cy="1873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220"/>
          </w:cols>
          <w:pgMar w:left="320" w:top="123" w:right="3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The following graphic provides information about equity and non-equity awards granted to Mr. Dodson in 2020. Phantom share units and a time-vested cash retainer are included in the LTIP Awarded category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259715</wp:posOffset>
            </wp:positionV>
            <wp:extent cx="2849245" cy="12617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49245" cy="126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Other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Benefit Plans</w:t>
      </w:r>
    </w:p>
    <w:p>
      <w:pPr>
        <w:spacing w:after="0" w:line="87" w:lineRule="exact"/>
        <w:rPr>
          <w:sz w:val="20"/>
          <w:szCs w:val="20"/>
          <w:color w:val="auto"/>
        </w:rPr>
      </w:pPr>
    </w:p>
    <w:p>
      <w:pPr>
        <w:ind w:right="180"/>
        <w:spacing w:after="0" w:line="257" w:lineRule="auto"/>
        <w:rPr>
          <w:sz w:val="20"/>
          <w:szCs w:val="20"/>
          <w:color w:val="auto"/>
        </w:rPr>
      </w:pPr>
      <w:r>
        <w:rPr>
          <w:rFonts w:ascii="Arial" w:cs="Arial" w:eastAsia="Arial" w:hAnsi="Arial"/>
          <w:sz w:val="15"/>
          <w:szCs w:val="15"/>
          <w:color w:val="auto"/>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266" w:lineRule="exact"/>
        <w:rPr>
          <w:sz w:val="20"/>
          <w:szCs w:val="20"/>
          <w:color w:val="auto"/>
        </w:rPr>
      </w:pPr>
    </w:p>
    <w:p>
      <w:pPr>
        <w:ind w:right="360"/>
        <w:spacing w:after="0" w:line="254" w:lineRule="auto"/>
        <w:rPr>
          <w:sz w:val="20"/>
          <w:szCs w:val="20"/>
          <w:color w:val="auto"/>
        </w:rPr>
      </w:pPr>
      <w:r>
        <w:rPr>
          <w:rFonts w:ascii="Arial" w:cs="Arial" w:eastAsia="Arial" w:hAnsi="Arial"/>
          <w:sz w:val="15"/>
          <w:szCs w:val="15"/>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Retirement Plans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Civeo offers a defined contribution 401(k) retirement plan to all of its U.S. employees, including its U.S.-based executives. Those 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9.5% of base salary (to an annual capped limit established by the Australia Taxation Office) to a superannuation fund administered by the Government.</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70706F"/>
        </w:rPr>
        <w:t>Other Perquisites and Personal Benefits</w:t>
      </w:r>
    </w:p>
    <w:p>
      <w:pPr>
        <w:spacing w:after="0" w:line="126"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In general, Civeo does not offer to any executive perquisites or other personal benefits with an aggregate annual value over $10,000. Some executives are provided paid club memberships, which are used for business purposes.</w:t>
      </w:r>
    </w:p>
    <w:p>
      <w:pPr>
        <w:spacing w:after="0" w:line="78"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Dual employment contract provisions for Mr. Dodson provide for income tax preparation services to satisfy his annual filing obligations and for tax equalization for pro rata compensation earned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bl>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Procedures for Determining Compensation</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Executive Compensation Decision-Making and Approval Process</w:t>
      </w:r>
    </w:p>
    <w:p>
      <w:pPr>
        <w:spacing w:after="0" w:line="139"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All executive compensation decisions for named executive officers are made on 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Role of Executive Officers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Role of Compensation Consultant</w:t>
      </w:r>
    </w:p>
    <w:p>
      <w:pPr>
        <w:spacing w:after="0" w:line="139" w:lineRule="exact"/>
        <w:rPr>
          <w:sz w:val="20"/>
          <w:szCs w:val="20"/>
          <w:color w:val="auto"/>
        </w:rPr>
      </w:pPr>
    </w:p>
    <w:p>
      <w:pPr>
        <w:ind w:right="300"/>
        <w:spacing w:after="0" w:line="267" w:lineRule="auto"/>
        <w:rPr>
          <w:sz w:val="20"/>
          <w:szCs w:val="20"/>
          <w:color w:val="auto"/>
        </w:rPr>
      </w:pPr>
      <w:r>
        <w:rPr>
          <w:rFonts w:ascii="Arial" w:cs="Arial" w:eastAsia="Arial" w:hAnsi="Arial"/>
          <w:sz w:val="15"/>
          <w:szCs w:val="15"/>
          <w:color w:val="auto"/>
        </w:rPr>
        <w:t>The Compensation Committee engages Mercer as its independent compensation consultant. Subsequent to its initial engagement of Mercer, the Compensation Committee has reviewed and confirmed its selection of Mercer on an annual basis.</w:t>
      </w:r>
    </w:p>
    <w:p>
      <w:pPr>
        <w:spacing w:after="0" w:line="7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2020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2020:</w:t>
      </w:r>
    </w:p>
    <w:p>
      <w:pPr>
        <w:spacing w:after="0" w:line="91" w:lineRule="exact"/>
        <w:rPr>
          <w:sz w:val="20"/>
          <w:szCs w:val="20"/>
          <w:color w:val="auto"/>
        </w:rPr>
      </w:pPr>
    </w:p>
    <w:p>
      <w:pPr>
        <w:ind w:left="160" w:hanging="157"/>
        <w:spacing w:after="0"/>
        <w:tabs>
          <w:tab w:leader="none" w:pos="160"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Mercer did not provide any services to Civeo or management other than services requested by or with the approval of the Compensation Committee;</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Mercer maintains a conflicts policy, which was provided to the Compensation Committee, with specific policies and procedures designed to ensure independence;</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Fees paid to Mercer by Civeo during 2020 were less than 1% of Mercer’s total revenue;</w:t>
      </w:r>
    </w:p>
    <w:p>
      <w:pPr>
        <w:spacing w:after="0" w:line="83" w:lineRule="exact"/>
        <w:rPr>
          <w:rFonts w:ascii="Arial" w:cs="Arial" w:eastAsia="Arial" w:hAnsi="Arial"/>
          <w:sz w:val="15"/>
          <w:szCs w:val="15"/>
          <w:color w:val="006DB6"/>
        </w:rPr>
      </w:pPr>
    </w:p>
    <w:p>
      <w:pPr>
        <w:ind w:left="180" w:right="340" w:hanging="177"/>
        <w:spacing w:after="0" w:line="267" w:lineRule="auto"/>
        <w:tabs>
          <w:tab w:leader="none" w:pos="152"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None of the Mercer consultants working on matters with us had any business or personal relationship with Compensation Committee members (other than in connection with working on matters with us);</w:t>
      </w:r>
    </w:p>
    <w:p>
      <w:pPr>
        <w:spacing w:after="0" w:line="39" w:lineRule="exact"/>
        <w:rPr>
          <w:rFonts w:ascii="Arial" w:cs="Arial" w:eastAsia="Arial" w:hAnsi="Arial"/>
          <w:sz w:val="15"/>
          <w:szCs w:val="15"/>
          <w:color w:val="006DB6"/>
        </w:rPr>
      </w:pPr>
    </w:p>
    <w:p>
      <w:pPr>
        <w:ind w:left="180" w:right="300" w:hanging="177"/>
        <w:spacing w:after="0" w:line="267" w:lineRule="auto"/>
        <w:tabs>
          <w:tab w:leader="none" w:pos="152"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None of the Mercer consultants working on matters with us (or any consultants at Mercer) had any business or personal relationship with any of our executive officers; and</w:t>
      </w:r>
    </w:p>
    <w:p>
      <w:pPr>
        <w:spacing w:after="0" w:line="39" w:lineRule="exact"/>
        <w:rPr>
          <w:rFonts w:ascii="Arial" w:cs="Arial" w:eastAsia="Arial" w:hAnsi="Arial"/>
          <w:sz w:val="15"/>
          <w:szCs w:val="15"/>
          <w:color w:val="006DB6"/>
        </w:rPr>
      </w:pPr>
    </w:p>
    <w:p>
      <w:pPr>
        <w:ind w:left="160" w:hanging="157"/>
        <w:spacing w:after="0"/>
        <w:tabs>
          <w:tab w:leader="none" w:pos="160" w:val="left"/>
        </w:tabs>
        <w:numPr>
          <w:ilvl w:val="0"/>
          <w:numId w:val="41"/>
        </w:numPr>
        <w:rPr>
          <w:rFonts w:ascii="Arial" w:cs="Arial" w:eastAsia="Arial" w:hAnsi="Arial"/>
          <w:sz w:val="15"/>
          <w:szCs w:val="15"/>
          <w:color w:val="006DB6"/>
        </w:rPr>
      </w:pPr>
      <w:r>
        <w:rPr>
          <w:rFonts w:ascii="Arial" w:cs="Arial" w:eastAsia="Arial" w:hAnsi="Arial"/>
          <w:sz w:val="15"/>
          <w:szCs w:val="15"/>
          <w:color w:val="auto"/>
        </w:rPr>
        <w:t>None of the Mercer consultants working on matters with us own our common shares.</w:t>
      </w:r>
    </w:p>
    <w:p>
      <w:pPr>
        <w:spacing w:after="0" w:line="110"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Since 2015, the Compensation Committee also annually approved the engagement of Mercer to provide benefits consulting services to Civeo. The decision to engage the consultant for these additional services was recommended by management, but approved by the Compensation Committee. During 2020, fees paid to Mercer in the form of commissions by our Canadian insurer and retirement plan fund manager totaled $23,052 and $15,264, respectively, for benefits consulting services provided to our Canadian operations. During 2020, fees paid to Mercer in the form of commission by our U.S. insurers and retirement plan administrator totaled $114,774 and $28,044, respectively, for consulting services provided to our U.S. operations. In the opinion of the Compensation Committee, the scale of these fees ($181,134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$55,109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153670</wp:posOffset>
            </wp:positionV>
            <wp:extent cx="374650" cy="1873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160"/>
          </w:cols>
          <w:pgMar w:left="320" w:top="123" w:right="41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Other Items</w:t>
      </w: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Executive and Change of Control Agreements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Civeo maintains Executive Agreements with Messrs. Dodson and McCann and Change of Control Agreements with Mr. Schoening and Ms. Stone. These agreements are not considered long-term employment agreements and as such, U.S. executives are employed “at will” by Civeo. The agreements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officer based on the executive’s base salary and target annual incentive amount in place on the date of termination. Under the terms of their Executive Agreements, Messrs. Dodson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and McCann will be entitled to receive a lump-sum payment equal to one year’s base salary and target annual bonus amount as well as other benefits described below. Under the terms of Mr. Schoening’s Change of Control Agreement, he is entitled to receive a lump-sum payment equal to 2 times his base salary and annual incentive amount if a qualified termination occurs during the 18-month period following a Change of Control. Ms. Stone’s Change of Control Agreement entitles her to receive a lump-sum payment equal to 1.75 times her base salary and target annual incentive amount if a qualified termination occurs during the 18-month period following a Change of Control. Where a qualified termination occurs outside of the protection period following a Change of Control, Mr. Schoening and Ms. Stone and are not entitled to receive any severance payments or benefits.</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 addition, the agreements provide that all restricted stock awards, restricted share units, performance shares, deferred shares, phantom units, options and other equity-based awards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and Schoening and Ms. Stone, health benefits until the earlier of (i) 36 months (in the case of Mr. Dodson) or 12 months (in the case of Mr. Schoening and Ms. Stone) and (ii) the date the executive began receiving comparable benefits from a subsequent employer, (B) in the case of Messrs. Dodson, and Schoening and Ms. Stone, vesting of all employer contributions to our 401(k) plan to the extent not already vested and (C) for each named executive officer,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Mr. Dodson to be made whole for any excise taxes incurred with respect to severance payments that were in excess of the limits set forth under the Internal Revenue Code. No excise tax gross-up protection is available to Mr. McCann, Mr. Schoening or Ms. Stone. See “Potential Payments Under Termination or Change of Control” in this proxy statement for additional disclosures of severance and Change of Control payments for named executive officers.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Civeo’s Executive Agreements have a term of three years, Mr. Schoening and Ms. Stone’s Change of Control Agreements have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and Ms. Stone, of the date notice was given. To receive benefits under the Executive Agreement or Change of Control Agreement, the executive officer is required to execute a release of all claims against Civeo.</w:t>
      </w:r>
    </w:p>
    <w:p>
      <w:pPr>
        <w:spacing w:after="0" w:line="87" w:lineRule="exact"/>
        <w:rPr>
          <w:sz w:val="20"/>
          <w:szCs w:val="20"/>
          <w:color w:val="auto"/>
        </w:rPr>
      </w:pPr>
    </w:p>
    <w:p>
      <w:pPr>
        <w:ind w:right="520"/>
        <w:spacing w:after="0" w:line="267" w:lineRule="auto"/>
        <w:rPr>
          <w:sz w:val="20"/>
          <w:szCs w:val="20"/>
          <w:color w:val="auto"/>
        </w:rPr>
      </w:pPr>
      <w:r>
        <w:rPr>
          <w:rFonts w:ascii="Arial" w:cs="Arial" w:eastAsia="Arial" w:hAnsi="Arial"/>
          <w:sz w:val="15"/>
          <w:szCs w:val="15"/>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7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32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bl>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Dual Employment Contracts</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Mr. Dodson is party to a dual employment contract with Canadian and U.S. legal entities of Civeo. This contract is in place to permit such executive to execute contracts and other legal agreements on behalf of entities in either jurisdiction and to work and perform cross-border services on an uninterrupted basis. The terms of this contract allocates a portion of such executive’s time to services performed in the United States and Canada provide for tax equalization payments intended to put the executive in the same position as if his employment income were all earned in the State of Texas.</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Accounting and Tax Considerations</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Under Section 162(m) of the Code, a limitation exists on tax deductions of any publicly-held corporation for individual compensation to certain “covered employees” of such corporation exceeding $1,000,000 in any taxable year. For taxable years beginning after December 31, 2017, the previously existing exemption from Section 162(m)’s deduction limit for certain “performance-based” compensation was repealed for all but certain grandfathered compensation arrangements that were in effect as of November 2, 2017. However, the rules and regulations promulgated under Section 162(m) are complicated and subject to change. As such, there can be no assurance that any compensation awarded prior to such date will be fully tax deductible.</w:t>
      </w:r>
    </w:p>
    <w:p>
      <w:pPr>
        <w:spacing w:after="0" w:line="87" w:lineRule="exact"/>
        <w:rPr>
          <w:sz w:val="20"/>
          <w:szCs w:val="20"/>
          <w:color w:val="auto"/>
        </w:rPr>
      </w:pPr>
    </w:p>
    <w:p>
      <w:pPr>
        <w:ind w:right="320"/>
        <w:spacing w:after="0" w:line="267" w:lineRule="auto"/>
        <w:rPr>
          <w:sz w:val="20"/>
          <w:szCs w:val="20"/>
          <w:color w:val="auto"/>
        </w:rPr>
      </w:pPr>
      <w:r>
        <w:rPr>
          <w:rFonts w:ascii="Arial" w:cs="Arial" w:eastAsia="Arial" w:hAnsi="Arial"/>
          <w:sz w:val="15"/>
          <w:szCs w:val="15"/>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381"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Policies and Practices</w:t>
      </w:r>
    </w:p>
    <w:p>
      <w:pPr>
        <w:spacing w:after="0" w:line="139" w:lineRule="exact"/>
        <w:rPr>
          <w:sz w:val="20"/>
          <w:szCs w:val="20"/>
          <w:color w:val="auto"/>
        </w:rPr>
      </w:pPr>
    </w:p>
    <w:p>
      <w:pPr>
        <w:ind w:right="740"/>
        <w:spacing w:after="0" w:line="267" w:lineRule="auto"/>
        <w:rPr>
          <w:sz w:val="20"/>
          <w:szCs w:val="20"/>
          <w:color w:val="auto"/>
        </w:rPr>
      </w:pPr>
      <w:r>
        <w:rPr>
          <w:rFonts w:ascii="Arial" w:cs="Arial" w:eastAsia="Arial" w:hAnsi="Arial"/>
          <w:sz w:val="15"/>
          <w:szCs w:val="15"/>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Equity Awards Pricing</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Civeo’s practice is to price awards at not less than the closing price on the date of grant.</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Insider Trading and Hedging Policy</w:t>
      </w:r>
    </w:p>
    <w:p>
      <w:pPr>
        <w:spacing w:after="0" w:line="87"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Civeo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Clawback Policy</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Civeo’s clawback policy allows Civeo to recoup incentive-based compensation from current or former executive officers if the 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EPP, and the policy does not limit the ability of Civeo to otherwise pursue forfeiture or reclamation of amounts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1417955</wp:posOffset>
            </wp:positionV>
            <wp:extent cx="374650" cy="1873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240"/>
          </w:cols>
          <w:pgMar w:left="320" w:top="12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Executive Share Ownership Requirements</w:t>
      </w:r>
    </w:p>
    <w:p>
      <w:pPr>
        <w:spacing w:after="0" w:line="126" w:lineRule="exact"/>
        <w:rPr>
          <w:sz w:val="20"/>
          <w:szCs w:val="20"/>
          <w:color w:val="auto"/>
        </w:rPr>
      </w:pPr>
    </w:p>
    <w:p>
      <w:pPr>
        <w:ind w:right="260"/>
        <w:spacing w:after="0" w:line="267" w:lineRule="auto"/>
        <w:rPr>
          <w:sz w:val="20"/>
          <w:szCs w:val="20"/>
          <w:color w:val="auto"/>
        </w:rPr>
      </w:pPr>
      <w:r>
        <w:rPr>
          <w:rFonts w:ascii="Arial" w:cs="Arial" w:eastAsia="Arial" w:hAnsi="Arial"/>
          <w:sz w:val="15"/>
          <w:szCs w:val="15"/>
          <w:color w:val="auto"/>
        </w:rPr>
        <w:t>Civeo has established executive share ownership requirements to further align the interests of key executives with those of its shareholders. Our Executive Share Ownership Guidelines are calculated based on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39305" cy="1219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9305" cy="121920"/>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9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100965</wp:posOffset>
            </wp:positionV>
            <wp:extent cx="732790" cy="1060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2790" cy="10604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139305" cy="1143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9305" cy="114300"/>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93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Executives who are covered by these guidelines have five years to reach their respective share ownership levels. On an annual basis, the Compensation Committee monitors compliance with these guidelines. As of March 24, 2021, all executive officers were in compliance with the guidelines (or, with respect to Ms. Stone, otherwise within the initial five-year period for compliance) as demonstrated in the chart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260" w:type="dxa"/>
            <w:vAlign w:val="bottom"/>
            <w:tcBorders>
              <w:bottom w:val="single" w:sz="8" w:color="006DB6"/>
            </w:tcBorders>
            <w:gridSpan w:val="2"/>
          </w:tcPr>
          <w:p>
            <w:pPr>
              <w:jc w:val="right"/>
              <w:ind w:right="885"/>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11"/>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Executives</w:t>
            </w:r>
          </w:p>
        </w:tc>
        <w:tc>
          <w:tcPr>
            <w:tcW w:w="1860" w:type="dxa"/>
            <w:vAlign w:val="bottom"/>
            <w:tcBorders>
              <w:bottom w:val="single" w:sz="8" w:color="006DB6"/>
            </w:tcBorders>
          </w:tcPr>
          <w:p>
            <w:pPr>
              <w:jc w:val="right"/>
              <w:ind w:right="206"/>
              <w:spacing w:after="0"/>
              <w:rPr>
                <w:sz w:val="20"/>
                <w:szCs w:val="20"/>
                <w:color w:val="auto"/>
              </w:rPr>
            </w:pPr>
            <w:r>
              <w:rPr>
                <w:rFonts w:ascii="Arial" w:cs="Arial" w:eastAsia="Arial" w:hAnsi="Arial"/>
                <w:sz w:val="14"/>
                <w:szCs w:val="14"/>
                <w:b w:val="1"/>
                <w:bCs w:val="1"/>
                <w:color w:val="706F6F"/>
              </w:rPr>
              <w:t>Target Ownership</w:t>
            </w:r>
          </w:p>
        </w:tc>
        <w:tc>
          <w:tcPr>
            <w:tcW w:w="14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line="155" w:lineRule="exact"/>
              <w:rPr>
                <w:sz w:val="20"/>
                <w:szCs w:val="20"/>
                <w:color w:val="auto"/>
              </w:rPr>
            </w:pPr>
            <w:r>
              <w:rPr>
                <w:rFonts w:ascii="Arial" w:cs="Arial" w:eastAsia="Arial" w:hAnsi="Arial"/>
                <w:sz w:val="14"/>
                <w:szCs w:val="14"/>
                <w:b w:val="1"/>
                <w:bCs w:val="1"/>
                <w:color w:val="706F6F"/>
              </w:rPr>
              <w:t>Y/N</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18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143,678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199,226</w:t>
            </w: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18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39,627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36,143</w:t>
            </w: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Yes *</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18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32,828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44,781</w:t>
            </w: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Yes</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18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28,017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35,036</w:t>
            </w: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Yes</w:t>
            </w:r>
          </w:p>
        </w:tc>
      </w:tr>
    </w:tbl>
    <w:p>
      <w:pPr>
        <w:spacing w:after="0" w:line="107" w:lineRule="exact"/>
        <w:rPr>
          <w:sz w:val="20"/>
          <w:szCs w:val="20"/>
          <w:color w:val="auto"/>
        </w:rPr>
      </w:pPr>
    </w:p>
    <w:p>
      <w:pPr>
        <w:ind w:left="600" w:hanging="290"/>
        <w:spacing w:after="0"/>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Within grace period for compliance.</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Executive Retention and Succession Planning</w:t>
      </w:r>
    </w:p>
    <w:p>
      <w:pPr>
        <w:spacing w:after="0" w:line="126" w:lineRule="exact"/>
        <w:rPr>
          <w:sz w:val="20"/>
          <w:szCs w:val="20"/>
          <w:color w:val="auto"/>
        </w:rPr>
      </w:pPr>
    </w:p>
    <w:p>
      <w:pPr>
        <w:ind w:right="320"/>
        <w:spacing w:after="0" w:line="255" w:lineRule="auto"/>
        <w:rPr>
          <w:sz w:val="20"/>
          <w:szCs w:val="20"/>
          <w:color w:val="auto"/>
        </w:rPr>
      </w:pPr>
      <w:r>
        <w:rPr>
          <w:rFonts w:ascii="Arial" w:cs="Arial" w:eastAsia="Arial" w:hAnsi="Arial"/>
          <w:sz w:val="15"/>
          <w:szCs w:val="15"/>
          <w:color w:val="auto"/>
        </w:rPr>
        <w:t>The Compensation Committee is sensitive to the critical importance of key employee and executive retention, recognizing the costs, potential impacts and replacement challenges that accompany the loss of talented leadership particularly in a difficult market environment. For 2019 and 2020, executive retention was carefully considered by the Compensation Committee in arriving at its long-term incentive award determinations for our named executive officers, all of which remained consistent with our past practices.</w:t>
      </w:r>
    </w:p>
    <w:p>
      <w:pPr>
        <w:spacing w:after="0" w:line="87"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706F6F"/>
        </w:rPr>
        <w:t>Independent Compensation Consultant</w:t>
      </w:r>
    </w:p>
    <w:p>
      <w:pPr>
        <w:spacing w:after="0" w:line="87" w:lineRule="exact"/>
        <w:rPr>
          <w:sz w:val="20"/>
          <w:szCs w:val="20"/>
          <w:color w:val="auto"/>
        </w:rPr>
      </w:pPr>
    </w:p>
    <w:p>
      <w:pPr>
        <w:jc w:val="both"/>
        <w:ind w:right="280"/>
        <w:spacing w:after="0" w:line="258" w:lineRule="auto"/>
        <w:rPr>
          <w:sz w:val="20"/>
          <w:szCs w:val="20"/>
          <w:color w:val="auto"/>
        </w:rPr>
      </w:pPr>
      <w:r>
        <w:rPr>
          <w:rFonts w:ascii="Arial" w:cs="Arial" w:eastAsia="Arial" w:hAnsi="Arial"/>
          <w:sz w:val="15"/>
          <w:szCs w:val="15"/>
          <w:color w:val="auto"/>
        </w:rPr>
        <w:t>The Compensation Committee engaged Mercer, an independent compensation consultant, to report directly to the Compensation Committee. The Compensation Committee reviews and approves Mercer’s appointment annually. Mercer acted as independent compensation consultant for 2020 and has been approved by the Compensation Committee as its consultant for 2021.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Compensation Committee Report</w:t>
      </w:r>
    </w:p>
    <w:p>
      <w:pPr>
        <w:spacing w:after="0" w:line="152" w:lineRule="exact"/>
        <w:rPr>
          <w:sz w:val="20"/>
          <w:szCs w:val="20"/>
          <w:color w:val="auto"/>
        </w:rPr>
      </w:pPr>
    </w:p>
    <w:p>
      <w:pPr>
        <w:jc w:val="both"/>
        <w:ind w:right="140"/>
        <w:spacing w:after="0" w:line="258" w:lineRule="auto"/>
        <w:rPr>
          <w:sz w:val="20"/>
          <w:szCs w:val="20"/>
          <w:color w:val="auto"/>
        </w:rPr>
      </w:pPr>
      <w:r>
        <w:rPr>
          <w:rFonts w:ascii="Arial" w:cs="Arial" w:eastAsia="Arial" w:hAnsi="Arial"/>
          <w:sz w:val="15"/>
          <w:szCs w:val="15"/>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 xml:space="preserve">Martin A. Lambert, </w:t>
      </w:r>
      <w:r>
        <w:rPr>
          <w:rFonts w:ascii="Arial" w:cs="Arial" w:eastAsia="Arial" w:hAnsi="Arial"/>
          <w:sz w:val="15"/>
          <w:szCs w:val="15"/>
          <w:b w:val="1"/>
          <w:bCs w:val="1"/>
          <w:i w:val="1"/>
          <w:iCs w:val="1"/>
          <w:color w:val="006DB6"/>
        </w:rPr>
        <w:t>Chair</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C. Ronald Blankenship</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Constance B. Moore</w:t>
      </w:r>
    </w:p>
    <w:p>
      <w:pPr>
        <w:spacing w:after="0" w:line="340"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bl>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Executive Compensation Tables</w:t>
      </w:r>
    </w:p>
    <w:p>
      <w:pPr>
        <w:spacing w:after="0" w:line="102"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Summary Compensation Table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compensation paid in respect of specified periods to our named executive officers.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25"/>
              <w:spacing w:after="0"/>
              <w:rPr>
                <w:sz w:val="20"/>
                <w:szCs w:val="20"/>
                <w:color w:val="auto"/>
              </w:rPr>
            </w:pPr>
            <w:r>
              <w:rPr>
                <w:rFonts w:ascii="Arial" w:cs="Arial" w:eastAsia="Arial" w:hAnsi="Arial"/>
                <w:sz w:val="14"/>
                <w:szCs w:val="14"/>
                <w:b w:val="1"/>
                <w:bCs w:val="1"/>
                <w:color w:val="706F6F"/>
              </w:rPr>
              <w:t>Non-Equity</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ind w:right="165"/>
              <w:spacing w:after="0" w:line="154" w:lineRule="exact"/>
              <w:rPr>
                <w:sz w:val="20"/>
                <w:szCs w:val="20"/>
                <w:color w:val="auto"/>
              </w:rPr>
            </w:pPr>
            <w:r>
              <w:rPr>
                <w:rFonts w:ascii="Arial" w:cs="Arial" w:eastAsia="Arial" w:hAnsi="Arial"/>
                <w:sz w:val="14"/>
                <w:szCs w:val="14"/>
                <w:b w:val="1"/>
                <w:bCs w:val="1"/>
                <w:color w:val="706F6F"/>
              </w:rPr>
              <w:t>Share</w:t>
            </w:r>
          </w:p>
        </w:tc>
        <w:tc>
          <w:tcPr>
            <w:tcW w:w="320" w:type="dxa"/>
            <w:vAlign w:val="bottom"/>
          </w:tcPr>
          <w:p>
            <w:pPr>
              <w:spacing w:after="0"/>
              <w:rPr>
                <w:sz w:val="13"/>
                <w:szCs w:val="13"/>
                <w:color w:val="auto"/>
              </w:rPr>
            </w:pPr>
          </w:p>
        </w:tc>
        <w:tc>
          <w:tcPr>
            <w:tcW w:w="1160" w:type="dxa"/>
            <w:vAlign w:val="bottom"/>
          </w:tcPr>
          <w:p>
            <w:pPr>
              <w:jc w:val="right"/>
              <w:ind w:right="125"/>
              <w:spacing w:after="0" w:line="154" w:lineRule="exact"/>
              <w:rPr>
                <w:sz w:val="20"/>
                <w:szCs w:val="20"/>
                <w:color w:val="auto"/>
              </w:rPr>
            </w:pPr>
            <w:r>
              <w:rPr>
                <w:rFonts w:ascii="Arial" w:cs="Arial" w:eastAsia="Arial" w:hAnsi="Arial"/>
                <w:sz w:val="14"/>
                <w:szCs w:val="14"/>
                <w:b w:val="1"/>
                <w:bCs w:val="1"/>
                <w:color w:val="706F6F"/>
                <w:w w:val="99"/>
              </w:rPr>
              <w:t>Incentive Plan</w:t>
            </w:r>
          </w:p>
        </w:tc>
        <w:tc>
          <w:tcPr>
            <w:tcW w:w="460" w:type="dxa"/>
            <w:vAlign w:val="bottom"/>
          </w:tcPr>
          <w:p>
            <w:pPr>
              <w:spacing w:after="0"/>
              <w:rPr>
                <w:sz w:val="13"/>
                <w:szCs w:val="13"/>
                <w:color w:val="auto"/>
              </w:rPr>
            </w:pPr>
          </w:p>
        </w:tc>
        <w:tc>
          <w:tcPr>
            <w:tcW w:w="980" w:type="dxa"/>
            <w:vAlign w:val="bottom"/>
          </w:tcPr>
          <w:p>
            <w:pPr>
              <w:jc w:val="right"/>
              <w:ind w:right="144"/>
              <w:spacing w:after="0" w:line="154" w:lineRule="exact"/>
              <w:rPr>
                <w:sz w:val="20"/>
                <w:szCs w:val="20"/>
                <w:color w:val="auto"/>
              </w:rPr>
            </w:pPr>
            <w:r>
              <w:rPr>
                <w:rFonts w:ascii="Arial" w:cs="Arial" w:eastAsia="Arial" w:hAnsi="Arial"/>
                <w:sz w:val="14"/>
                <w:szCs w:val="14"/>
                <w:b w:val="1"/>
                <w:bCs w:val="1"/>
                <w:color w:val="706F6F"/>
              </w:rPr>
              <w:t>All Other</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ind w:right="84"/>
              <w:spacing w:after="0" w:line="152" w:lineRule="exact"/>
              <w:rPr>
                <w:sz w:val="20"/>
                <w:szCs w:val="20"/>
                <w:color w:val="auto"/>
              </w:rPr>
            </w:pPr>
            <w:r>
              <w:rPr>
                <w:rFonts w:ascii="Arial" w:cs="Arial" w:eastAsia="Arial" w:hAnsi="Arial"/>
                <w:sz w:val="14"/>
                <w:szCs w:val="14"/>
                <w:b w:val="1"/>
                <w:bCs w:val="1"/>
                <w:color w:val="706F6F"/>
              </w:rPr>
              <w:t>Salary</w:t>
            </w:r>
          </w:p>
        </w:tc>
        <w:tc>
          <w:tcPr>
            <w:tcW w:w="420" w:type="dxa"/>
            <w:vAlign w:val="bottom"/>
          </w:tcPr>
          <w:p>
            <w:pPr>
              <w:spacing w:after="0"/>
              <w:rPr>
                <w:sz w:val="13"/>
                <w:szCs w:val="13"/>
                <w:color w:val="auto"/>
              </w:rPr>
            </w:pPr>
          </w:p>
        </w:tc>
        <w:tc>
          <w:tcPr>
            <w:tcW w:w="1160" w:type="dxa"/>
            <w:vAlign w:val="bottom"/>
          </w:tcPr>
          <w:p>
            <w:pPr>
              <w:jc w:val="right"/>
              <w:ind w:right="165"/>
              <w:spacing w:after="0" w:line="152" w:lineRule="exact"/>
              <w:rPr>
                <w:sz w:val="20"/>
                <w:szCs w:val="20"/>
                <w:color w:val="auto"/>
              </w:rPr>
            </w:pPr>
            <w:r>
              <w:rPr>
                <w:rFonts w:ascii="Arial" w:cs="Arial" w:eastAsia="Arial" w:hAnsi="Arial"/>
                <w:sz w:val="14"/>
                <w:szCs w:val="14"/>
                <w:b w:val="1"/>
                <w:bCs w:val="1"/>
                <w:color w:val="706F6F"/>
              </w:rPr>
              <w:t>Awards</w:t>
            </w:r>
          </w:p>
        </w:tc>
        <w:tc>
          <w:tcPr>
            <w:tcW w:w="320" w:type="dxa"/>
            <w:vAlign w:val="bottom"/>
          </w:tcPr>
          <w:p>
            <w:pPr>
              <w:spacing w:after="0"/>
              <w:rPr>
                <w:sz w:val="13"/>
                <w:szCs w:val="13"/>
                <w:color w:val="auto"/>
              </w:rPr>
            </w:pPr>
          </w:p>
        </w:tc>
        <w:tc>
          <w:tcPr>
            <w:tcW w:w="1160" w:type="dxa"/>
            <w:vAlign w:val="bottom"/>
          </w:tcPr>
          <w:p>
            <w:pPr>
              <w:jc w:val="right"/>
              <w:ind w:right="125"/>
              <w:spacing w:after="0" w:line="152" w:lineRule="exact"/>
              <w:rPr>
                <w:sz w:val="20"/>
                <w:szCs w:val="20"/>
                <w:color w:val="auto"/>
              </w:rPr>
            </w:pPr>
            <w:r>
              <w:rPr>
                <w:rFonts w:ascii="Arial" w:cs="Arial" w:eastAsia="Arial" w:hAnsi="Arial"/>
                <w:sz w:val="14"/>
                <w:szCs w:val="14"/>
                <w:b w:val="1"/>
                <w:bCs w:val="1"/>
                <w:color w:val="706F6F"/>
                <w:w w:val="96"/>
              </w:rPr>
              <w:t>Compensation</w:t>
            </w:r>
          </w:p>
        </w:tc>
        <w:tc>
          <w:tcPr>
            <w:tcW w:w="1440" w:type="dxa"/>
            <w:vAlign w:val="bottom"/>
            <w:gridSpan w:val="2"/>
          </w:tcPr>
          <w:p>
            <w:pPr>
              <w:jc w:val="right"/>
              <w:ind w:right="144"/>
              <w:spacing w:after="0" w:line="152" w:lineRule="exact"/>
              <w:rPr>
                <w:sz w:val="20"/>
                <w:szCs w:val="20"/>
                <w:color w:val="auto"/>
              </w:rPr>
            </w:pPr>
            <w:r>
              <w:rPr>
                <w:rFonts w:ascii="Arial" w:cs="Arial" w:eastAsia="Arial" w:hAnsi="Arial"/>
                <w:sz w:val="14"/>
                <w:szCs w:val="14"/>
                <w:b w:val="1"/>
                <w:bCs w:val="1"/>
                <w:color w:val="706F6F"/>
              </w:rPr>
              <w:t>Compensation</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 and Principal Position</w:t>
            </w:r>
          </w:p>
        </w:tc>
        <w:tc>
          <w:tcPr>
            <w:tcW w:w="700" w:type="dxa"/>
            <w:vAlign w:val="bottom"/>
            <w:tcBorders>
              <w:bottom w:val="single" w:sz="8" w:color="006DB6"/>
            </w:tcBorders>
          </w:tcPr>
          <w:p>
            <w:pPr>
              <w:jc w:val="right"/>
              <w:ind w:right="324"/>
              <w:spacing w:after="0"/>
              <w:rPr>
                <w:sz w:val="20"/>
                <w:szCs w:val="20"/>
                <w:color w:val="auto"/>
              </w:rPr>
            </w:pPr>
            <w:r>
              <w:rPr>
                <w:rFonts w:ascii="Arial" w:cs="Arial" w:eastAsia="Arial" w:hAnsi="Arial"/>
                <w:sz w:val="14"/>
                <w:szCs w:val="14"/>
                <w:b w:val="1"/>
                <w:bCs w:val="1"/>
                <w:color w:val="706F6F"/>
                <w:w w:val="92"/>
              </w:rPr>
              <w:t>Year</w:t>
            </w:r>
          </w:p>
        </w:tc>
        <w:tc>
          <w:tcPr>
            <w:tcW w:w="460" w:type="dxa"/>
            <w:vAlign w:val="bottom"/>
            <w:tcBorders>
              <w:bottom w:val="single" w:sz="8" w:color="006DB6"/>
            </w:tcBorders>
          </w:tcPr>
          <w:p>
            <w:pPr>
              <w:spacing w:after="0"/>
              <w:rPr>
                <w:sz w:val="17"/>
                <w:szCs w:val="17"/>
                <w:color w:val="auto"/>
              </w:rPr>
            </w:pPr>
          </w:p>
        </w:tc>
        <w:tc>
          <w:tcPr>
            <w:tcW w:w="940" w:type="dxa"/>
            <w:vAlign w:val="bottom"/>
            <w:tcBorders>
              <w:bottom w:val="single" w:sz="8" w:color="006DB6"/>
            </w:tcBorders>
          </w:tcPr>
          <w:p>
            <w:pPr>
              <w:jc w:val="right"/>
              <w:ind w:right="84"/>
              <w:spacing w:after="0"/>
              <w:rPr>
                <w:sz w:val="20"/>
                <w:szCs w:val="20"/>
                <w:color w:val="auto"/>
              </w:rPr>
            </w:pPr>
            <w:r>
              <w:rPr>
                <w:rFonts w:ascii="Arial" w:cs="Arial" w:eastAsia="Arial" w:hAnsi="Arial"/>
                <w:sz w:val="14"/>
                <w:szCs w:val="14"/>
                <w:b w:val="1"/>
                <w:bCs w:val="1"/>
                <w:color w:val="706F6F"/>
              </w:rPr>
              <w:t>($)</w:t>
            </w:r>
          </w:p>
        </w:tc>
        <w:tc>
          <w:tcPr>
            <w:tcW w:w="420" w:type="dxa"/>
            <w:vAlign w:val="bottom"/>
            <w:tcBorders>
              <w:bottom w:val="single" w:sz="8" w:color="006DB6"/>
            </w:tcBorders>
          </w:tcPr>
          <w:p>
            <w:pPr>
              <w:spacing w:after="0"/>
              <w:rPr>
                <w:sz w:val="17"/>
                <w:szCs w:val="17"/>
                <w:color w:val="auto"/>
              </w:rPr>
            </w:pPr>
          </w:p>
        </w:tc>
        <w:tc>
          <w:tcPr>
            <w:tcW w:w="1160" w:type="dxa"/>
            <w:vAlign w:val="bottom"/>
            <w:tcBorders>
              <w:bottom w:val="single" w:sz="8" w:color="006DB6"/>
            </w:tcBorders>
          </w:tcPr>
          <w:p>
            <w:pPr>
              <w:jc w:val="right"/>
              <w:ind w:right="165"/>
              <w:spacing w:after="0" w:line="193"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(1)</w:t>
            </w:r>
          </w:p>
        </w:tc>
        <w:tc>
          <w:tcPr>
            <w:tcW w:w="320" w:type="dxa"/>
            <w:vAlign w:val="bottom"/>
            <w:tcBorders>
              <w:bottom w:val="single" w:sz="8" w:color="006DB6"/>
            </w:tcBorders>
          </w:tcPr>
          <w:p>
            <w:pPr>
              <w:spacing w:after="0"/>
              <w:rPr>
                <w:sz w:val="17"/>
                <w:szCs w:val="17"/>
                <w:color w:val="auto"/>
              </w:rPr>
            </w:pPr>
          </w:p>
        </w:tc>
        <w:tc>
          <w:tcPr>
            <w:tcW w:w="1160" w:type="dxa"/>
            <w:vAlign w:val="bottom"/>
            <w:tcBorders>
              <w:bottom w:val="single" w:sz="8" w:color="006DB6"/>
            </w:tcBorders>
          </w:tcPr>
          <w:p>
            <w:pPr>
              <w:jc w:val="right"/>
              <w:ind w:right="125"/>
              <w:spacing w:after="0" w:line="193"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(4)</w:t>
            </w:r>
          </w:p>
        </w:tc>
        <w:tc>
          <w:tcPr>
            <w:tcW w:w="46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jc w:val="right"/>
              <w:ind w:right="144"/>
              <w:spacing w:after="0" w:line="193"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(5)</w:t>
            </w:r>
          </w:p>
        </w:tc>
        <w:tc>
          <w:tcPr>
            <w:tcW w:w="280" w:type="dxa"/>
            <w:vAlign w:val="bottom"/>
            <w:tcBorders>
              <w:bottom w:val="single" w:sz="8" w:color="006DB6"/>
            </w:tcBorders>
          </w:tcPr>
          <w:p>
            <w:pPr>
              <w:spacing w:after="0"/>
              <w:rPr>
                <w:sz w:val="17"/>
                <w:szCs w:val="17"/>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Total</w:t>
            </w:r>
          </w:p>
        </w:tc>
        <w:tc>
          <w:tcPr>
            <w:tcW w:w="0" w:type="dxa"/>
            <w:vAlign w:val="bottom"/>
          </w:tcPr>
          <w:p>
            <w:pPr>
              <w:spacing w:after="0"/>
              <w:rPr>
                <w:sz w:val="1"/>
                <w:szCs w:val="1"/>
                <w:color w:val="auto"/>
              </w:rPr>
            </w:pPr>
          </w:p>
        </w:tc>
      </w:tr>
      <w:tr>
        <w:trPr>
          <w:trHeight w:val="231"/>
        </w:trPr>
        <w:tc>
          <w:tcPr>
            <w:tcW w:w="2820" w:type="dxa"/>
            <w:vAlign w:val="bottom"/>
          </w:tcPr>
          <w:p>
            <w:pPr>
              <w:ind w:left="20"/>
              <w:spacing w:after="0"/>
              <w:rPr>
                <w:sz w:val="20"/>
                <w:szCs w:val="20"/>
                <w:color w:val="auto"/>
              </w:rPr>
            </w:pPr>
            <w:r>
              <w:rPr>
                <w:rFonts w:ascii="Arial" w:cs="Arial" w:eastAsia="Arial" w:hAnsi="Arial"/>
                <w:sz w:val="15"/>
                <w:szCs w:val="15"/>
                <w:b w:val="1"/>
                <w:bCs w:val="1"/>
                <w:color w:val="006DB6"/>
              </w:rPr>
              <w:t>Bradley J. Dodson</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2020</w:t>
            </w:r>
          </w:p>
        </w:tc>
        <w:tc>
          <w:tcPr>
            <w:tcW w:w="4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632,500</w:t>
            </w:r>
          </w:p>
        </w:tc>
        <w:tc>
          <w:tcPr>
            <w:tcW w:w="4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1,256,255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5"/>
              <w:spacing w:after="0"/>
              <w:rPr>
                <w:sz w:val="20"/>
                <w:szCs w:val="20"/>
                <w:color w:val="auto"/>
              </w:rPr>
            </w:pPr>
            <w:r>
              <w:rPr>
                <w:rFonts w:ascii="Arial" w:cs="Arial" w:eastAsia="Arial" w:hAnsi="Arial"/>
                <w:sz w:val="15"/>
                <w:szCs w:val="15"/>
                <w:color w:val="auto"/>
              </w:rPr>
              <w:t>1,064,725</w:t>
            </w:r>
          </w:p>
        </w:tc>
        <w:tc>
          <w:tcPr>
            <w:tcW w:w="4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16,595</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2,970,075</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line="141" w:lineRule="exact"/>
              <w:rPr>
                <w:sz w:val="20"/>
                <w:szCs w:val="20"/>
                <w:color w:val="auto"/>
              </w:rPr>
            </w:pPr>
            <w:r>
              <w:rPr>
                <w:rFonts w:ascii="Arial" w:cs="Arial" w:eastAsia="Arial" w:hAnsi="Arial"/>
                <w:sz w:val="15"/>
                <w:szCs w:val="15"/>
                <w:color w:val="auto"/>
              </w:rPr>
              <w:t>President and Chief Executive Officer</w:t>
            </w:r>
          </w:p>
        </w:tc>
        <w:tc>
          <w:tcPr>
            <w:tcW w:w="7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2019</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681,154</w:t>
            </w:r>
          </w:p>
        </w:tc>
        <w:tc>
          <w:tcPr>
            <w:tcW w:w="4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225"/>
              <w:spacing w:after="0"/>
              <w:rPr>
                <w:sz w:val="20"/>
                <w:szCs w:val="20"/>
                <w:color w:val="auto"/>
              </w:rPr>
            </w:pPr>
            <w:r>
              <w:rPr>
                <w:rFonts w:ascii="Arial" w:cs="Arial" w:eastAsia="Arial" w:hAnsi="Arial"/>
                <w:sz w:val="15"/>
                <w:szCs w:val="15"/>
                <w:color w:val="auto"/>
              </w:rPr>
              <w:t>2,901,128</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85"/>
              <w:spacing w:after="0"/>
              <w:rPr>
                <w:sz w:val="20"/>
                <w:szCs w:val="20"/>
                <w:color w:val="auto"/>
              </w:rPr>
            </w:pPr>
            <w:r>
              <w:rPr>
                <w:rFonts w:ascii="Arial" w:cs="Arial" w:eastAsia="Arial" w:hAnsi="Arial"/>
                <w:sz w:val="15"/>
                <w:szCs w:val="15"/>
                <w:color w:val="auto"/>
              </w:rPr>
              <w:t>764,745</w:t>
            </w: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color w:val="auto"/>
              </w:rPr>
              <w:t>49,855</w:t>
            </w:r>
          </w:p>
        </w:tc>
        <w:tc>
          <w:tcPr>
            <w:tcW w:w="280" w:type="dxa"/>
            <w:vAlign w:val="bottom"/>
            <w:tcBorders>
              <w:top w:val="single" w:sz="8" w:color="auto"/>
            </w:tcBorders>
            <w:shd w:val="clear" w:color="auto" w:fill="E8EEF7"/>
          </w:tcPr>
          <w:p>
            <w:pPr>
              <w:spacing w:after="0"/>
              <w:rPr>
                <w:sz w:val="12"/>
                <w:szCs w:val="12"/>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5"/>
                <w:szCs w:val="15"/>
                <w:color w:val="auto"/>
              </w:rPr>
              <w:t>4,396,882</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7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2018</w:t>
            </w: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595,385</w:t>
            </w: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rPr>
              <w:t>2,599,764</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rPr>
              <w:t>214,338</w:t>
            </w: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rPr>
              <w:t>24,378</w:t>
            </w:r>
          </w:p>
        </w:tc>
        <w:tc>
          <w:tcPr>
            <w:tcW w:w="280" w:type="dxa"/>
            <w:vAlign w:val="bottom"/>
            <w:tcBorders>
              <w:top w:val="single" w:sz="8" w:color="auto"/>
            </w:tcBorders>
            <w:shd w:val="clear" w:color="auto" w:fill="E8EEF7"/>
          </w:tcPr>
          <w:p>
            <w:pPr>
              <w:spacing w:after="0"/>
              <w:rPr>
                <w:sz w:val="16"/>
                <w:szCs w:val="16"/>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3,433,865</w:t>
            </w:r>
          </w:p>
        </w:tc>
        <w:tc>
          <w:tcPr>
            <w:tcW w:w="0" w:type="dxa"/>
            <w:vAlign w:val="bottom"/>
          </w:tcPr>
          <w:p>
            <w:pPr>
              <w:spacing w:after="0"/>
              <w:rPr>
                <w:sz w:val="1"/>
                <w:szCs w:val="1"/>
                <w:color w:val="auto"/>
              </w:rPr>
            </w:pPr>
          </w:p>
        </w:tc>
      </w:tr>
      <w:tr>
        <w:trPr>
          <w:trHeight w:val="274"/>
        </w:trPr>
        <w:tc>
          <w:tcPr>
            <w:tcW w:w="28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shd w:val="clear" w:color="auto" w:fill="E8EEF7"/>
          </w:tcPr>
          <w:p>
            <w:pPr>
              <w:spacing w:after="0"/>
              <w:rPr>
                <w:sz w:val="23"/>
                <w:szCs w:val="23"/>
                <w:color w:val="auto"/>
              </w:rPr>
            </w:pPr>
          </w:p>
        </w:tc>
        <w:tc>
          <w:tcPr>
            <w:tcW w:w="1080" w:type="dxa"/>
            <w:vAlign w:val="bottom"/>
            <w:tcBorders>
              <w:bottom w:val="single" w:sz="8" w:color="auto"/>
            </w:tcBorders>
            <w:shd w:val="clear" w:color="auto" w:fill="E8EEF7"/>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20"/>
              <w:spacing w:after="0"/>
              <w:rPr>
                <w:sz w:val="20"/>
                <w:szCs w:val="20"/>
                <w:color w:val="auto"/>
              </w:rPr>
            </w:pPr>
            <w:r>
              <w:rPr>
                <w:rFonts w:ascii="Arial" w:cs="Arial" w:eastAsia="Arial" w:hAnsi="Arial"/>
                <w:sz w:val="15"/>
                <w:szCs w:val="15"/>
                <w:b w:val="1"/>
                <w:bCs w:val="1"/>
                <w:color w:val="006DB6"/>
              </w:rPr>
              <w:t>Carolyn J. Stone</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2020</w:t>
            </w:r>
          </w:p>
        </w:tc>
        <w:tc>
          <w:tcPr>
            <w:tcW w:w="4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323,392</w:t>
            </w:r>
          </w:p>
        </w:tc>
        <w:tc>
          <w:tcPr>
            <w:tcW w:w="4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255,008</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5"/>
              <w:spacing w:after="0"/>
              <w:rPr>
                <w:sz w:val="20"/>
                <w:szCs w:val="20"/>
                <w:color w:val="auto"/>
              </w:rPr>
            </w:pPr>
            <w:r>
              <w:rPr>
                <w:rFonts w:ascii="Arial" w:cs="Arial" w:eastAsia="Arial" w:hAnsi="Arial"/>
                <w:sz w:val="15"/>
                <w:szCs w:val="15"/>
                <w:color w:val="auto"/>
              </w:rPr>
              <w:t>326,631</w:t>
            </w:r>
          </w:p>
        </w:tc>
        <w:tc>
          <w:tcPr>
            <w:tcW w:w="4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12,164</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917,195</w:t>
            </w:r>
          </w:p>
        </w:tc>
        <w:tc>
          <w:tcPr>
            <w:tcW w:w="0" w:type="dxa"/>
            <w:vAlign w:val="bottom"/>
          </w:tcPr>
          <w:p>
            <w:pPr>
              <w:spacing w:after="0"/>
              <w:rPr>
                <w:sz w:val="1"/>
                <w:szCs w:val="1"/>
                <w:color w:val="auto"/>
              </w:rPr>
            </w:pPr>
          </w:p>
        </w:tc>
      </w:tr>
      <w:tr>
        <w:trPr>
          <w:trHeight w:val="123"/>
        </w:trPr>
        <w:tc>
          <w:tcPr>
            <w:tcW w:w="2820" w:type="dxa"/>
            <w:vAlign w:val="bottom"/>
          </w:tcPr>
          <w:p>
            <w:pPr>
              <w:ind w:left="20"/>
              <w:spacing w:after="0" w:line="123" w:lineRule="exact"/>
              <w:rPr>
                <w:sz w:val="20"/>
                <w:szCs w:val="20"/>
                <w:color w:val="auto"/>
              </w:rPr>
            </w:pPr>
            <w:r>
              <w:rPr>
                <w:rFonts w:ascii="Arial" w:cs="Arial" w:eastAsia="Arial" w:hAnsi="Arial"/>
                <w:sz w:val="14"/>
                <w:szCs w:val="14"/>
                <w:color w:val="auto"/>
              </w:rPr>
              <w:t>Senior Vice President, Chief Financial</w:t>
            </w:r>
          </w:p>
        </w:tc>
        <w:tc>
          <w:tcPr>
            <w:tcW w:w="7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2019</w:t>
            </w: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285,125</w:t>
            </w:r>
          </w:p>
        </w:tc>
        <w:tc>
          <w:tcPr>
            <w:tcW w:w="4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225"/>
              <w:spacing w:after="0"/>
              <w:rPr>
                <w:sz w:val="20"/>
                <w:szCs w:val="20"/>
                <w:color w:val="auto"/>
              </w:rPr>
            </w:pPr>
            <w:r>
              <w:rPr>
                <w:rFonts w:ascii="Arial" w:cs="Arial" w:eastAsia="Arial" w:hAnsi="Arial"/>
                <w:sz w:val="15"/>
                <w:szCs w:val="15"/>
                <w:color w:val="auto"/>
              </w:rPr>
              <w:t>519,605</w:t>
            </w: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185"/>
              <w:spacing w:after="0"/>
              <w:rPr>
                <w:sz w:val="20"/>
                <w:szCs w:val="20"/>
                <w:color w:val="auto"/>
              </w:rPr>
            </w:pPr>
            <w:r>
              <w:rPr>
                <w:rFonts w:ascii="Arial" w:cs="Arial" w:eastAsia="Arial" w:hAnsi="Arial"/>
                <w:sz w:val="15"/>
                <w:szCs w:val="15"/>
                <w:color w:val="auto"/>
              </w:rPr>
              <w:t>164,191</w:t>
            </w:r>
          </w:p>
        </w:tc>
        <w:tc>
          <w:tcPr>
            <w:tcW w:w="4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color w:val="auto"/>
              </w:rPr>
              <w:t>15,161</w:t>
            </w:r>
          </w:p>
        </w:tc>
        <w:tc>
          <w:tcPr>
            <w:tcW w:w="280" w:type="dxa"/>
            <w:vAlign w:val="bottom"/>
            <w:tcBorders>
              <w:top w:val="single" w:sz="8" w:color="auto"/>
            </w:tcBorders>
            <w:shd w:val="clear" w:color="auto" w:fill="E8EEF7"/>
          </w:tcPr>
          <w:p>
            <w:pPr>
              <w:spacing w:after="0"/>
              <w:rPr>
                <w:sz w:val="10"/>
                <w:szCs w:val="10"/>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5"/>
                <w:szCs w:val="15"/>
                <w:color w:val="auto"/>
              </w:rPr>
              <w:t>984,082</w:t>
            </w:r>
          </w:p>
        </w:tc>
        <w:tc>
          <w:tcPr>
            <w:tcW w:w="0" w:type="dxa"/>
            <w:vAlign w:val="bottom"/>
          </w:tcPr>
          <w:p>
            <w:pPr>
              <w:spacing w:after="0"/>
              <w:rPr>
                <w:sz w:val="1"/>
                <w:szCs w:val="1"/>
                <w:color w:val="auto"/>
              </w:rPr>
            </w:pPr>
          </w:p>
        </w:tc>
      </w:tr>
      <w:tr>
        <w:trPr>
          <w:trHeight w:val="70"/>
        </w:trPr>
        <w:tc>
          <w:tcPr>
            <w:tcW w:w="2820" w:type="dxa"/>
            <w:vAlign w:val="bottom"/>
            <w:vMerge w:val="restart"/>
          </w:tcPr>
          <w:p>
            <w:pPr>
              <w:ind w:left="20"/>
              <w:spacing w:after="0"/>
              <w:rPr>
                <w:sz w:val="20"/>
                <w:szCs w:val="20"/>
                <w:color w:val="auto"/>
              </w:rPr>
            </w:pPr>
            <w:r>
              <w:rPr>
                <w:rFonts w:ascii="Arial" w:cs="Arial" w:eastAsia="Arial" w:hAnsi="Arial"/>
                <w:sz w:val="15"/>
                <w:szCs w:val="15"/>
                <w:color w:val="auto"/>
              </w:rPr>
              <w:t>Officer and Treasurer</w:t>
            </w:r>
          </w:p>
        </w:tc>
        <w:tc>
          <w:tcPr>
            <w:tcW w:w="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80" w:type="dxa"/>
            <w:vAlign w:val="bottom"/>
            <w:shd w:val="clear" w:color="auto" w:fill="E8EEF7"/>
          </w:tcPr>
          <w:p>
            <w:pPr>
              <w:spacing w:after="0"/>
              <w:rPr>
                <w:sz w:val="6"/>
                <w:szCs w:val="6"/>
                <w:color w:val="auto"/>
              </w:rPr>
            </w:pPr>
          </w:p>
        </w:tc>
        <w:tc>
          <w:tcPr>
            <w:tcW w:w="1080" w:type="dxa"/>
            <w:vAlign w:val="bottom"/>
            <w:vMerge w:val="continue"/>
            <w:shd w:val="clear" w:color="auto" w:fill="E8EEF7"/>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8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shd w:val="clear" w:color="auto" w:fill="E8EEF7"/>
          </w:tcPr>
          <w:p>
            <w:pPr>
              <w:spacing w:after="0"/>
              <w:rPr>
                <w:sz w:val="10"/>
                <w:szCs w:val="10"/>
                <w:color w:val="auto"/>
              </w:rPr>
            </w:pPr>
          </w:p>
        </w:tc>
        <w:tc>
          <w:tcPr>
            <w:tcW w:w="1080" w:type="dxa"/>
            <w:vAlign w:val="bottom"/>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shd w:val="clear" w:color="auto" w:fill="E8EEF7"/>
          </w:tcPr>
          <w:p>
            <w:pPr>
              <w:spacing w:after="0"/>
              <w:rPr>
                <w:sz w:val="13"/>
                <w:szCs w:val="13"/>
                <w:color w:val="auto"/>
              </w:rPr>
            </w:pPr>
          </w:p>
        </w:tc>
        <w:tc>
          <w:tcPr>
            <w:tcW w:w="1080" w:type="dxa"/>
            <w:vAlign w:val="bottom"/>
            <w:tcBorders>
              <w:bottom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20"/>
              <w:spacing w:after="0" w:line="200" w:lineRule="exact"/>
              <w:rPr>
                <w:sz w:val="20"/>
                <w:szCs w:val="20"/>
                <w:color w:val="auto"/>
              </w:rPr>
            </w:pPr>
            <w:r>
              <w:rPr>
                <w:rFonts w:ascii="Arial" w:cs="Arial" w:eastAsia="Arial" w:hAnsi="Arial"/>
                <w:sz w:val="15"/>
                <w:szCs w:val="15"/>
                <w:b w:val="1"/>
                <w:bCs w:val="1"/>
                <w:color w:val="006DB6"/>
              </w:rPr>
              <w:t>Peter L. McCann</w:t>
            </w:r>
            <w:r>
              <w:rPr>
                <w:rFonts w:ascii="Arial" w:cs="Arial" w:eastAsia="Arial" w:hAnsi="Arial"/>
                <w:sz w:val="19"/>
                <w:szCs w:val="19"/>
                <w:b w:val="1"/>
                <w:bCs w:val="1"/>
                <w:color w:val="006DB6"/>
                <w:vertAlign w:val="superscript"/>
              </w:rPr>
              <w:t>(2)</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2020</w:t>
            </w:r>
          </w:p>
        </w:tc>
        <w:tc>
          <w:tcPr>
            <w:tcW w:w="4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298,419</w:t>
            </w:r>
          </w:p>
        </w:tc>
        <w:tc>
          <w:tcPr>
            <w:tcW w:w="4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178,137</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5"/>
              <w:spacing w:after="0"/>
              <w:rPr>
                <w:sz w:val="20"/>
                <w:szCs w:val="20"/>
                <w:color w:val="auto"/>
              </w:rPr>
            </w:pPr>
            <w:r>
              <w:rPr>
                <w:rFonts w:ascii="Arial" w:cs="Arial" w:eastAsia="Arial" w:hAnsi="Arial"/>
                <w:sz w:val="15"/>
                <w:szCs w:val="15"/>
                <w:color w:val="auto"/>
              </w:rPr>
              <w:t>357,451</w:t>
            </w:r>
          </w:p>
        </w:tc>
        <w:tc>
          <w:tcPr>
            <w:tcW w:w="4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14,743</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848,750</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line="141" w:lineRule="exact"/>
              <w:rPr>
                <w:sz w:val="20"/>
                <w:szCs w:val="20"/>
                <w:color w:val="auto"/>
              </w:rPr>
            </w:pPr>
            <w:r>
              <w:rPr>
                <w:rFonts w:ascii="Arial" w:cs="Arial" w:eastAsia="Arial" w:hAnsi="Arial"/>
                <w:sz w:val="15"/>
                <w:szCs w:val="15"/>
                <w:color w:val="auto"/>
              </w:rPr>
              <w:t>Senior Vice President, Australia</w:t>
            </w:r>
          </w:p>
        </w:tc>
        <w:tc>
          <w:tcPr>
            <w:tcW w:w="7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2019</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292,068</w:t>
            </w:r>
          </w:p>
        </w:tc>
        <w:tc>
          <w:tcPr>
            <w:tcW w:w="4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225"/>
              <w:spacing w:after="0"/>
              <w:rPr>
                <w:sz w:val="20"/>
                <w:szCs w:val="20"/>
                <w:color w:val="auto"/>
              </w:rPr>
            </w:pPr>
            <w:r>
              <w:rPr>
                <w:rFonts w:ascii="Arial" w:cs="Arial" w:eastAsia="Arial" w:hAnsi="Arial"/>
                <w:sz w:val="15"/>
                <w:szCs w:val="15"/>
                <w:color w:val="auto"/>
              </w:rPr>
              <w:t>464,464</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85"/>
              <w:spacing w:after="0"/>
              <w:rPr>
                <w:sz w:val="20"/>
                <w:szCs w:val="20"/>
                <w:color w:val="auto"/>
              </w:rPr>
            </w:pPr>
            <w:r>
              <w:rPr>
                <w:rFonts w:ascii="Arial" w:cs="Arial" w:eastAsia="Arial" w:hAnsi="Arial"/>
                <w:sz w:val="15"/>
                <w:szCs w:val="15"/>
                <w:color w:val="auto"/>
              </w:rPr>
              <w:t>237,684</w:t>
            </w: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color w:val="auto"/>
              </w:rPr>
              <w:t>15,177</w:t>
            </w:r>
          </w:p>
        </w:tc>
        <w:tc>
          <w:tcPr>
            <w:tcW w:w="280" w:type="dxa"/>
            <w:vAlign w:val="bottom"/>
            <w:tcBorders>
              <w:top w:val="single" w:sz="8" w:color="auto"/>
            </w:tcBorders>
            <w:shd w:val="clear" w:color="auto" w:fill="E8EEF7"/>
          </w:tcPr>
          <w:p>
            <w:pPr>
              <w:spacing w:after="0"/>
              <w:rPr>
                <w:sz w:val="12"/>
                <w:szCs w:val="12"/>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5"/>
                <w:szCs w:val="15"/>
                <w:color w:val="auto"/>
              </w:rPr>
              <w:t>1,009,393</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7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2018</w:t>
            </w: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314,160</w:t>
            </w: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rPr>
              <w:t>535,766</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rPr>
              <w:t>167,762</w:t>
            </w: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rPr>
              <w:t>16,637</w:t>
            </w:r>
          </w:p>
        </w:tc>
        <w:tc>
          <w:tcPr>
            <w:tcW w:w="280" w:type="dxa"/>
            <w:vAlign w:val="bottom"/>
            <w:tcBorders>
              <w:top w:val="single" w:sz="8" w:color="auto"/>
            </w:tcBorders>
            <w:shd w:val="clear" w:color="auto" w:fill="E8EEF7"/>
          </w:tcPr>
          <w:p>
            <w:pPr>
              <w:spacing w:after="0"/>
              <w:rPr>
                <w:sz w:val="16"/>
                <w:szCs w:val="16"/>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1,034,325</w:t>
            </w:r>
          </w:p>
        </w:tc>
        <w:tc>
          <w:tcPr>
            <w:tcW w:w="0" w:type="dxa"/>
            <w:vAlign w:val="bottom"/>
          </w:tcPr>
          <w:p>
            <w:pPr>
              <w:spacing w:after="0"/>
              <w:rPr>
                <w:sz w:val="1"/>
                <w:szCs w:val="1"/>
                <w:color w:val="auto"/>
              </w:rPr>
            </w:pPr>
          </w:p>
        </w:tc>
      </w:tr>
      <w:tr>
        <w:trPr>
          <w:trHeight w:val="274"/>
        </w:trPr>
        <w:tc>
          <w:tcPr>
            <w:tcW w:w="28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shd w:val="clear" w:color="auto" w:fill="E8EEF7"/>
          </w:tcPr>
          <w:p>
            <w:pPr>
              <w:spacing w:after="0"/>
              <w:rPr>
                <w:sz w:val="23"/>
                <w:szCs w:val="23"/>
                <w:color w:val="auto"/>
              </w:rPr>
            </w:pPr>
          </w:p>
        </w:tc>
        <w:tc>
          <w:tcPr>
            <w:tcW w:w="1080" w:type="dxa"/>
            <w:vAlign w:val="bottom"/>
            <w:tcBorders>
              <w:bottom w:val="single" w:sz="8" w:color="auto"/>
            </w:tcBorders>
            <w:shd w:val="clear" w:color="auto" w:fill="E8EEF7"/>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20"/>
              <w:spacing w:after="0" w:line="200" w:lineRule="exact"/>
              <w:rPr>
                <w:sz w:val="20"/>
                <w:szCs w:val="20"/>
                <w:color w:val="auto"/>
              </w:rPr>
            </w:pPr>
            <w:r>
              <w:rPr>
                <w:rFonts w:ascii="Arial" w:cs="Arial" w:eastAsia="Arial" w:hAnsi="Arial"/>
                <w:sz w:val="15"/>
                <w:szCs w:val="15"/>
                <w:b w:val="1"/>
                <w:bCs w:val="1"/>
                <w:color w:val="006DB6"/>
              </w:rPr>
              <w:t>Allan D. Schoening</w:t>
            </w:r>
            <w:r>
              <w:rPr>
                <w:rFonts w:ascii="Arial" w:cs="Arial" w:eastAsia="Arial" w:hAnsi="Arial"/>
                <w:sz w:val="19"/>
                <w:szCs w:val="19"/>
                <w:b w:val="1"/>
                <w:bCs w:val="1"/>
                <w:color w:val="006DB6"/>
                <w:vertAlign w:val="superscript"/>
              </w:rPr>
              <w:t>(3)</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2020</w:t>
            </w:r>
          </w:p>
        </w:tc>
        <w:tc>
          <w:tcPr>
            <w:tcW w:w="4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337,177</w:t>
            </w:r>
          </w:p>
        </w:tc>
        <w:tc>
          <w:tcPr>
            <w:tcW w:w="4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268,076</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5"/>
              <w:spacing w:after="0"/>
              <w:rPr>
                <w:sz w:val="20"/>
                <w:szCs w:val="20"/>
                <w:color w:val="auto"/>
              </w:rPr>
            </w:pPr>
            <w:r>
              <w:rPr>
                <w:rFonts w:ascii="Arial" w:cs="Arial" w:eastAsia="Arial" w:hAnsi="Arial"/>
                <w:sz w:val="15"/>
                <w:szCs w:val="15"/>
                <w:color w:val="auto"/>
              </w:rPr>
              <w:t>306,542</w:t>
            </w:r>
          </w:p>
        </w:tc>
        <w:tc>
          <w:tcPr>
            <w:tcW w:w="4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29,825</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5"/>
                <w:szCs w:val="15"/>
                <w:color w:val="auto"/>
              </w:rPr>
              <w:t>941,620</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line="141" w:lineRule="exact"/>
              <w:rPr>
                <w:sz w:val="20"/>
                <w:szCs w:val="20"/>
                <w:color w:val="auto"/>
              </w:rPr>
            </w:pPr>
            <w:r>
              <w:rPr>
                <w:rFonts w:ascii="Arial" w:cs="Arial" w:eastAsia="Arial" w:hAnsi="Arial"/>
                <w:sz w:val="15"/>
                <w:szCs w:val="15"/>
                <w:color w:val="auto"/>
              </w:rPr>
              <w:t>Senior Vice President, Canada</w:t>
            </w:r>
          </w:p>
        </w:tc>
        <w:tc>
          <w:tcPr>
            <w:tcW w:w="7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2019</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5"/>
                <w:szCs w:val="15"/>
                <w:color w:val="auto"/>
              </w:rPr>
              <w:t>358,008</w:t>
            </w:r>
          </w:p>
        </w:tc>
        <w:tc>
          <w:tcPr>
            <w:tcW w:w="4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225"/>
              <w:spacing w:after="0"/>
              <w:rPr>
                <w:sz w:val="20"/>
                <w:szCs w:val="20"/>
                <w:color w:val="auto"/>
              </w:rPr>
            </w:pPr>
            <w:r>
              <w:rPr>
                <w:rFonts w:ascii="Arial" w:cs="Arial" w:eastAsia="Arial" w:hAnsi="Arial"/>
                <w:sz w:val="15"/>
                <w:szCs w:val="15"/>
                <w:color w:val="auto"/>
              </w:rPr>
              <w:t>666,396</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85"/>
              <w:spacing w:after="0"/>
              <w:rPr>
                <w:sz w:val="20"/>
                <w:szCs w:val="20"/>
                <w:color w:val="auto"/>
              </w:rPr>
            </w:pPr>
            <w:r>
              <w:rPr>
                <w:rFonts w:ascii="Arial" w:cs="Arial" w:eastAsia="Arial" w:hAnsi="Arial"/>
                <w:sz w:val="15"/>
                <w:szCs w:val="15"/>
                <w:color w:val="auto"/>
              </w:rPr>
              <w:t>227,461</w:t>
            </w: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color w:val="auto"/>
              </w:rPr>
              <w:t>20,731</w:t>
            </w:r>
          </w:p>
        </w:tc>
        <w:tc>
          <w:tcPr>
            <w:tcW w:w="280" w:type="dxa"/>
            <w:vAlign w:val="bottom"/>
            <w:tcBorders>
              <w:top w:val="single" w:sz="8" w:color="auto"/>
            </w:tcBorders>
            <w:shd w:val="clear" w:color="auto" w:fill="E8EEF7"/>
          </w:tcPr>
          <w:p>
            <w:pPr>
              <w:spacing w:after="0"/>
              <w:rPr>
                <w:sz w:val="12"/>
                <w:szCs w:val="12"/>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5"/>
                <w:szCs w:val="15"/>
                <w:color w:val="auto"/>
              </w:rPr>
              <w:t>1,272,596</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7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2018</w:t>
            </w: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309,552</w:t>
            </w: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rPr>
              <w:t>620,841</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rPr>
              <w:t>56,859</w:t>
            </w: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rPr>
              <w:t>102,086</w:t>
            </w:r>
          </w:p>
        </w:tc>
        <w:tc>
          <w:tcPr>
            <w:tcW w:w="280" w:type="dxa"/>
            <w:vAlign w:val="bottom"/>
            <w:tcBorders>
              <w:top w:val="single" w:sz="8" w:color="auto"/>
            </w:tcBorders>
            <w:shd w:val="clear" w:color="auto" w:fill="E8EEF7"/>
          </w:tcPr>
          <w:p>
            <w:pPr>
              <w:spacing w:after="0"/>
              <w:rPr>
                <w:sz w:val="16"/>
                <w:szCs w:val="16"/>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1,089,338</w:t>
            </w:r>
          </w:p>
        </w:tc>
        <w:tc>
          <w:tcPr>
            <w:tcW w:w="0" w:type="dxa"/>
            <w:vAlign w:val="bottom"/>
          </w:tcPr>
          <w:p>
            <w:pPr>
              <w:spacing w:after="0"/>
              <w:rPr>
                <w:sz w:val="1"/>
                <w:szCs w:val="1"/>
                <w:color w:val="auto"/>
              </w:rPr>
            </w:pPr>
          </w:p>
        </w:tc>
      </w:tr>
      <w:tr>
        <w:trPr>
          <w:trHeight w:val="274"/>
        </w:trPr>
        <w:tc>
          <w:tcPr>
            <w:tcW w:w="28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shd w:val="clear" w:color="auto" w:fill="E8EEF7"/>
          </w:tcPr>
          <w:p>
            <w:pPr>
              <w:spacing w:after="0"/>
              <w:rPr>
                <w:sz w:val="23"/>
                <w:szCs w:val="23"/>
                <w:color w:val="auto"/>
              </w:rPr>
            </w:pPr>
          </w:p>
        </w:tc>
        <w:tc>
          <w:tcPr>
            <w:tcW w:w="1080" w:type="dxa"/>
            <w:vAlign w:val="bottom"/>
            <w:tcBorders>
              <w:bottom w:val="single" w:sz="8" w:color="auto"/>
            </w:tcBorders>
            <w:shd w:val="clear" w:color="auto" w:fill="E8EEF7"/>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40" w:hanging="237"/>
        <w:spacing w:after="0" w:line="223" w:lineRule="auto"/>
        <w:tabs>
          <w:tab w:leader="none" w:pos="24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This column represents the dollar amounts, for years shown, of the aggregate grant date fair value of performance share, restricted stock award, restricted share unit, deferred share,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18 to Civeo’s consolidated financial statements included in its Annual Report on Form 10-K for the year ended December 31, 2020 for additional detail regarding assumptions underlying the value of these awards. Cash retainers granted as part of the LTIP in 2020 are not considered “Share Awards” and, although considered 2020 compensation by the Committee, are not reflected in the Summary Compensation Table this year per SEC rules. These amounts will show up as “Bonus” compensation for 2023 when ultimately paid.</w:t>
      </w:r>
    </w:p>
    <w:p>
      <w:pPr>
        <w:spacing w:after="0" w:line="59" w:lineRule="exact"/>
        <w:rPr>
          <w:rFonts w:ascii="Arial" w:cs="Arial" w:eastAsia="Arial" w:hAnsi="Arial"/>
          <w:sz w:val="18"/>
          <w:szCs w:val="18"/>
          <w:color w:val="auto"/>
          <w:vertAlign w:val="superscript"/>
        </w:rPr>
      </w:pPr>
    </w:p>
    <w:p>
      <w:pPr>
        <w:ind w:left="240" w:right="260" w:hanging="237"/>
        <w:spacing w:after="0" w:line="236" w:lineRule="auto"/>
        <w:tabs>
          <w:tab w:leader="none" w:pos="243"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2020, 2019, and 2018 was $0.6906, $0.6954, and $0.7480 respectively.</w:t>
      </w:r>
    </w:p>
    <w:p>
      <w:pPr>
        <w:spacing w:after="0" w:line="67" w:lineRule="exact"/>
        <w:rPr>
          <w:rFonts w:ascii="Arial" w:cs="Arial" w:eastAsia="Arial" w:hAnsi="Arial"/>
          <w:sz w:val="9"/>
          <w:szCs w:val="9"/>
          <w:color w:val="auto"/>
        </w:rPr>
      </w:pPr>
    </w:p>
    <w:p>
      <w:pPr>
        <w:ind w:left="240" w:right="140" w:hanging="237"/>
        <w:spacing w:after="0" w:line="207" w:lineRule="auto"/>
        <w:tabs>
          <w:tab w:leader="none" w:pos="24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2020, 2019 and 2018 was $0.7463, $0.7537 and $0.7719 respectively.</w:t>
      </w:r>
    </w:p>
    <w:p>
      <w:pPr>
        <w:spacing w:after="0" w:line="54" w:lineRule="exact"/>
        <w:rPr>
          <w:rFonts w:ascii="Arial" w:cs="Arial" w:eastAsia="Arial" w:hAnsi="Arial"/>
          <w:sz w:val="18"/>
          <w:szCs w:val="18"/>
          <w:color w:val="auto"/>
          <w:vertAlign w:val="superscript"/>
        </w:rPr>
      </w:pPr>
    </w:p>
    <w:p>
      <w:pPr>
        <w:ind w:left="240" w:right="200" w:hanging="237"/>
        <w:spacing w:after="0" w:line="220" w:lineRule="auto"/>
        <w:tabs>
          <w:tab w:leader="none" w:pos="243"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Amounts for “Non-Equity Incentive Plan Compensation” paid to each of the named executive officers were made pursuant to Civeo’s AICP and were paid in 2021, 2020 and 2019, respectively. For a description of Civeo’s plan, see “Compensation Discussion and Analysis—Compensation Program Components—Annual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130175</wp:posOffset>
            </wp:positionV>
            <wp:extent cx="374650" cy="1873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200"/>
          </w:cols>
          <w:pgMar w:left="320" w:top="123"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23" w:lineRule="exact"/>
        <w:rPr>
          <w:sz w:val="20"/>
          <w:szCs w:val="20"/>
          <w:color w:val="auto"/>
        </w:rPr>
      </w:pPr>
    </w:p>
    <w:p>
      <w:pPr>
        <w:ind w:left="260" w:hanging="257"/>
        <w:spacing w:after="0"/>
        <w:tabs>
          <w:tab w:leader="none" w:pos="2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“All Other Compensation” column reflect the following for each Named Executive Officer for 2020:</w:t>
      </w: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3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115"/>
              <w:spacing w:after="0"/>
              <w:rPr>
                <w:sz w:val="20"/>
                <w:szCs w:val="20"/>
                <w:color w:val="auto"/>
              </w:rPr>
            </w:pPr>
            <w:r>
              <w:rPr>
                <w:rFonts w:ascii="Arial" w:cs="Arial" w:eastAsia="Arial" w:hAnsi="Arial"/>
                <w:sz w:val="12"/>
                <w:szCs w:val="12"/>
                <w:b w:val="1"/>
                <w:bCs w:val="1"/>
                <w:color w:val="706F6F"/>
              </w:rPr>
              <w:t>Retirement</w:t>
            </w:r>
          </w:p>
        </w:tc>
        <w:tc>
          <w:tcPr>
            <w:tcW w:w="1320" w:type="dxa"/>
            <w:vAlign w:val="bottom"/>
            <w:gridSpan w:val="2"/>
          </w:tcPr>
          <w:p>
            <w:pPr>
              <w:jc w:val="right"/>
              <w:ind w:right="135"/>
              <w:spacing w:after="0"/>
              <w:rPr>
                <w:sz w:val="20"/>
                <w:szCs w:val="20"/>
                <w:color w:val="auto"/>
              </w:rPr>
            </w:pPr>
            <w:r>
              <w:rPr>
                <w:rFonts w:ascii="Arial" w:cs="Arial" w:eastAsia="Arial" w:hAnsi="Arial"/>
                <w:sz w:val="12"/>
                <w:szCs w:val="12"/>
                <w:b w:val="1"/>
                <w:bCs w:val="1"/>
                <w:color w:val="706F6F"/>
              </w:rPr>
              <w:t>Non-Registered</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1"/>
        </w:trPr>
        <w:tc>
          <w:tcPr>
            <w:tcW w:w="3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115"/>
              <w:spacing w:after="0"/>
              <w:rPr>
                <w:sz w:val="20"/>
                <w:szCs w:val="20"/>
                <w:color w:val="auto"/>
              </w:rPr>
            </w:pPr>
            <w:r>
              <w:rPr>
                <w:rFonts w:ascii="Arial" w:cs="Arial" w:eastAsia="Arial" w:hAnsi="Arial"/>
                <w:sz w:val="12"/>
                <w:szCs w:val="12"/>
                <w:b w:val="1"/>
                <w:bCs w:val="1"/>
                <w:color w:val="706F6F"/>
              </w:rPr>
              <w:t>Plan Match</w:t>
            </w:r>
          </w:p>
        </w:tc>
        <w:tc>
          <w:tcPr>
            <w:tcW w:w="320" w:type="dxa"/>
            <w:vAlign w:val="bottom"/>
          </w:tcPr>
          <w:p>
            <w:pPr>
              <w:spacing w:after="0"/>
              <w:rPr>
                <w:sz w:val="12"/>
                <w:szCs w:val="12"/>
                <w:color w:val="auto"/>
              </w:rPr>
            </w:pPr>
          </w:p>
        </w:tc>
        <w:tc>
          <w:tcPr>
            <w:tcW w:w="1000" w:type="dxa"/>
            <w:vAlign w:val="bottom"/>
          </w:tcPr>
          <w:p>
            <w:pPr>
              <w:jc w:val="right"/>
              <w:ind w:right="135"/>
              <w:spacing w:after="0"/>
              <w:rPr>
                <w:sz w:val="20"/>
                <w:szCs w:val="20"/>
                <w:color w:val="auto"/>
              </w:rPr>
            </w:pPr>
            <w:r>
              <w:rPr>
                <w:rFonts w:ascii="Arial" w:cs="Arial" w:eastAsia="Arial" w:hAnsi="Arial"/>
                <w:sz w:val="12"/>
                <w:szCs w:val="12"/>
                <w:b w:val="1"/>
                <w:bCs w:val="1"/>
                <w:color w:val="706F6F"/>
              </w:rPr>
              <w:t>Savings Plan</w:t>
            </w:r>
          </w:p>
        </w:tc>
        <w:tc>
          <w:tcPr>
            <w:tcW w:w="380" w:type="dxa"/>
            <w:vAlign w:val="bottom"/>
          </w:tcPr>
          <w:p>
            <w:pPr>
              <w:spacing w:after="0"/>
              <w:rPr>
                <w:sz w:val="12"/>
                <w:szCs w:val="12"/>
                <w:color w:val="auto"/>
              </w:rPr>
            </w:pPr>
          </w:p>
        </w:tc>
        <w:tc>
          <w:tcPr>
            <w:tcW w:w="860" w:type="dxa"/>
            <w:vAlign w:val="bottom"/>
          </w:tcPr>
          <w:p>
            <w:pPr>
              <w:jc w:val="right"/>
              <w:ind w:right="275"/>
              <w:spacing w:after="0"/>
              <w:rPr>
                <w:sz w:val="20"/>
                <w:szCs w:val="20"/>
                <w:color w:val="auto"/>
              </w:rPr>
            </w:pPr>
            <w:r>
              <w:rPr>
                <w:rFonts w:ascii="Arial" w:cs="Arial" w:eastAsia="Arial" w:hAnsi="Arial"/>
                <w:sz w:val="12"/>
                <w:szCs w:val="12"/>
                <w:b w:val="1"/>
                <w:bCs w:val="1"/>
                <w:color w:val="706F6F"/>
              </w:rPr>
              <w:t>Other</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92"/>
        </w:trPr>
        <w:tc>
          <w:tcPr>
            <w:tcW w:w="3240" w:type="dxa"/>
            <w:vAlign w:val="bottom"/>
            <w:tcBorders>
              <w:bottom w:val="single" w:sz="8" w:color="006DB6"/>
            </w:tcBorders>
          </w:tcPr>
          <w:p>
            <w:pPr>
              <w:ind w:left="20"/>
              <w:spacing w:after="0"/>
              <w:rPr>
                <w:sz w:val="20"/>
                <w:szCs w:val="20"/>
                <w:color w:val="auto"/>
              </w:rPr>
            </w:pPr>
            <w:r>
              <w:rPr>
                <w:rFonts w:ascii="Arial" w:cs="Arial" w:eastAsia="Arial" w:hAnsi="Arial"/>
                <w:sz w:val="12"/>
                <w:szCs w:val="12"/>
                <w:b w:val="1"/>
                <w:bCs w:val="1"/>
                <w:color w:val="706F6F"/>
              </w:rPr>
              <w:t>Name and Principal Position</w:t>
            </w:r>
          </w:p>
        </w:tc>
        <w:tc>
          <w:tcPr>
            <w:tcW w:w="2360" w:type="dxa"/>
            <w:vAlign w:val="bottom"/>
            <w:tcBorders>
              <w:bottom w:val="single" w:sz="8" w:color="006DB6"/>
            </w:tcBorders>
          </w:tcPr>
          <w:p>
            <w:pPr>
              <w:jc w:val="center"/>
              <w:ind w:left="1073"/>
              <w:spacing w:after="0"/>
              <w:rPr>
                <w:sz w:val="20"/>
                <w:szCs w:val="20"/>
                <w:color w:val="auto"/>
              </w:rPr>
            </w:pPr>
            <w:r>
              <w:rPr>
                <w:rFonts w:ascii="Arial" w:cs="Arial" w:eastAsia="Arial" w:hAnsi="Arial"/>
                <w:sz w:val="12"/>
                <w:szCs w:val="12"/>
                <w:b w:val="1"/>
                <w:bCs w:val="1"/>
                <w:color w:val="706F6F"/>
                <w:w w:val="99"/>
              </w:rPr>
              <w:t>Year</w:t>
            </w:r>
          </w:p>
        </w:tc>
        <w:tc>
          <w:tcPr>
            <w:tcW w:w="600" w:type="dxa"/>
            <w:vAlign w:val="bottom"/>
            <w:tcBorders>
              <w:bottom w:val="single" w:sz="8" w:color="006DB6"/>
            </w:tcBorders>
          </w:tcPr>
          <w:p>
            <w:pPr>
              <w:spacing w:after="0"/>
              <w:rPr>
                <w:sz w:val="16"/>
                <w:szCs w:val="16"/>
                <w:color w:val="auto"/>
              </w:rPr>
            </w:pPr>
          </w:p>
        </w:tc>
        <w:tc>
          <w:tcPr>
            <w:tcW w:w="880" w:type="dxa"/>
            <w:vAlign w:val="bottom"/>
            <w:tcBorders>
              <w:bottom w:val="single" w:sz="8" w:color="006DB6"/>
            </w:tcBorders>
          </w:tcPr>
          <w:p>
            <w:pPr>
              <w:jc w:val="right"/>
              <w:ind w:right="115"/>
              <w:spacing w:after="0"/>
              <w:rPr>
                <w:sz w:val="20"/>
                <w:szCs w:val="20"/>
                <w:color w:val="auto"/>
              </w:rPr>
            </w:pPr>
            <w:r>
              <w:rPr>
                <w:rFonts w:ascii="Arial" w:cs="Arial" w:eastAsia="Arial" w:hAnsi="Arial"/>
                <w:sz w:val="12"/>
                <w:szCs w:val="12"/>
                <w:b w:val="1"/>
                <w:bCs w:val="1"/>
                <w:color w:val="706F6F"/>
              </w:rPr>
              <w:t>($)</w:t>
            </w:r>
            <w:r>
              <w:rPr>
                <w:rFonts w:ascii="Arial" w:cs="Arial" w:eastAsia="Arial" w:hAnsi="Arial"/>
                <w:sz w:val="15"/>
                <w:szCs w:val="15"/>
                <w:b w:val="1"/>
                <w:bCs w:val="1"/>
                <w:color w:val="706F6F"/>
                <w:vertAlign w:val="superscript"/>
              </w:rPr>
              <w:t>(a)</w:t>
            </w:r>
          </w:p>
        </w:tc>
        <w:tc>
          <w:tcPr>
            <w:tcW w:w="320" w:type="dxa"/>
            <w:vAlign w:val="bottom"/>
            <w:tcBorders>
              <w:bottom w:val="single" w:sz="8" w:color="006DB6"/>
            </w:tcBorders>
          </w:tcPr>
          <w:p>
            <w:pPr>
              <w:spacing w:after="0"/>
              <w:rPr>
                <w:sz w:val="16"/>
                <w:szCs w:val="16"/>
                <w:color w:val="auto"/>
              </w:rPr>
            </w:pPr>
          </w:p>
        </w:tc>
        <w:tc>
          <w:tcPr>
            <w:tcW w:w="1000" w:type="dxa"/>
            <w:vAlign w:val="bottom"/>
            <w:tcBorders>
              <w:bottom w:val="single" w:sz="8" w:color="006DB6"/>
            </w:tcBorders>
          </w:tcPr>
          <w:p>
            <w:pPr>
              <w:jc w:val="right"/>
              <w:ind w:right="135"/>
              <w:spacing w:after="0"/>
              <w:rPr>
                <w:sz w:val="20"/>
                <w:szCs w:val="20"/>
                <w:color w:val="auto"/>
              </w:rPr>
            </w:pPr>
            <w:r>
              <w:rPr>
                <w:rFonts w:ascii="Arial" w:cs="Arial" w:eastAsia="Arial" w:hAnsi="Arial"/>
                <w:sz w:val="12"/>
                <w:szCs w:val="12"/>
                <w:b w:val="1"/>
                <w:bCs w:val="1"/>
                <w:color w:val="706F6F"/>
              </w:rPr>
              <w:t>Match ($)</w:t>
            </w:r>
            <w:r>
              <w:rPr>
                <w:rFonts w:ascii="Arial" w:cs="Arial" w:eastAsia="Arial" w:hAnsi="Arial"/>
                <w:sz w:val="15"/>
                <w:szCs w:val="15"/>
                <w:b w:val="1"/>
                <w:bCs w:val="1"/>
                <w:color w:val="706F6F"/>
                <w:vertAlign w:val="superscript"/>
              </w:rPr>
              <w:t>(a)</w:t>
            </w:r>
          </w:p>
        </w:tc>
        <w:tc>
          <w:tcPr>
            <w:tcW w:w="380" w:type="dxa"/>
            <w:vAlign w:val="bottom"/>
            <w:tcBorders>
              <w:bottom w:val="single" w:sz="8" w:color="006DB6"/>
            </w:tcBorders>
          </w:tcPr>
          <w:p>
            <w:pPr>
              <w:spacing w:after="0"/>
              <w:rPr>
                <w:sz w:val="16"/>
                <w:szCs w:val="16"/>
                <w:color w:val="auto"/>
              </w:rPr>
            </w:pPr>
          </w:p>
        </w:tc>
        <w:tc>
          <w:tcPr>
            <w:tcW w:w="860" w:type="dxa"/>
            <w:vAlign w:val="bottom"/>
            <w:tcBorders>
              <w:bottom w:val="single" w:sz="8" w:color="006DB6"/>
            </w:tcBorders>
          </w:tcPr>
          <w:p>
            <w:pPr>
              <w:jc w:val="right"/>
              <w:ind w:right="275"/>
              <w:spacing w:after="0"/>
              <w:rPr>
                <w:sz w:val="20"/>
                <w:szCs w:val="20"/>
                <w:color w:val="auto"/>
              </w:rPr>
            </w:pPr>
            <w:r>
              <w:rPr>
                <w:rFonts w:ascii="Arial" w:cs="Arial" w:eastAsia="Arial" w:hAnsi="Arial"/>
                <w:sz w:val="12"/>
                <w:szCs w:val="12"/>
                <w:b w:val="1"/>
                <w:bCs w:val="1"/>
                <w:color w:val="706F6F"/>
              </w:rPr>
              <w:t>($)</w:t>
            </w:r>
            <w:r>
              <w:rPr>
                <w:rFonts w:ascii="Arial" w:cs="Arial" w:eastAsia="Arial" w:hAnsi="Arial"/>
                <w:sz w:val="15"/>
                <w:szCs w:val="15"/>
                <w:b w:val="1"/>
                <w:bCs w:val="1"/>
                <w:color w:val="706F6F"/>
                <w:vertAlign w:val="superscript"/>
              </w:rPr>
              <w:t>(b)</w:t>
            </w:r>
          </w:p>
        </w:tc>
        <w:tc>
          <w:tcPr>
            <w:tcW w:w="220" w:type="dxa"/>
            <w:vAlign w:val="bottom"/>
            <w:tcBorders>
              <w:bottom w:val="single" w:sz="8" w:color="006DB6"/>
            </w:tcBorders>
          </w:tcPr>
          <w:p>
            <w:pPr>
              <w:spacing w:after="0"/>
              <w:rPr>
                <w:sz w:val="16"/>
                <w:szCs w:val="16"/>
                <w:color w:val="auto"/>
              </w:rPr>
            </w:pPr>
          </w:p>
        </w:tc>
        <w:tc>
          <w:tcPr>
            <w:tcW w:w="640" w:type="dxa"/>
            <w:vAlign w:val="bottom"/>
            <w:tcBorders>
              <w:bottom w:val="single" w:sz="8" w:color="006DB6"/>
            </w:tcBorders>
          </w:tcPr>
          <w:p>
            <w:pPr>
              <w:jc w:val="right"/>
              <w:spacing w:after="0"/>
              <w:rPr>
                <w:sz w:val="20"/>
                <w:szCs w:val="20"/>
                <w:color w:val="auto"/>
              </w:rPr>
            </w:pPr>
            <w:r>
              <w:rPr>
                <w:rFonts w:ascii="Arial" w:cs="Arial" w:eastAsia="Arial" w:hAnsi="Arial"/>
                <w:sz w:val="12"/>
                <w:szCs w:val="12"/>
                <w:b w:val="1"/>
                <w:bCs w:val="1"/>
                <w:color w:val="706F6F"/>
              </w:rPr>
              <w:t>Total</w:t>
            </w:r>
          </w:p>
        </w:tc>
      </w:tr>
      <w:tr>
        <w:trPr>
          <w:trHeight w:val="19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Bradley J. Dodson</w:t>
            </w:r>
          </w:p>
        </w:tc>
        <w:tc>
          <w:tcPr>
            <w:tcW w:w="2360" w:type="dxa"/>
            <w:vAlign w:val="bottom"/>
            <w:tcBorders>
              <w:bottom w:val="single" w:sz="8" w:color="auto"/>
            </w:tcBorders>
          </w:tcPr>
          <w:p>
            <w:pPr>
              <w:jc w:val="center"/>
              <w:ind w:left="1073"/>
              <w:spacing w:after="0"/>
              <w:rPr>
                <w:sz w:val="20"/>
                <w:szCs w:val="20"/>
                <w:color w:val="auto"/>
              </w:rPr>
            </w:pPr>
            <w:r>
              <w:rPr>
                <w:rFonts w:ascii="Arial" w:cs="Arial" w:eastAsia="Arial" w:hAnsi="Arial"/>
                <w:sz w:val="14"/>
                <w:szCs w:val="14"/>
                <w:color w:val="auto"/>
                <w:w w:val="96"/>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14,250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2,345</w:t>
            </w:r>
          </w:p>
        </w:tc>
        <w:tc>
          <w:tcPr>
            <w:tcW w:w="2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16,595</w:t>
            </w:r>
          </w:p>
        </w:tc>
      </w:tr>
      <w:tr>
        <w:trPr>
          <w:trHeight w:val="19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Carolyn J. Stone</w:t>
            </w:r>
          </w:p>
        </w:tc>
        <w:tc>
          <w:tcPr>
            <w:tcW w:w="2360" w:type="dxa"/>
            <w:vAlign w:val="bottom"/>
            <w:tcBorders>
              <w:bottom w:val="single" w:sz="8" w:color="auto"/>
            </w:tcBorders>
          </w:tcPr>
          <w:p>
            <w:pPr>
              <w:jc w:val="center"/>
              <w:ind w:left="1073"/>
              <w:spacing w:after="0"/>
              <w:rPr>
                <w:sz w:val="20"/>
                <w:szCs w:val="20"/>
                <w:color w:val="auto"/>
              </w:rPr>
            </w:pPr>
            <w:r>
              <w:rPr>
                <w:rFonts w:ascii="Arial" w:cs="Arial" w:eastAsia="Arial" w:hAnsi="Arial"/>
                <w:sz w:val="14"/>
                <w:szCs w:val="14"/>
                <w:color w:val="auto"/>
                <w:w w:val="96"/>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10,825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1,339</w:t>
            </w:r>
          </w:p>
        </w:tc>
        <w:tc>
          <w:tcPr>
            <w:tcW w:w="2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12,164</w:t>
            </w:r>
          </w:p>
        </w:tc>
      </w:tr>
      <w:tr>
        <w:trPr>
          <w:trHeight w:val="19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Peter L. McCann</w:t>
            </w:r>
          </w:p>
        </w:tc>
        <w:tc>
          <w:tcPr>
            <w:tcW w:w="2360" w:type="dxa"/>
            <w:vAlign w:val="bottom"/>
            <w:tcBorders>
              <w:bottom w:val="single" w:sz="8" w:color="auto"/>
            </w:tcBorders>
          </w:tcPr>
          <w:p>
            <w:pPr>
              <w:jc w:val="center"/>
              <w:ind w:left="1073"/>
              <w:spacing w:after="0"/>
              <w:rPr>
                <w:sz w:val="20"/>
                <w:szCs w:val="20"/>
                <w:color w:val="auto"/>
              </w:rPr>
            </w:pPr>
            <w:r>
              <w:rPr>
                <w:rFonts w:ascii="Arial" w:cs="Arial" w:eastAsia="Arial" w:hAnsi="Arial"/>
                <w:sz w:val="14"/>
                <w:szCs w:val="14"/>
                <w:color w:val="auto"/>
                <w:w w:val="96"/>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14,743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4"/>
                <w:szCs w:val="14"/>
                <w:color w:val="auto"/>
              </w:rPr>
              <w:t>14,743</w:t>
            </w:r>
          </w:p>
        </w:tc>
      </w:tr>
      <w:tr>
        <w:trPr>
          <w:trHeight w:val="204"/>
        </w:trPr>
        <w:tc>
          <w:tcPr>
            <w:tcW w:w="3240" w:type="dxa"/>
            <w:vAlign w:val="bottom"/>
          </w:tcPr>
          <w:p>
            <w:pPr>
              <w:ind w:left="20"/>
              <w:spacing w:after="0"/>
              <w:rPr>
                <w:sz w:val="20"/>
                <w:szCs w:val="20"/>
                <w:color w:val="auto"/>
              </w:rPr>
            </w:pPr>
            <w:r>
              <w:rPr>
                <w:rFonts w:ascii="Arial" w:cs="Arial" w:eastAsia="Arial" w:hAnsi="Arial"/>
                <w:sz w:val="14"/>
                <w:szCs w:val="14"/>
                <w:b w:val="1"/>
                <w:bCs w:val="1"/>
                <w:color w:val="006DB6"/>
              </w:rPr>
              <w:t>Allan D. Schoening</w:t>
            </w:r>
          </w:p>
        </w:tc>
        <w:tc>
          <w:tcPr>
            <w:tcW w:w="2360" w:type="dxa"/>
            <w:vAlign w:val="bottom"/>
          </w:tcPr>
          <w:p>
            <w:pPr>
              <w:jc w:val="center"/>
              <w:ind w:left="1073"/>
              <w:spacing w:after="0"/>
              <w:rPr>
                <w:sz w:val="20"/>
                <w:szCs w:val="20"/>
                <w:color w:val="auto"/>
              </w:rPr>
            </w:pPr>
            <w:r>
              <w:rPr>
                <w:rFonts w:ascii="Arial" w:cs="Arial" w:eastAsia="Arial" w:hAnsi="Arial"/>
                <w:sz w:val="14"/>
                <w:szCs w:val="14"/>
                <w:color w:val="auto"/>
                <w:w w:val="96"/>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5"/>
              <w:spacing w:after="0"/>
              <w:rPr>
                <w:sz w:val="20"/>
                <w:szCs w:val="20"/>
                <w:color w:val="auto"/>
              </w:rPr>
            </w:pPr>
            <w:r>
              <w:rPr>
                <w:rFonts w:ascii="Arial" w:cs="Arial" w:eastAsia="Arial" w:hAnsi="Arial"/>
                <w:sz w:val="14"/>
                <w:szCs w:val="14"/>
                <w:color w:val="auto"/>
              </w:rPr>
              <w:t>10,385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5"/>
              <w:spacing w:after="0"/>
              <w:rPr>
                <w:sz w:val="20"/>
                <w:szCs w:val="20"/>
                <w:color w:val="auto"/>
              </w:rPr>
            </w:pPr>
            <w:r>
              <w:rPr>
                <w:rFonts w:ascii="Arial" w:cs="Arial" w:eastAsia="Arial" w:hAnsi="Arial"/>
                <w:sz w:val="14"/>
                <w:szCs w:val="14"/>
                <w:color w:val="auto"/>
              </w:rPr>
              <w:t>19,440</w:t>
            </w: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220" w:type="dxa"/>
            <w:vAlign w:val="bottom"/>
            <w:shd w:val="clear" w:color="auto" w:fill="E8EEF7"/>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EF7"/>
          </w:tcPr>
          <w:p>
            <w:pPr>
              <w:jc w:val="right"/>
              <w:spacing w:after="0"/>
              <w:rPr>
                <w:sz w:val="20"/>
                <w:szCs w:val="20"/>
                <w:color w:val="auto"/>
              </w:rPr>
            </w:pPr>
            <w:r>
              <w:rPr>
                <w:rFonts w:ascii="Arial" w:cs="Arial" w:eastAsia="Arial" w:hAnsi="Arial"/>
                <w:sz w:val="14"/>
                <w:szCs w:val="14"/>
                <w:color w:val="auto"/>
              </w:rPr>
              <w:t>29,825</w:t>
            </w:r>
          </w:p>
        </w:tc>
      </w:tr>
    </w:tbl>
    <w:p>
      <w:pPr>
        <w:spacing w:after="0" w:line="107" w:lineRule="exact"/>
        <w:rPr>
          <w:sz w:val="20"/>
          <w:szCs w:val="20"/>
          <w:color w:val="auto"/>
        </w:rPr>
      </w:pPr>
    </w:p>
    <w:p>
      <w:pPr>
        <w:ind w:left="500" w:right="200" w:hanging="251"/>
        <w:spacing w:after="0" w:line="219" w:lineRule="auto"/>
        <w:tabs>
          <w:tab w:leader="none" w:pos="516"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the matching contributions allocated by Civeo, as applicable, to Messrs. Dodson, Schoening and Ms. Stone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56" w:lineRule="exact"/>
        <w:rPr>
          <w:rFonts w:ascii="Arial" w:cs="Arial" w:eastAsia="Arial" w:hAnsi="Arial"/>
          <w:sz w:val="18"/>
          <w:szCs w:val="18"/>
          <w:color w:val="auto"/>
          <w:vertAlign w:val="superscript"/>
        </w:rPr>
      </w:pPr>
    </w:p>
    <w:p>
      <w:pPr>
        <w:ind w:left="500" w:right="380" w:hanging="251"/>
        <w:spacing w:after="0" w:line="312" w:lineRule="auto"/>
        <w:tabs>
          <w:tab w:leader="none" w:pos="503" w:val="left"/>
        </w:tabs>
        <w:numPr>
          <w:ilvl w:val="0"/>
          <w:numId w:val="45"/>
        </w:numPr>
        <w:rPr>
          <w:rFonts w:ascii="Arial" w:cs="Arial" w:eastAsia="Arial" w:hAnsi="Arial"/>
          <w:sz w:val="8"/>
          <w:szCs w:val="8"/>
          <w:color w:val="auto"/>
        </w:rPr>
      </w:pPr>
      <w:r>
        <w:rPr>
          <w:rFonts w:ascii="Arial" w:cs="Arial" w:eastAsia="Arial" w:hAnsi="Arial"/>
          <w:sz w:val="12"/>
          <w:szCs w:val="12"/>
          <w:color w:val="auto"/>
        </w:rPr>
        <w:t>The amounts shown in the “Other” column for Mr. Dodson include $2,345 in imputed income attributable to life insurance benefits and — in Canadian taxes paid by Civeo in relation to his Dual Employment contract. The amounts shown in the “Other column for Ms. Stone include $1,339 in imputed income attributable to life insurance benefits.</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Grants of Plan Based Awards for 2020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about equity and non-equity awards granted to our named executive officers in 2020.</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tcPr>
          <w:p>
            <w:pPr>
              <w:jc w:val="right"/>
              <w:ind w:right="37"/>
              <w:spacing w:after="0"/>
              <w:rPr>
                <w:sz w:val="20"/>
                <w:szCs w:val="20"/>
                <w:color w:val="auto"/>
              </w:rPr>
            </w:pPr>
            <w:r>
              <w:rPr>
                <w:rFonts w:ascii="Arial" w:cs="Arial" w:eastAsia="Arial" w:hAnsi="Arial"/>
                <w:sz w:val="14"/>
                <w:szCs w:val="14"/>
                <w:b w:val="1"/>
                <w:bCs w:val="1"/>
                <w:color w:val="706F6F"/>
              </w:rPr>
              <w:t>All Other</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Pr>
          <w:p>
            <w:pPr>
              <w:jc w:val="right"/>
              <w:ind w:right="37"/>
              <w:spacing w:after="0" w:line="154" w:lineRule="exact"/>
              <w:rPr>
                <w:sz w:val="20"/>
                <w:szCs w:val="20"/>
                <w:color w:val="auto"/>
              </w:rPr>
            </w:pPr>
            <w:r>
              <w:rPr>
                <w:rFonts w:ascii="Arial" w:cs="Arial" w:eastAsia="Arial" w:hAnsi="Arial"/>
                <w:sz w:val="14"/>
                <w:szCs w:val="14"/>
                <w:b w:val="1"/>
                <w:bCs w:val="1"/>
                <w:color w:val="706F6F"/>
              </w:rPr>
              <w:t>Stock</w:t>
            </w: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706F6F"/>
                <w:w w:val="97"/>
              </w:rPr>
              <w:t>Estimated Future Payouts</w:t>
            </w:r>
          </w:p>
        </w:tc>
        <w:tc>
          <w:tcPr>
            <w:tcW w:w="1520" w:type="dxa"/>
            <w:vAlign w:val="bottom"/>
          </w:tcPr>
          <w:p>
            <w:pPr>
              <w:jc w:val="right"/>
              <w:ind w:right="37"/>
              <w:spacing w:after="0" w:line="154" w:lineRule="exact"/>
              <w:rPr>
                <w:sz w:val="20"/>
                <w:szCs w:val="20"/>
                <w:color w:val="auto"/>
              </w:rPr>
            </w:pPr>
            <w:r>
              <w:rPr>
                <w:rFonts w:ascii="Arial" w:cs="Arial" w:eastAsia="Arial" w:hAnsi="Arial"/>
                <w:sz w:val="14"/>
                <w:szCs w:val="14"/>
                <w:b w:val="1"/>
                <w:bCs w:val="1"/>
                <w:color w:val="706F6F"/>
              </w:rPr>
              <w:t>Awards:</w:t>
            </w:r>
          </w:p>
        </w:tc>
        <w:tc>
          <w:tcPr>
            <w:tcW w:w="620" w:type="dxa"/>
            <w:vAlign w:val="bottom"/>
          </w:tcPr>
          <w:p>
            <w:pPr>
              <w:spacing w:after="0"/>
              <w:rPr>
                <w:sz w:val="13"/>
                <w:szCs w:val="13"/>
                <w:color w:val="auto"/>
              </w:rPr>
            </w:pPr>
          </w:p>
        </w:tc>
        <w:tc>
          <w:tcPr>
            <w:tcW w:w="110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Grant</w:t>
            </w:r>
          </w:p>
        </w:tc>
        <w:tc>
          <w:tcPr>
            <w:tcW w:w="0" w:type="dxa"/>
            <w:vAlign w:val="bottom"/>
          </w:tcPr>
          <w:p>
            <w:pPr>
              <w:spacing w:after="0"/>
              <w:rPr>
                <w:sz w:val="1"/>
                <w:szCs w:val="1"/>
                <w:color w:val="auto"/>
              </w:rPr>
            </w:pPr>
          </w:p>
        </w:tc>
      </w:tr>
      <w:tr>
        <w:trPr>
          <w:trHeight w:val="77"/>
        </w:trPr>
        <w:tc>
          <w:tcPr>
            <w:tcW w:w="1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520" w:type="dxa"/>
            <w:vAlign w:val="bottom"/>
            <w:vMerge w:val="restart"/>
          </w:tcPr>
          <w:p>
            <w:pPr>
              <w:jc w:val="right"/>
              <w:ind w:right="37"/>
              <w:spacing w:after="0" w:line="154" w:lineRule="exact"/>
              <w:rPr>
                <w:sz w:val="20"/>
                <w:szCs w:val="20"/>
                <w:color w:val="auto"/>
              </w:rPr>
            </w:pPr>
            <w:r>
              <w:rPr>
                <w:rFonts w:ascii="Arial" w:cs="Arial" w:eastAsia="Arial" w:hAnsi="Arial"/>
                <w:sz w:val="14"/>
                <w:szCs w:val="14"/>
                <w:b w:val="1"/>
                <w:bCs w:val="1"/>
                <w:color w:val="706F6F"/>
              </w:rPr>
              <w:t>Number of</w:t>
            </w:r>
          </w:p>
        </w:tc>
        <w:tc>
          <w:tcPr>
            <w:tcW w:w="620" w:type="dxa"/>
            <w:vAlign w:val="bottom"/>
          </w:tcPr>
          <w:p>
            <w:pPr>
              <w:spacing w:after="0"/>
              <w:rPr>
                <w:sz w:val="6"/>
                <w:szCs w:val="6"/>
                <w:color w:val="auto"/>
              </w:rPr>
            </w:pPr>
          </w:p>
        </w:tc>
        <w:tc>
          <w:tcPr>
            <w:tcW w:w="1100" w:type="dxa"/>
            <w:vAlign w:val="bottom"/>
            <w:vMerge w:val="restart"/>
          </w:tcPr>
          <w:p>
            <w:pPr>
              <w:jc w:val="right"/>
              <w:spacing w:after="0" w:line="154" w:lineRule="exact"/>
              <w:rPr>
                <w:sz w:val="20"/>
                <w:szCs w:val="20"/>
                <w:color w:val="auto"/>
              </w:rPr>
            </w:pPr>
            <w:r>
              <w:rPr>
                <w:rFonts w:ascii="Arial" w:cs="Arial" w:eastAsia="Arial" w:hAnsi="Arial"/>
                <w:sz w:val="14"/>
                <w:szCs w:val="14"/>
                <w:b w:val="1"/>
                <w:bCs w:val="1"/>
                <w:color w:val="706F6F"/>
              </w:rPr>
              <w:t>Date</w:t>
            </w:r>
          </w:p>
        </w:tc>
        <w:tc>
          <w:tcPr>
            <w:tcW w:w="0" w:type="dxa"/>
            <w:vAlign w:val="bottom"/>
          </w:tcPr>
          <w:p>
            <w:pPr>
              <w:spacing w:after="0"/>
              <w:rPr>
                <w:sz w:val="1"/>
                <w:szCs w:val="1"/>
                <w:color w:val="auto"/>
              </w:rPr>
            </w:pPr>
          </w:p>
        </w:tc>
      </w:tr>
      <w:tr>
        <w:trPr>
          <w:trHeight w:val="77"/>
        </w:trPr>
        <w:tc>
          <w:tcPr>
            <w:tcW w:w="1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60" w:type="dxa"/>
            <w:vAlign w:val="bottom"/>
            <w:gridSpan w:val="3"/>
            <w:vMerge w:val="restart"/>
          </w:tcPr>
          <w:p>
            <w:pPr>
              <w:jc w:val="right"/>
              <w:spacing w:after="0" w:line="152" w:lineRule="exact"/>
              <w:rPr>
                <w:sz w:val="20"/>
                <w:szCs w:val="20"/>
                <w:color w:val="auto"/>
              </w:rPr>
            </w:pPr>
            <w:r>
              <w:rPr>
                <w:rFonts w:ascii="Arial" w:cs="Arial" w:eastAsia="Arial" w:hAnsi="Arial"/>
                <w:sz w:val="14"/>
                <w:szCs w:val="14"/>
                <w:b w:val="1"/>
                <w:bCs w:val="1"/>
                <w:color w:val="706F6F"/>
                <w:w w:val="99"/>
              </w:rPr>
              <w:t>Under Non-Equity Incentive</w:t>
            </w:r>
          </w:p>
        </w:tc>
        <w:tc>
          <w:tcPr>
            <w:tcW w:w="15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5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706F6F"/>
              </w:rPr>
              <w:t>Shares of</w:t>
            </w:r>
          </w:p>
        </w:tc>
        <w:tc>
          <w:tcPr>
            <w:tcW w:w="62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Fair Value</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706F6F"/>
              </w:rPr>
              <w:t>Plan Awards</w:t>
            </w:r>
            <w:r>
              <w:rPr>
                <w:rFonts w:ascii="Arial" w:cs="Arial" w:eastAsia="Arial" w:hAnsi="Arial"/>
                <w:sz w:val="16"/>
                <w:szCs w:val="16"/>
                <w:b w:val="1"/>
                <w:bCs w:val="1"/>
                <w:color w:val="706F6F"/>
                <w:vertAlign w:val="superscript"/>
              </w:rPr>
              <w:t>(1)</w:t>
            </w:r>
          </w:p>
        </w:tc>
        <w:tc>
          <w:tcPr>
            <w:tcW w:w="15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9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60" w:type="dxa"/>
            <w:vAlign w:val="bottom"/>
            <w:tcBorders>
              <w:bottom w:val="single" w:sz="8" w:color="006DB6"/>
            </w:tcBorders>
          </w:tcPr>
          <w:p>
            <w:pPr>
              <w:spacing w:after="0"/>
              <w:rPr>
                <w:sz w:val="4"/>
                <w:szCs w:val="4"/>
                <w:color w:val="auto"/>
              </w:rPr>
            </w:pPr>
          </w:p>
        </w:tc>
        <w:tc>
          <w:tcPr>
            <w:tcW w:w="500" w:type="dxa"/>
            <w:vAlign w:val="bottom"/>
            <w:tcBorders>
              <w:bottom w:val="single" w:sz="8" w:color="006DB6"/>
            </w:tcBorders>
          </w:tcPr>
          <w:p>
            <w:pPr>
              <w:spacing w:after="0"/>
              <w:rPr>
                <w:sz w:val="4"/>
                <w:szCs w:val="4"/>
                <w:color w:val="auto"/>
              </w:rPr>
            </w:pPr>
          </w:p>
        </w:tc>
        <w:tc>
          <w:tcPr>
            <w:tcW w:w="220" w:type="dxa"/>
            <w:vAlign w:val="bottom"/>
            <w:tcBorders>
              <w:bottom w:val="single" w:sz="8" w:color="006DB6"/>
            </w:tcBorders>
          </w:tcPr>
          <w:p>
            <w:pPr>
              <w:spacing w:after="0"/>
              <w:rPr>
                <w:sz w:val="4"/>
                <w:szCs w:val="4"/>
                <w:color w:val="auto"/>
              </w:rPr>
            </w:pPr>
          </w:p>
        </w:tc>
        <w:tc>
          <w:tcPr>
            <w:tcW w:w="780" w:type="dxa"/>
            <w:vAlign w:val="bottom"/>
            <w:tcBorders>
              <w:bottom w:val="single" w:sz="8" w:color="006DB6"/>
            </w:tcBorders>
          </w:tcPr>
          <w:p>
            <w:pPr>
              <w:spacing w:after="0"/>
              <w:rPr>
                <w:sz w:val="4"/>
                <w:szCs w:val="4"/>
                <w:color w:val="auto"/>
              </w:rPr>
            </w:pPr>
          </w:p>
        </w:tc>
        <w:tc>
          <w:tcPr>
            <w:tcW w:w="280" w:type="dxa"/>
            <w:vAlign w:val="bottom"/>
            <w:tcBorders>
              <w:bottom w:val="single" w:sz="8" w:color="006DB6"/>
            </w:tcBorders>
          </w:tcPr>
          <w:p>
            <w:pPr>
              <w:spacing w:after="0"/>
              <w:rPr>
                <w:sz w:val="4"/>
                <w:szCs w:val="4"/>
                <w:color w:val="auto"/>
              </w:rPr>
            </w:pPr>
          </w:p>
        </w:tc>
        <w:tc>
          <w:tcPr>
            <w:tcW w:w="800" w:type="dxa"/>
            <w:vAlign w:val="bottom"/>
            <w:tcBorders>
              <w:bottom w:val="single" w:sz="8" w:color="006DB6"/>
            </w:tcBorders>
          </w:tcPr>
          <w:p>
            <w:pPr>
              <w:spacing w:after="0"/>
              <w:rPr>
                <w:sz w:val="4"/>
                <w:szCs w:val="4"/>
                <w:color w:val="auto"/>
              </w:rPr>
            </w:pPr>
          </w:p>
        </w:tc>
        <w:tc>
          <w:tcPr>
            <w:tcW w:w="1520" w:type="dxa"/>
            <w:vAlign w:val="bottom"/>
          </w:tcPr>
          <w:p>
            <w:pPr>
              <w:jc w:val="right"/>
              <w:ind w:right="37"/>
              <w:spacing w:after="0" w:line="57" w:lineRule="exact"/>
              <w:rPr>
                <w:sz w:val="20"/>
                <w:szCs w:val="20"/>
                <w:color w:val="auto"/>
              </w:rPr>
            </w:pPr>
            <w:r>
              <w:rPr>
                <w:rFonts w:ascii="Arial" w:cs="Arial" w:eastAsia="Arial" w:hAnsi="Arial"/>
                <w:sz w:val="6"/>
                <w:szCs w:val="6"/>
                <w:b w:val="1"/>
                <w:bCs w:val="1"/>
                <w:color w:val="706F6F"/>
              </w:rPr>
              <w:t>Stock or</w:t>
            </w:r>
          </w:p>
        </w:tc>
        <w:tc>
          <w:tcPr>
            <w:tcW w:w="620" w:type="dxa"/>
            <w:vAlign w:val="bottom"/>
          </w:tcPr>
          <w:p>
            <w:pPr>
              <w:spacing w:after="0"/>
              <w:rPr>
                <w:sz w:val="4"/>
                <w:szCs w:val="4"/>
                <w:color w:val="auto"/>
              </w:rPr>
            </w:pPr>
          </w:p>
        </w:tc>
        <w:tc>
          <w:tcPr>
            <w:tcW w:w="1100" w:type="dxa"/>
            <w:vAlign w:val="bottom"/>
          </w:tcPr>
          <w:p>
            <w:pPr>
              <w:jc w:val="right"/>
              <w:spacing w:after="0" w:line="57" w:lineRule="exact"/>
              <w:rPr>
                <w:sz w:val="20"/>
                <w:szCs w:val="20"/>
                <w:color w:val="auto"/>
              </w:rPr>
            </w:pPr>
            <w:r>
              <w:rPr>
                <w:rFonts w:ascii="Arial" w:cs="Arial" w:eastAsia="Arial" w:hAnsi="Arial"/>
                <w:sz w:val="6"/>
                <w:szCs w:val="6"/>
                <w:b w:val="1"/>
                <w:bCs w:val="1"/>
                <w:color w:val="706F6F"/>
              </w:rPr>
              <w:t>of Stock</w:t>
            </w: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Grant</w:t>
            </w:r>
          </w:p>
        </w:tc>
        <w:tc>
          <w:tcPr>
            <w:tcW w:w="1060" w:type="dxa"/>
            <w:vAlign w:val="bottom"/>
            <w:gridSpan w:val="2"/>
          </w:tcPr>
          <w:p>
            <w:pPr>
              <w:jc w:val="right"/>
              <w:ind w:right="32"/>
              <w:spacing w:after="0" w:line="154" w:lineRule="exact"/>
              <w:rPr>
                <w:sz w:val="20"/>
                <w:szCs w:val="20"/>
                <w:color w:val="auto"/>
              </w:rPr>
            </w:pPr>
            <w:r>
              <w:rPr>
                <w:rFonts w:ascii="Arial" w:cs="Arial" w:eastAsia="Arial" w:hAnsi="Arial"/>
                <w:sz w:val="14"/>
                <w:szCs w:val="14"/>
                <w:b w:val="1"/>
                <w:bCs w:val="1"/>
                <w:color w:val="706F6F"/>
              </w:rPr>
              <w:t>Threshold</w:t>
            </w:r>
          </w:p>
        </w:tc>
        <w:tc>
          <w:tcPr>
            <w:tcW w:w="22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Target</w:t>
            </w:r>
          </w:p>
        </w:tc>
        <w:tc>
          <w:tcPr>
            <w:tcW w:w="280" w:type="dxa"/>
            <w:vAlign w:val="bottom"/>
          </w:tcPr>
          <w:p>
            <w:pPr>
              <w:spacing w:after="0"/>
              <w:rPr>
                <w:sz w:val="13"/>
                <w:szCs w:val="13"/>
                <w:color w:val="auto"/>
              </w:rPr>
            </w:pPr>
          </w:p>
        </w:tc>
        <w:tc>
          <w:tcPr>
            <w:tcW w:w="80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Maximum</w:t>
            </w:r>
          </w:p>
        </w:tc>
        <w:tc>
          <w:tcPr>
            <w:tcW w:w="1520" w:type="dxa"/>
            <w:vAlign w:val="bottom"/>
          </w:tcPr>
          <w:p>
            <w:pPr>
              <w:jc w:val="right"/>
              <w:ind w:right="37"/>
              <w:spacing w:after="0" w:line="154" w:lineRule="exact"/>
              <w:rPr>
                <w:sz w:val="20"/>
                <w:szCs w:val="20"/>
                <w:color w:val="auto"/>
              </w:rPr>
            </w:pPr>
            <w:r>
              <w:rPr>
                <w:rFonts w:ascii="Arial" w:cs="Arial" w:eastAsia="Arial" w:hAnsi="Arial"/>
                <w:sz w:val="14"/>
                <w:szCs w:val="14"/>
                <w:b w:val="1"/>
                <w:bCs w:val="1"/>
                <w:color w:val="706F6F"/>
              </w:rPr>
              <w:t>Units</w:t>
            </w:r>
          </w:p>
        </w:tc>
        <w:tc>
          <w:tcPr>
            <w:tcW w:w="620" w:type="dxa"/>
            <w:vAlign w:val="bottom"/>
          </w:tcPr>
          <w:p>
            <w:pPr>
              <w:spacing w:after="0"/>
              <w:rPr>
                <w:sz w:val="13"/>
                <w:szCs w:val="13"/>
                <w:color w:val="auto"/>
              </w:rPr>
            </w:pPr>
          </w:p>
        </w:tc>
        <w:tc>
          <w:tcPr>
            <w:tcW w:w="110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Awards</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260" w:type="dxa"/>
            <w:vAlign w:val="bottom"/>
            <w:tcBorders>
              <w:bottom w:val="single" w:sz="8" w:color="006DB6"/>
            </w:tcBorders>
          </w:tcPr>
          <w:p>
            <w:pPr>
              <w:spacing w:after="0"/>
              <w:rPr>
                <w:sz w:val="20"/>
                <w:szCs w:val="20"/>
                <w:color w:val="auto"/>
              </w:rPr>
            </w:pPr>
            <w:r>
              <w:rPr>
                <w:rFonts w:ascii="Arial" w:cs="Arial" w:eastAsia="Arial" w:hAnsi="Arial"/>
                <w:sz w:val="14"/>
                <w:szCs w:val="14"/>
                <w:b w:val="1"/>
                <w:bCs w:val="1"/>
                <w:color w:val="706F6F"/>
              </w:rPr>
              <w:t>Award Type</w:t>
            </w:r>
          </w:p>
        </w:tc>
        <w:tc>
          <w:tcPr>
            <w:tcW w:w="11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Date</w:t>
            </w:r>
          </w:p>
        </w:tc>
        <w:tc>
          <w:tcPr>
            <w:tcW w:w="560" w:type="dxa"/>
            <w:vAlign w:val="bottom"/>
            <w:tcBorders>
              <w:bottom w:val="single" w:sz="8" w:color="006DB6"/>
            </w:tcBorders>
          </w:tcPr>
          <w:p>
            <w:pPr>
              <w:spacing w:after="0"/>
              <w:rPr>
                <w:sz w:val="18"/>
                <w:szCs w:val="18"/>
                <w:color w:val="auto"/>
              </w:rPr>
            </w:pPr>
          </w:p>
        </w:tc>
        <w:tc>
          <w:tcPr>
            <w:tcW w:w="500" w:type="dxa"/>
            <w:vAlign w:val="bottom"/>
            <w:tcBorders>
              <w:bottom w:val="single" w:sz="8" w:color="006DB6"/>
            </w:tcBorders>
          </w:tcPr>
          <w:p>
            <w:pPr>
              <w:jc w:val="right"/>
              <w:ind w:right="32"/>
              <w:spacing w:after="0"/>
              <w:rPr>
                <w:sz w:val="20"/>
                <w:szCs w:val="20"/>
                <w:color w:val="auto"/>
              </w:rPr>
            </w:pPr>
            <w:r>
              <w:rPr>
                <w:rFonts w:ascii="Arial" w:cs="Arial" w:eastAsia="Arial" w:hAnsi="Arial"/>
                <w:sz w:val="14"/>
                <w:szCs w:val="14"/>
                <w:b w:val="1"/>
                <w:bCs w:val="1"/>
                <w:color w:val="706F6F"/>
              </w:rPr>
              <w:t>($)</w:t>
            </w:r>
          </w:p>
        </w:tc>
        <w:tc>
          <w:tcPr>
            <w:tcW w:w="220" w:type="dxa"/>
            <w:vAlign w:val="bottom"/>
            <w:tcBorders>
              <w:bottom w:val="single" w:sz="8" w:color="006DB6"/>
            </w:tcBorders>
          </w:tcPr>
          <w:p>
            <w:pPr>
              <w:spacing w:after="0"/>
              <w:rPr>
                <w:sz w:val="18"/>
                <w:szCs w:val="18"/>
                <w:color w:val="auto"/>
              </w:rPr>
            </w:pPr>
          </w:p>
        </w:tc>
        <w:tc>
          <w:tcPr>
            <w:tcW w:w="7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280" w:type="dxa"/>
            <w:vAlign w:val="bottom"/>
            <w:tcBorders>
              <w:bottom w:val="single" w:sz="8" w:color="006DB6"/>
            </w:tcBorders>
          </w:tcPr>
          <w:p>
            <w:pPr>
              <w:spacing w:after="0"/>
              <w:rPr>
                <w:sz w:val="18"/>
                <w:szCs w:val="18"/>
                <w:color w:val="auto"/>
              </w:rPr>
            </w:pPr>
          </w:p>
        </w:tc>
        <w:tc>
          <w:tcPr>
            <w:tcW w:w="8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520" w:type="dxa"/>
            <w:vAlign w:val="bottom"/>
            <w:tcBorders>
              <w:bottom w:val="single" w:sz="8" w:color="006DB6"/>
            </w:tcBorders>
          </w:tcPr>
          <w:p>
            <w:pPr>
              <w:jc w:val="right"/>
              <w:ind w:right="37"/>
              <w:spacing w:after="0" w:line="205"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w:t>
            </w:r>
            <w:r>
              <w:rPr>
                <w:rFonts w:ascii="Arial" w:cs="Arial" w:eastAsia="Arial" w:hAnsi="Arial"/>
                <w:sz w:val="8"/>
                <w:szCs w:val="8"/>
                <w:color w:val="706F6F"/>
              </w:rPr>
              <w:t>2</w:t>
            </w:r>
            <w:r>
              <w:rPr>
                <w:rFonts w:ascii="Arial" w:cs="Arial" w:eastAsia="Arial" w:hAnsi="Arial"/>
                <w:sz w:val="8"/>
                <w:szCs w:val="8"/>
                <w:b w:val="1"/>
                <w:bCs w:val="1"/>
                <w:color w:val="706F6F"/>
              </w:rPr>
              <w:t>)</w:t>
            </w:r>
          </w:p>
        </w:tc>
        <w:tc>
          <w:tcPr>
            <w:tcW w:w="620" w:type="dxa"/>
            <w:vAlign w:val="bottom"/>
            <w:tcBorders>
              <w:bottom w:val="single" w:sz="8" w:color="006DB6"/>
            </w:tcBorders>
          </w:tcPr>
          <w:p>
            <w:pPr>
              <w:spacing w:after="0"/>
              <w:rPr>
                <w:sz w:val="18"/>
                <w:szCs w:val="18"/>
                <w:color w:val="auto"/>
              </w:rPr>
            </w:pPr>
          </w:p>
        </w:tc>
        <w:tc>
          <w:tcPr>
            <w:tcW w:w="1100" w:type="dxa"/>
            <w:vAlign w:val="bottom"/>
            <w:tcBorders>
              <w:bottom w:val="single" w:sz="8" w:color="006DB6"/>
            </w:tcBorders>
          </w:tcPr>
          <w:p>
            <w:pPr>
              <w:jc w:val="right"/>
              <w:spacing w:after="0" w:line="205"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w:t>
            </w:r>
            <w:r>
              <w:rPr>
                <w:rFonts w:ascii="Arial" w:cs="Arial" w:eastAsia="Arial" w:hAnsi="Arial"/>
                <w:sz w:val="10"/>
                <w:szCs w:val="10"/>
                <w:color w:val="706F6F"/>
              </w:rPr>
              <w:t>3</w:t>
            </w:r>
            <w:r>
              <w:rPr>
                <w:rFonts w:ascii="Arial" w:cs="Arial" w:eastAsia="Arial" w:hAnsi="Arial"/>
                <w:sz w:val="8"/>
                <w:szCs w:val="8"/>
                <w:b w:val="1"/>
                <w:bCs w:val="1"/>
                <w:color w:val="706F6F"/>
              </w:rPr>
              <w:t>)</w:t>
            </w: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Arial" w:cs="Arial" w:eastAsia="Arial" w:hAnsi="Arial"/>
                <w:sz w:val="14"/>
                <w:szCs w:val="14"/>
                <w:b w:val="1"/>
                <w:bCs w:val="1"/>
                <w:color w:val="006DB6"/>
              </w:rPr>
              <w:t>Bradley J. Dodson</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AICP</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750,000</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Phantom Units</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2/25/2020</w:t>
            </w: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79,309</w:t>
            </w:r>
          </w:p>
        </w:tc>
        <w:tc>
          <w:tcPr>
            <w:tcW w:w="6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1,256,255</w:t>
            </w:r>
          </w:p>
        </w:tc>
        <w:tc>
          <w:tcPr>
            <w:tcW w:w="0" w:type="dxa"/>
            <w:vAlign w:val="bottom"/>
          </w:tcPr>
          <w:p>
            <w:pPr>
              <w:spacing w:after="0"/>
              <w:rPr>
                <w:sz w:val="1"/>
                <w:szCs w:val="1"/>
                <w:color w:val="auto"/>
              </w:rPr>
            </w:pPr>
          </w:p>
        </w:tc>
      </w:tr>
      <w:tr>
        <w:trPr>
          <w:trHeight w:val="236"/>
        </w:trPr>
        <w:tc>
          <w:tcPr>
            <w:tcW w:w="1960" w:type="dxa"/>
            <w:vAlign w:val="bottom"/>
          </w:tcPr>
          <w:p>
            <w:pPr>
              <w:ind w:left="20"/>
              <w:spacing w:after="0"/>
              <w:rPr>
                <w:sz w:val="20"/>
                <w:szCs w:val="20"/>
                <w:color w:val="auto"/>
              </w:rPr>
            </w:pPr>
            <w:r>
              <w:rPr>
                <w:rFonts w:ascii="Arial" w:cs="Arial" w:eastAsia="Arial" w:hAnsi="Arial"/>
                <w:sz w:val="14"/>
                <w:szCs w:val="14"/>
                <w:b w:val="1"/>
                <w:bCs w:val="1"/>
                <w:color w:val="006DB6"/>
              </w:rPr>
              <w:t>Carolyn J. Stone</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AICP</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204,000</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408,000</w:t>
            </w: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Phantom Units</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2/25/2020</w:t>
            </w: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16,099</w:t>
            </w:r>
          </w:p>
        </w:tc>
        <w:tc>
          <w:tcPr>
            <w:tcW w:w="6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255,008</w:t>
            </w:r>
          </w:p>
        </w:tc>
        <w:tc>
          <w:tcPr>
            <w:tcW w:w="0" w:type="dxa"/>
            <w:vAlign w:val="bottom"/>
          </w:tcPr>
          <w:p>
            <w:pPr>
              <w:spacing w:after="0"/>
              <w:rPr>
                <w:sz w:val="1"/>
                <w:szCs w:val="1"/>
                <w:color w:val="auto"/>
              </w:rPr>
            </w:pPr>
          </w:p>
        </w:tc>
      </w:tr>
      <w:tr>
        <w:trPr>
          <w:trHeight w:val="242"/>
        </w:trPr>
        <w:tc>
          <w:tcPr>
            <w:tcW w:w="1960" w:type="dxa"/>
            <w:vAlign w:val="bottom"/>
          </w:tcPr>
          <w:p>
            <w:pPr>
              <w:ind w:left="20"/>
              <w:spacing w:after="0"/>
              <w:rPr>
                <w:sz w:val="20"/>
                <w:szCs w:val="20"/>
                <w:color w:val="auto"/>
              </w:rPr>
            </w:pPr>
            <w:r>
              <w:rPr>
                <w:rFonts w:ascii="Arial" w:cs="Arial" w:eastAsia="Arial" w:hAnsi="Arial"/>
                <w:sz w:val="14"/>
                <w:szCs w:val="14"/>
                <w:b w:val="1"/>
                <w:bCs w:val="1"/>
                <w:color w:val="006DB6"/>
              </w:rPr>
              <w:t>Peter L. McCann</w:t>
            </w:r>
            <w:r>
              <w:rPr>
                <w:rFonts w:ascii="Arial" w:cs="Arial" w:eastAsia="Arial" w:hAnsi="Arial"/>
                <w:sz w:val="17"/>
                <w:szCs w:val="17"/>
                <w:b w:val="1"/>
                <w:bCs w:val="1"/>
                <w:color w:val="006DB6"/>
                <w:vertAlign w:val="superscript"/>
              </w:rPr>
              <w:t>(4)</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AICP</w:t>
            </w:r>
          </w:p>
        </w:tc>
        <w:tc>
          <w:tcPr>
            <w:tcW w:w="1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195,267</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390,534</w:t>
            </w:r>
          </w:p>
        </w:tc>
        <w:tc>
          <w:tcPr>
            <w:tcW w:w="15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Phantom Units</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2/25/2020</w:t>
            </w: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11,246</w:t>
            </w:r>
          </w:p>
        </w:tc>
        <w:tc>
          <w:tcPr>
            <w:tcW w:w="6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178,137</w:t>
            </w:r>
          </w:p>
        </w:tc>
        <w:tc>
          <w:tcPr>
            <w:tcW w:w="0" w:type="dxa"/>
            <w:vAlign w:val="bottom"/>
          </w:tcPr>
          <w:p>
            <w:pPr>
              <w:spacing w:after="0"/>
              <w:rPr>
                <w:sz w:val="1"/>
                <w:szCs w:val="1"/>
                <w:color w:val="auto"/>
              </w:rPr>
            </w:pPr>
          </w:p>
        </w:tc>
      </w:tr>
      <w:tr>
        <w:trPr>
          <w:trHeight w:val="242"/>
        </w:trPr>
        <w:tc>
          <w:tcPr>
            <w:tcW w:w="1960" w:type="dxa"/>
            <w:vAlign w:val="bottom"/>
          </w:tcPr>
          <w:p>
            <w:pPr>
              <w:ind w:left="20"/>
              <w:spacing w:after="0"/>
              <w:rPr>
                <w:sz w:val="20"/>
                <w:szCs w:val="20"/>
                <w:color w:val="auto"/>
              </w:rPr>
            </w:pPr>
            <w:r>
              <w:rPr>
                <w:rFonts w:ascii="Arial" w:cs="Arial" w:eastAsia="Arial" w:hAnsi="Arial"/>
                <w:sz w:val="14"/>
                <w:szCs w:val="14"/>
                <w:b w:val="1"/>
                <w:bCs w:val="1"/>
                <w:color w:val="006DB6"/>
              </w:rPr>
              <w:t>Allan D. Schoening</w:t>
            </w:r>
            <w:r>
              <w:rPr>
                <w:rFonts w:ascii="Arial" w:cs="Arial" w:eastAsia="Arial" w:hAnsi="Arial"/>
                <w:sz w:val="17"/>
                <w:szCs w:val="17"/>
                <w:b w:val="1"/>
                <w:bCs w:val="1"/>
                <w:color w:val="006DB6"/>
                <w:vertAlign w:val="superscript"/>
              </w:rPr>
              <w:t>(5)</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AICP</w:t>
            </w:r>
          </w:p>
        </w:tc>
        <w:tc>
          <w:tcPr>
            <w:tcW w:w="1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212,696</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425,392</w:t>
            </w:r>
          </w:p>
        </w:tc>
        <w:tc>
          <w:tcPr>
            <w:tcW w:w="15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6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Phantom Units</w:t>
            </w:r>
          </w:p>
        </w:tc>
        <w:tc>
          <w:tcPr>
            <w:tcW w:w="1120" w:type="dxa"/>
            <w:vAlign w:val="bottom"/>
          </w:tcPr>
          <w:p>
            <w:pPr>
              <w:jc w:val="right"/>
              <w:ind w:right="92"/>
              <w:spacing w:after="0"/>
              <w:rPr>
                <w:sz w:val="20"/>
                <w:szCs w:val="20"/>
                <w:color w:val="auto"/>
              </w:rPr>
            </w:pPr>
            <w:r>
              <w:rPr>
                <w:rFonts w:ascii="Arial" w:cs="Arial" w:eastAsia="Arial" w:hAnsi="Arial"/>
                <w:sz w:val="14"/>
                <w:szCs w:val="14"/>
                <w:color w:val="auto"/>
              </w:rPr>
              <w:t>2/25/2020</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right"/>
              <w:ind w:right="97"/>
              <w:spacing w:after="0"/>
              <w:rPr>
                <w:sz w:val="20"/>
                <w:szCs w:val="20"/>
                <w:color w:val="auto"/>
              </w:rPr>
            </w:pPr>
            <w:r>
              <w:rPr>
                <w:rFonts w:ascii="Arial" w:cs="Arial" w:eastAsia="Arial" w:hAnsi="Arial"/>
                <w:sz w:val="14"/>
                <w:szCs w:val="14"/>
                <w:color w:val="auto"/>
              </w:rPr>
              <w:t>16,924</w:t>
            </w:r>
          </w:p>
        </w:tc>
        <w:tc>
          <w:tcPr>
            <w:tcW w:w="62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268,076</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40" w:right="40" w:hanging="237"/>
        <w:spacing w:after="0" w:line="219" w:lineRule="auto"/>
        <w:tabs>
          <w:tab w:leader="none" w:pos="24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2020;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56" w:lineRule="exact"/>
        <w:rPr>
          <w:rFonts w:ascii="Arial" w:cs="Arial" w:eastAsia="Arial" w:hAnsi="Arial"/>
          <w:sz w:val="18"/>
          <w:szCs w:val="18"/>
          <w:color w:val="auto"/>
          <w:vertAlign w:val="superscript"/>
        </w:rPr>
      </w:pPr>
    </w:p>
    <w:p>
      <w:pPr>
        <w:ind w:left="240" w:right="120" w:hanging="237"/>
        <w:spacing w:after="0" w:line="207" w:lineRule="auto"/>
        <w:tabs>
          <w:tab w:leader="none" w:pos="24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amounts included in the “All Other Stock Awards” column reflect phantom unit awards that vest annually at a rate of one-third per year on each of the first three anniversaries of the grant date.</w:t>
      </w:r>
    </w:p>
    <w:p>
      <w:pPr>
        <w:spacing w:after="0" w:line="54" w:lineRule="exact"/>
        <w:rPr>
          <w:rFonts w:ascii="Arial" w:cs="Arial" w:eastAsia="Arial" w:hAnsi="Arial"/>
          <w:sz w:val="18"/>
          <w:szCs w:val="18"/>
          <w:color w:val="auto"/>
          <w:vertAlign w:val="superscript"/>
        </w:rPr>
      </w:pPr>
    </w:p>
    <w:p>
      <w:pPr>
        <w:ind w:left="240" w:right="120" w:hanging="237"/>
        <w:spacing w:after="0" w:line="232" w:lineRule="auto"/>
        <w:tabs>
          <w:tab w:leader="none" w:pos="243" w:val="left"/>
        </w:tabs>
        <w:numPr>
          <w:ilvl w:val="0"/>
          <w:numId w:val="46"/>
        </w:numPr>
        <w:rPr>
          <w:rFonts w:ascii="Arial" w:cs="Arial" w:eastAsia="Arial" w:hAnsi="Arial"/>
          <w:sz w:val="9"/>
          <w:szCs w:val="9"/>
          <w:color w:val="auto"/>
        </w:rPr>
      </w:pPr>
      <w:r>
        <w:rPr>
          <w:rFonts w:ascii="Arial" w:cs="Arial" w:eastAsia="Arial" w:hAnsi="Arial"/>
          <w:sz w:val="14"/>
          <w:szCs w:val="14"/>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named executive officers during 2020. Generally, the full grant date fair value is the amount that Civeo would expense in its financial statements over the vesting schedule of the awards. See Note 18 to Civeo’s consolidated financial statements included in its Annual Report on Form 10-K for the year ended December 31, 2020 for additional detail regarding assumptions underlying the value of these awards.</w:t>
      </w:r>
    </w:p>
    <w:p>
      <w:pPr>
        <w:spacing w:after="0" w:line="69" w:lineRule="exact"/>
        <w:rPr>
          <w:rFonts w:ascii="Arial" w:cs="Arial" w:eastAsia="Arial" w:hAnsi="Arial"/>
          <w:sz w:val="9"/>
          <w:szCs w:val="9"/>
          <w:color w:val="auto"/>
        </w:rPr>
      </w:pPr>
    </w:p>
    <w:p>
      <w:pPr>
        <w:ind w:left="240" w:right="160" w:hanging="237"/>
        <w:spacing w:after="0" w:line="207" w:lineRule="auto"/>
        <w:tabs>
          <w:tab w:leader="none" w:pos="24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Mr. McCann’s AICP award amounts were paid in Australian dollars and are reflected in this table in U.S. dollars using an average exchange rate for 2020 of $0.6906 U.S. dollar per Australian dollar.</w:t>
      </w:r>
    </w:p>
    <w:p>
      <w:pPr>
        <w:spacing w:after="0" w:line="54" w:lineRule="exact"/>
        <w:rPr>
          <w:rFonts w:ascii="Arial" w:cs="Arial" w:eastAsia="Arial" w:hAnsi="Arial"/>
          <w:sz w:val="18"/>
          <w:szCs w:val="18"/>
          <w:color w:val="auto"/>
          <w:vertAlign w:val="superscript"/>
        </w:rPr>
      </w:pPr>
    </w:p>
    <w:p>
      <w:pPr>
        <w:ind w:left="240" w:right="40" w:hanging="237"/>
        <w:spacing w:after="0" w:line="207" w:lineRule="auto"/>
        <w:tabs>
          <w:tab w:leader="none" w:pos="24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Mr. Schoening’s AICP award amounts were paid in Canadian dollars and are reflected in this table in U.S. dollars using an average exchange rate for 2020 of $0.7463 U.S. dollar per Canadian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bl>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Outstanding Equity Awards at 2020 Fiscal Year End</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following table provides information on the holdings of options and share awards by our named executive officers as of December 31, 2020. The market value of the share awards is based on the closing market price of Civeo’s common shares as of December 31, 2020, which was $13.90. The chart below excludes 6,121 options, with exercise prices ranging from $197.16 to $262.44, held by Mr. Dodson as of December 31, 2020 which were subsequently canceled in 2021 without remuneration to Mr. Dodson.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00" w:type="dxa"/>
            <w:vAlign w:val="bottom"/>
          </w:tcPr>
          <w:p>
            <w:pPr>
              <w:spacing w:after="0"/>
              <w:rPr>
                <w:sz w:val="17"/>
                <w:szCs w:val="17"/>
                <w:color w:val="auto"/>
              </w:rPr>
            </w:pPr>
          </w:p>
        </w:tc>
        <w:tc>
          <w:tcPr>
            <w:tcW w:w="1640" w:type="dxa"/>
            <w:vAlign w:val="bottom"/>
            <w:tcBorders>
              <w:bottom w:val="single" w:sz="8" w:color="006DB6"/>
            </w:tcBorders>
          </w:tcPr>
          <w:p>
            <w:pPr>
              <w:spacing w:after="0"/>
              <w:rPr>
                <w:sz w:val="17"/>
                <w:szCs w:val="17"/>
                <w:color w:val="auto"/>
              </w:rPr>
            </w:pPr>
          </w:p>
        </w:tc>
        <w:tc>
          <w:tcPr>
            <w:tcW w:w="160" w:type="dxa"/>
            <w:vAlign w:val="bottom"/>
            <w:tcBorders>
              <w:bottom w:val="single" w:sz="8" w:color="006DB6"/>
            </w:tcBorders>
          </w:tcPr>
          <w:p>
            <w:pPr>
              <w:spacing w:after="0"/>
              <w:rPr>
                <w:sz w:val="17"/>
                <w:szCs w:val="17"/>
                <w:color w:val="auto"/>
              </w:rPr>
            </w:pPr>
          </w:p>
        </w:tc>
        <w:tc>
          <w:tcPr>
            <w:tcW w:w="860" w:type="dxa"/>
            <w:vAlign w:val="bottom"/>
            <w:tcBorders>
              <w:bottom w:val="single" w:sz="8" w:color="006DB6"/>
            </w:tcBorders>
          </w:tcPr>
          <w:p>
            <w:pPr>
              <w:spacing w:after="0"/>
              <w:rPr>
                <w:sz w:val="17"/>
                <w:szCs w:val="17"/>
                <w:color w:val="auto"/>
              </w:rPr>
            </w:pPr>
          </w:p>
        </w:tc>
        <w:tc>
          <w:tcPr>
            <w:tcW w:w="18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Share Awards</w:t>
            </w:r>
          </w:p>
        </w:tc>
        <w:tc>
          <w:tcPr>
            <w:tcW w:w="1480" w:type="dxa"/>
            <w:vAlign w:val="bottom"/>
            <w:tcBorders>
              <w:bottom w:val="single" w:sz="8" w:color="006DB6"/>
            </w:tcBorders>
          </w:tcPr>
          <w:p>
            <w:pPr>
              <w:spacing w:after="0"/>
              <w:rPr>
                <w:sz w:val="17"/>
                <w:szCs w:val="17"/>
                <w:color w:val="auto"/>
              </w:rPr>
            </w:pPr>
          </w:p>
        </w:tc>
        <w:tc>
          <w:tcPr>
            <w:tcW w:w="460" w:type="dxa"/>
            <w:vAlign w:val="bottom"/>
            <w:tcBorders>
              <w:bottom w:val="single" w:sz="8" w:color="006DB6"/>
            </w:tcBorders>
          </w:tcPr>
          <w:p>
            <w:pPr>
              <w:spacing w:after="0"/>
              <w:rPr>
                <w:sz w:val="17"/>
                <w:szCs w:val="17"/>
                <w:color w:val="auto"/>
              </w:rPr>
            </w:pPr>
          </w:p>
        </w:tc>
        <w:tc>
          <w:tcPr>
            <w:tcW w:w="740" w:type="dxa"/>
            <w:vAlign w:val="bottom"/>
            <w:tcBorders>
              <w:bottom w:val="single" w:sz="8" w:color="006DB6"/>
            </w:tcBorders>
          </w:tcPr>
          <w:p>
            <w:pPr>
              <w:spacing w:after="0"/>
              <w:rPr>
                <w:sz w:val="17"/>
                <w:szCs w:val="17"/>
                <w:color w:val="auto"/>
              </w:rPr>
            </w:pPr>
          </w:p>
        </w:tc>
        <w:tc>
          <w:tcPr>
            <w:tcW w:w="940" w:type="dxa"/>
            <w:vAlign w:val="bottom"/>
            <w:tcBorders>
              <w:bottom w:val="single" w:sz="8" w:color="006DB6"/>
            </w:tcBorders>
          </w:tcPr>
          <w:p>
            <w:pPr>
              <w:spacing w:after="0"/>
              <w:rPr>
                <w:sz w:val="17"/>
                <w:szCs w:val="17"/>
                <w:color w:val="auto"/>
              </w:rPr>
            </w:pPr>
          </w:p>
        </w:tc>
      </w:tr>
      <w:tr>
        <w:trPr>
          <w:trHeight w:val="168"/>
        </w:trPr>
        <w:tc>
          <w:tcPr>
            <w:tcW w:w="2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gridSpan w:val="2"/>
          </w:tcPr>
          <w:p>
            <w:pPr>
              <w:jc w:val="right"/>
              <w:ind w:right="27"/>
              <w:spacing w:after="0"/>
              <w:rPr>
                <w:sz w:val="20"/>
                <w:szCs w:val="20"/>
                <w:color w:val="auto"/>
              </w:rPr>
            </w:pPr>
            <w:r>
              <w:rPr>
                <w:rFonts w:ascii="Arial" w:cs="Arial" w:eastAsia="Arial" w:hAnsi="Arial"/>
                <w:sz w:val="14"/>
                <w:szCs w:val="14"/>
                <w:b w:val="1"/>
                <w:bCs w:val="1"/>
                <w:color w:val="706F6F"/>
              </w:rPr>
              <w:t>Equity Incentive Plan</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Equity Incentive Plan</w:t>
            </w:r>
          </w:p>
        </w:tc>
      </w:tr>
      <w:tr>
        <w:trPr>
          <w:trHeight w:val="154"/>
        </w:trPr>
        <w:tc>
          <w:tcPr>
            <w:tcW w:w="2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940" w:type="dxa"/>
            <w:vAlign w:val="bottom"/>
            <w:gridSpan w:val="2"/>
          </w:tcPr>
          <w:p>
            <w:pPr>
              <w:jc w:val="center"/>
              <w:ind w:left="452"/>
              <w:spacing w:after="0" w:line="154" w:lineRule="exact"/>
              <w:rPr>
                <w:sz w:val="20"/>
                <w:szCs w:val="20"/>
                <w:color w:val="auto"/>
              </w:rPr>
            </w:pPr>
            <w:r>
              <w:rPr>
                <w:rFonts w:ascii="Arial" w:cs="Arial" w:eastAsia="Arial" w:hAnsi="Arial"/>
                <w:sz w:val="14"/>
                <w:szCs w:val="14"/>
                <w:b w:val="1"/>
                <w:bCs w:val="1"/>
                <w:color w:val="706F6F"/>
                <w:w w:val="97"/>
              </w:rPr>
              <w:t>Awards: Number of</w:t>
            </w:r>
          </w:p>
        </w:tc>
        <w:tc>
          <w:tcPr>
            <w:tcW w:w="168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706F6F"/>
              </w:rPr>
              <w:t>Awards: Market Value of</w:t>
            </w:r>
          </w:p>
        </w:tc>
      </w:tr>
      <w:tr>
        <w:trPr>
          <w:trHeight w:val="154"/>
        </w:trPr>
        <w:tc>
          <w:tcPr>
            <w:tcW w:w="2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62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706F6F"/>
                <w:w w:val="98"/>
              </w:rPr>
              <w:t>Unearned Shares or Units of Unearned Shares or Units</w:t>
            </w:r>
          </w:p>
        </w:tc>
      </w:tr>
      <w:tr>
        <w:trPr>
          <w:trHeight w:val="154"/>
        </w:trPr>
        <w:tc>
          <w:tcPr>
            <w:tcW w:w="2300" w:type="dxa"/>
            <w:vAlign w:val="bottom"/>
          </w:tcPr>
          <w:p>
            <w:pPr>
              <w:spacing w:after="0"/>
              <w:rPr>
                <w:sz w:val="13"/>
                <w:szCs w:val="13"/>
                <w:color w:val="auto"/>
              </w:rPr>
            </w:pPr>
          </w:p>
        </w:tc>
        <w:tc>
          <w:tcPr>
            <w:tcW w:w="2660" w:type="dxa"/>
            <w:vAlign w:val="bottom"/>
            <w:gridSpan w:val="3"/>
          </w:tcPr>
          <w:p>
            <w:pPr>
              <w:jc w:val="right"/>
              <w:ind w:right="612"/>
              <w:spacing w:after="0" w:line="154" w:lineRule="exact"/>
              <w:rPr>
                <w:sz w:val="20"/>
                <w:szCs w:val="20"/>
                <w:color w:val="auto"/>
              </w:rPr>
            </w:pPr>
            <w:r>
              <w:rPr>
                <w:rFonts w:ascii="Arial" w:cs="Arial" w:eastAsia="Arial" w:hAnsi="Arial"/>
                <w:sz w:val="14"/>
                <w:szCs w:val="14"/>
                <w:b w:val="1"/>
                <w:bCs w:val="1"/>
                <w:color w:val="706F6F"/>
              </w:rPr>
              <w:t>Number of Shares or Units of</w:t>
            </w:r>
          </w:p>
        </w:tc>
        <w:tc>
          <w:tcPr>
            <w:tcW w:w="1880" w:type="dxa"/>
            <w:vAlign w:val="bottom"/>
          </w:tcPr>
          <w:p>
            <w:pPr>
              <w:jc w:val="right"/>
              <w:ind w:right="112"/>
              <w:spacing w:after="0" w:line="154" w:lineRule="exact"/>
              <w:rPr>
                <w:sz w:val="20"/>
                <w:szCs w:val="20"/>
                <w:color w:val="auto"/>
              </w:rPr>
            </w:pPr>
            <w:r>
              <w:rPr>
                <w:rFonts w:ascii="Arial" w:cs="Arial" w:eastAsia="Arial" w:hAnsi="Arial"/>
                <w:sz w:val="14"/>
                <w:szCs w:val="14"/>
                <w:b w:val="1"/>
                <w:bCs w:val="1"/>
                <w:color w:val="706F6F"/>
                <w:w w:val="97"/>
              </w:rPr>
              <w:t>Market Value of Shares or</w:t>
            </w:r>
          </w:p>
        </w:tc>
        <w:tc>
          <w:tcPr>
            <w:tcW w:w="1940" w:type="dxa"/>
            <w:vAlign w:val="bottom"/>
            <w:gridSpan w:val="2"/>
          </w:tcPr>
          <w:p>
            <w:pPr>
              <w:jc w:val="right"/>
              <w:ind w:right="27"/>
              <w:spacing w:after="0" w:line="154" w:lineRule="exact"/>
              <w:rPr>
                <w:sz w:val="20"/>
                <w:szCs w:val="20"/>
                <w:color w:val="auto"/>
              </w:rPr>
            </w:pPr>
            <w:r>
              <w:rPr>
                <w:rFonts w:ascii="Arial" w:cs="Arial" w:eastAsia="Arial" w:hAnsi="Arial"/>
                <w:sz w:val="14"/>
                <w:szCs w:val="14"/>
                <w:b w:val="1"/>
                <w:bCs w:val="1"/>
                <w:color w:val="706F6F"/>
              </w:rPr>
              <w:t>Stock that</w:t>
            </w:r>
          </w:p>
        </w:tc>
        <w:tc>
          <w:tcPr>
            <w:tcW w:w="740" w:type="dxa"/>
            <w:vAlign w:val="bottom"/>
          </w:tcPr>
          <w:p>
            <w:pPr>
              <w:spacing w:after="0"/>
              <w:rPr>
                <w:sz w:val="13"/>
                <w:szCs w:val="13"/>
                <w:color w:val="auto"/>
              </w:rPr>
            </w:pPr>
          </w:p>
        </w:tc>
        <w:tc>
          <w:tcPr>
            <w:tcW w:w="94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of</w:t>
            </w:r>
          </w:p>
        </w:tc>
      </w:tr>
      <w:tr>
        <w:trPr>
          <w:trHeight w:val="154"/>
        </w:trPr>
        <w:tc>
          <w:tcPr>
            <w:tcW w:w="2300" w:type="dxa"/>
            <w:vAlign w:val="bottom"/>
          </w:tcPr>
          <w:p>
            <w:pPr>
              <w:spacing w:after="0"/>
              <w:rPr>
                <w:sz w:val="13"/>
                <w:szCs w:val="13"/>
                <w:color w:val="auto"/>
              </w:rPr>
            </w:pPr>
          </w:p>
        </w:tc>
        <w:tc>
          <w:tcPr>
            <w:tcW w:w="4540" w:type="dxa"/>
            <w:vAlign w:val="bottom"/>
            <w:gridSpan w:val="4"/>
          </w:tcPr>
          <w:p>
            <w:pPr>
              <w:jc w:val="right"/>
              <w:ind w:right="112"/>
              <w:spacing w:after="0" w:line="154" w:lineRule="exact"/>
              <w:rPr>
                <w:sz w:val="20"/>
                <w:szCs w:val="20"/>
                <w:color w:val="auto"/>
              </w:rPr>
            </w:pPr>
            <w:r>
              <w:rPr>
                <w:rFonts w:ascii="Arial" w:cs="Arial" w:eastAsia="Arial" w:hAnsi="Arial"/>
                <w:sz w:val="14"/>
                <w:szCs w:val="14"/>
                <w:b w:val="1"/>
                <w:bCs w:val="1"/>
                <w:color w:val="706F6F"/>
              </w:rPr>
              <w:t>Stock that Have Not Vested Units of Stock that Have Not Vested</w:t>
            </w:r>
          </w:p>
        </w:tc>
        <w:tc>
          <w:tcPr>
            <w:tcW w:w="1940" w:type="dxa"/>
            <w:vAlign w:val="bottom"/>
            <w:gridSpan w:val="2"/>
          </w:tcPr>
          <w:p>
            <w:pPr>
              <w:jc w:val="right"/>
              <w:ind w:right="27"/>
              <w:spacing w:after="0" w:line="154" w:lineRule="exact"/>
              <w:rPr>
                <w:sz w:val="20"/>
                <w:szCs w:val="20"/>
                <w:color w:val="auto"/>
              </w:rPr>
            </w:pPr>
            <w:r>
              <w:rPr>
                <w:rFonts w:ascii="Arial" w:cs="Arial" w:eastAsia="Arial" w:hAnsi="Arial"/>
                <w:sz w:val="14"/>
                <w:szCs w:val="14"/>
                <w:b w:val="1"/>
                <w:bCs w:val="1"/>
                <w:color w:val="706F6F"/>
              </w:rPr>
              <w:t>Have Not Vested</w:t>
            </w:r>
          </w:p>
        </w:tc>
        <w:tc>
          <w:tcPr>
            <w:tcW w:w="1680" w:type="dxa"/>
            <w:vAlign w:val="bottom"/>
            <w:gridSpan w:val="2"/>
          </w:tcPr>
          <w:p>
            <w:pPr>
              <w:ind w:left="380"/>
              <w:spacing w:after="0" w:line="154" w:lineRule="exact"/>
              <w:rPr>
                <w:sz w:val="20"/>
                <w:szCs w:val="20"/>
                <w:color w:val="auto"/>
              </w:rPr>
            </w:pPr>
            <w:r>
              <w:rPr>
                <w:rFonts w:ascii="Arial" w:cs="Arial" w:eastAsia="Arial" w:hAnsi="Arial"/>
                <w:sz w:val="14"/>
                <w:szCs w:val="14"/>
                <w:b w:val="1"/>
                <w:bCs w:val="1"/>
                <w:color w:val="706F6F"/>
                <w:w w:val="96"/>
              </w:rPr>
              <w:t>Stock that Have Not</w:t>
            </w:r>
          </w:p>
        </w:tc>
      </w:tr>
      <w:tr>
        <w:trPr>
          <w:trHeight w:val="197"/>
        </w:trPr>
        <w:tc>
          <w:tcPr>
            <w:tcW w:w="23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40" w:type="dxa"/>
            <w:vAlign w:val="bottom"/>
            <w:tcBorders>
              <w:bottom w:val="single" w:sz="8" w:color="006DB6"/>
            </w:tcBorders>
          </w:tcPr>
          <w:p>
            <w:pPr>
              <w:spacing w:after="0"/>
              <w:rPr>
                <w:sz w:val="17"/>
                <w:szCs w:val="17"/>
                <w:color w:val="auto"/>
              </w:rPr>
            </w:pPr>
          </w:p>
        </w:tc>
        <w:tc>
          <w:tcPr>
            <w:tcW w:w="160" w:type="dxa"/>
            <w:vAlign w:val="bottom"/>
            <w:tcBorders>
              <w:bottom w:val="single" w:sz="8" w:color="006DB6"/>
            </w:tcBorders>
          </w:tcPr>
          <w:p>
            <w:pPr>
              <w:spacing w:after="0"/>
              <w:rPr>
                <w:sz w:val="17"/>
                <w:szCs w:val="17"/>
                <w:color w:val="auto"/>
              </w:rPr>
            </w:pPr>
          </w:p>
        </w:tc>
        <w:tc>
          <w:tcPr>
            <w:tcW w:w="860" w:type="dxa"/>
            <w:vAlign w:val="bottom"/>
            <w:tcBorders>
              <w:bottom w:val="single" w:sz="8" w:color="006DB6"/>
            </w:tcBorders>
          </w:tcPr>
          <w:p>
            <w:pPr>
              <w:jc w:val="right"/>
              <w:ind w:right="612"/>
              <w:spacing w:after="0"/>
              <w:rPr>
                <w:sz w:val="20"/>
                <w:szCs w:val="20"/>
                <w:color w:val="auto"/>
              </w:rPr>
            </w:pPr>
            <w:r>
              <w:rPr>
                <w:rFonts w:ascii="Arial" w:cs="Arial" w:eastAsia="Arial" w:hAnsi="Arial"/>
                <w:sz w:val="14"/>
                <w:szCs w:val="14"/>
                <w:b w:val="1"/>
                <w:bCs w:val="1"/>
                <w:color w:val="706F6F"/>
                <w:w w:val="93"/>
              </w:rPr>
              <w:t>(#)</w:t>
            </w:r>
          </w:p>
        </w:tc>
        <w:tc>
          <w:tcPr>
            <w:tcW w:w="1880" w:type="dxa"/>
            <w:vAlign w:val="bottom"/>
            <w:tcBorders>
              <w:bottom w:val="single" w:sz="8" w:color="006DB6"/>
            </w:tcBorders>
          </w:tcPr>
          <w:p>
            <w:pPr>
              <w:jc w:val="right"/>
              <w:ind w:right="112"/>
              <w:spacing w:after="0"/>
              <w:rPr>
                <w:sz w:val="20"/>
                <w:szCs w:val="20"/>
                <w:color w:val="auto"/>
              </w:rPr>
            </w:pPr>
            <w:r>
              <w:rPr>
                <w:rFonts w:ascii="Arial" w:cs="Arial" w:eastAsia="Arial" w:hAnsi="Arial"/>
                <w:sz w:val="14"/>
                <w:szCs w:val="14"/>
                <w:b w:val="1"/>
                <w:bCs w:val="1"/>
                <w:color w:val="706F6F"/>
              </w:rPr>
              <w:t>($)</w:t>
            </w:r>
          </w:p>
        </w:tc>
        <w:tc>
          <w:tcPr>
            <w:tcW w:w="1480" w:type="dxa"/>
            <w:vAlign w:val="bottom"/>
            <w:tcBorders>
              <w:bottom w:val="single" w:sz="8" w:color="006DB6"/>
            </w:tcBorders>
          </w:tcPr>
          <w:p>
            <w:pPr>
              <w:spacing w:after="0"/>
              <w:rPr>
                <w:sz w:val="17"/>
                <w:szCs w:val="17"/>
                <w:color w:val="auto"/>
              </w:rPr>
            </w:pPr>
          </w:p>
        </w:tc>
        <w:tc>
          <w:tcPr>
            <w:tcW w:w="460" w:type="dxa"/>
            <w:vAlign w:val="bottom"/>
            <w:tcBorders>
              <w:bottom w:val="single" w:sz="8" w:color="006DB6"/>
            </w:tcBorders>
          </w:tcPr>
          <w:p>
            <w:pPr>
              <w:jc w:val="right"/>
              <w:ind w:right="27"/>
              <w:spacing w:after="0"/>
              <w:rPr>
                <w:sz w:val="20"/>
                <w:szCs w:val="20"/>
                <w:color w:val="auto"/>
              </w:rPr>
            </w:pPr>
            <w:r>
              <w:rPr>
                <w:rFonts w:ascii="Arial" w:cs="Arial" w:eastAsia="Arial" w:hAnsi="Arial"/>
                <w:sz w:val="14"/>
                <w:szCs w:val="14"/>
                <w:b w:val="1"/>
                <w:bCs w:val="1"/>
                <w:color w:val="706F6F"/>
              </w:rPr>
              <w:t>(#)</w:t>
            </w:r>
          </w:p>
        </w:tc>
        <w:tc>
          <w:tcPr>
            <w:tcW w:w="740" w:type="dxa"/>
            <w:vAlign w:val="bottom"/>
            <w:tcBorders>
              <w:bottom w:val="single" w:sz="8" w:color="006DB6"/>
            </w:tcBorders>
          </w:tcPr>
          <w:p>
            <w:pPr>
              <w:spacing w:after="0"/>
              <w:rPr>
                <w:sz w:val="17"/>
                <w:szCs w:val="17"/>
                <w:color w:val="auto"/>
              </w:rPr>
            </w:pPr>
          </w:p>
        </w:tc>
        <w:tc>
          <w:tcPr>
            <w:tcW w:w="9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Vested ($)</w:t>
            </w:r>
          </w:p>
        </w:tc>
      </w:tr>
      <w:tr>
        <w:trPr>
          <w:trHeight w:val="225"/>
        </w:trPr>
        <w:tc>
          <w:tcPr>
            <w:tcW w:w="2300" w:type="dxa"/>
            <w:vAlign w:val="bottom"/>
          </w:tcPr>
          <w:p>
            <w:pPr>
              <w:ind w:left="20"/>
              <w:spacing w:after="0"/>
              <w:rPr>
                <w:sz w:val="20"/>
                <w:szCs w:val="20"/>
                <w:color w:val="auto"/>
              </w:rPr>
            </w:pPr>
            <w:r>
              <w:rPr>
                <w:rFonts w:ascii="Arial" w:cs="Arial" w:eastAsia="Arial" w:hAnsi="Arial"/>
                <w:sz w:val="15"/>
                <w:szCs w:val="15"/>
                <w:b w:val="1"/>
                <w:bCs w:val="1"/>
                <w:color w:val="006DB6"/>
              </w:rPr>
              <w:t>Bradley J. Dodson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116,190</w:t>
            </w:r>
          </w:p>
        </w:tc>
        <w:tc>
          <w:tcPr>
            <w:tcW w:w="1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357,883</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1,102,395</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50,150</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697,085</w:t>
            </w: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77,240</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(4)</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1,073,636</w:t>
            </w:r>
          </w:p>
        </w:tc>
      </w:tr>
      <w:tr>
        <w:trPr>
          <w:trHeight w:val="191"/>
        </w:trPr>
        <w:tc>
          <w:tcPr>
            <w:tcW w:w="2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5"/>
                <w:szCs w:val="15"/>
                <w:b w:val="1"/>
                <w:bCs w:val="1"/>
                <w:color w:val="006DB6"/>
              </w:rPr>
              <w:t>Carolyn J. Stone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23,408</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64,093</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223,776</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10,104</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140,446</w:t>
            </w: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13,834</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(4)</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192,293</w:t>
            </w:r>
          </w:p>
        </w:tc>
      </w:tr>
      <w:tr>
        <w:trPr>
          <w:trHeight w:val="191"/>
        </w:trPr>
        <w:tc>
          <w:tcPr>
            <w:tcW w:w="2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5"/>
                <w:szCs w:val="15"/>
                <w:b w:val="1"/>
                <w:bCs w:val="1"/>
                <w:color w:val="006DB6"/>
              </w:rPr>
              <w:t>Peter L. McCann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23,950</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57,296</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156,319</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10,336</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143,670</w:t>
            </w: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12,366</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(4)</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171,887</w:t>
            </w:r>
          </w:p>
        </w:tc>
      </w:tr>
      <w:tr>
        <w:trPr>
          <w:trHeight w:val="229"/>
        </w:trPr>
        <w:tc>
          <w:tcPr>
            <w:tcW w:w="2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27,744</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82,205</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235,244</w:t>
            </w: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8"/>
        </w:trPr>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97"/>
              </w:rPr>
              <w:t>11,976</w:t>
            </w:r>
          </w:p>
        </w:tc>
        <w:tc>
          <w:tcPr>
            <w:tcW w:w="46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166,466</w:t>
            </w:r>
          </w:p>
        </w:tc>
      </w:tr>
      <w:tr>
        <w:trPr>
          <w:trHeight w:val="192"/>
        </w:trPr>
        <w:tc>
          <w:tcPr>
            <w:tcW w:w="2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Pr>
          <w:p>
            <w:pPr>
              <w:jc w:val="center"/>
              <w:ind w:left="912"/>
              <w:spacing w:after="0"/>
              <w:rPr>
                <w:sz w:val="20"/>
                <w:szCs w:val="20"/>
                <w:color w:val="auto"/>
              </w:rPr>
            </w:pPr>
            <w:r>
              <w:rPr>
                <w:rFonts w:ascii="Arial" w:cs="Arial" w:eastAsia="Arial" w:hAnsi="Arial"/>
                <w:sz w:val="14"/>
                <w:szCs w:val="14"/>
                <w:color w:val="auto"/>
                <w:w w:val="97"/>
              </w:rPr>
              <w:t>17,742</w:t>
            </w:r>
          </w:p>
        </w:tc>
        <w:tc>
          <w:tcPr>
            <w:tcW w:w="460" w:type="dxa"/>
            <w:vAlign w:val="bottom"/>
          </w:tcPr>
          <w:p>
            <w:pPr>
              <w:jc w:val="right"/>
              <w:ind w:right="227"/>
              <w:spacing w:after="0"/>
              <w:rPr>
                <w:sz w:val="20"/>
                <w:szCs w:val="20"/>
                <w:color w:val="auto"/>
              </w:rPr>
            </w:pPr>
            <w:r>
              <w:rPr>
                <w:rFonts w:ascii="Arial" w:cs="Arial" w:eastAsia="Arial" w:hAnsi="Arial"/>
                <w:sz w:val="10"/>
                <w:szCs w:val="10"/>
                <w:color w:val="auto"/>
              </w:rPr>
              <w:t>(4)</w:t>
            </w:r>
          </w:p>
        </w:tc>
        <w:tc>
          <w:tcPr>
            <w:tcW w:w="740" w:type="dxa"/>
            <w:vAlign w:val="bottom"/>
          </w:tcPr>
          <w:p>
            <w:pPr>
              <w:ind w:left="3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246,614</w:t>
            </w:r>
          </w:p>
        </w:tc>
      </w:tr>
    </w:tbl>
    <w:p>
      <w:pPr>
        <w:spacing w:after="0" w:line="118" w:lineRule="exact"/>
        <w:rPr>
          <w:sz w:val="20"/>
          <w:szCs w:val="20"/>
          <w:color w:val="auto"/>
        </w:rPr>
      </w:pPr>
    </w:p>
    <w:p>
      <w:pPr>
        <w:ind w:left="240" w:right="80" w:hanging="237"/>
        <w:spacing w:after="0" w:line="236" w:lineRule="auto"/>
        <w:tabs>
          <w:tab w:leader="none" w:pos="243" w:val="left"/>
        </w:tabs>
        <w:numPr>
          <w:ilvl w:val="0"/>
          <w:numId w:val="47"/>
        </w:numPr>
        <w:rPr>
          <w:rFonts w:ascii="Arial" w:cs="Arial" w:eastAsia="Arial" w:hAnsi="Arial"/>
          <w:sz w:val="9"/>
          <w:szCs w:val="9"/>
          <w:color w:val="auto"/>
        </w:rPr>
      </w:pPr>
      <w:r>
        <w:rPr>
          <w:rFonts w:ascii="Arial" w:cs="Arial" w:eastAsia="Arial" w:hAnsi="Arial"/>
          <w:sz w:val="14"/>
          <w:szCs w:val="14"/>
          <w:color w:val="auto"/>
        </w:rPr>
        <w:t>Restricted share award, restricted share unit award or deferred share award of February 20, 2018 that vests at the rate of 33.33% per year, with vesting dates of February 20, 2019, February 20, 2020 and February 20, 2021.</w:t>
      </w:r>
    </w:p>
    <w:p>
      <w:pPr>
        <w:spacing w:after="0" w:line="93" w:lineRule="exact"/>
        <w:rPr>
          <w:rFonts w:ascii="Arial" w:cs="Arial" w:eastAsia="Arial" w:hAnsi="Arial"/>
          <w:sz w:val="9"/>
          <w:szCs w:val="9"/>
          <w:color w:val="auto"/>
        </w:rPr>
      </w:pPr>
    </w:p>
    <w:p>
      <w:pPr>
        <w:ind w:left="240" w:right="180" w:hanging="237"/>
        <w:spacing w:after="0" w:line="236" w:lineRule="auto"/>
        <w:tabs>
          <w:tab w:leader="none" w:pos="243" w:val="left"/>
        </w:tabs>
        <w:numPr>
          <w:ilvl w:val="0"/>
          <w:numId w:val="47"/>
        </w:numPr>
        <w:rPr>
          <w:rFonts w:ascii="Arial" w:cs="Arial" w:eastAsia="Arial" w:hAnsi="Arial"/>
          <w:sz w:val="9"/>
          <w:szCs w:val="9"/>
          <w:color w:val="auto"/>
        </w:rPr>
      </w:pPr>
      <w:r>
        <w:rPr>
          <w:rFonts w:ascii="Arial" w:cs="Arial" w:eastAsia="Arial" w:hAnsi="Arial"/>
          <w:sz w:val="14"/>
          <w:szCs w:val="14"/>
          <w:color w:val="auto"/>
        </w:rPr>
        <w:t>Performance share award of February 20, 2018 that vests on February 20, 2021, which is reported assuming maximum level achievement of the relative TSR performance metric. The maximum level was used as the previous fiscal year’s performance exceeded the target level, thus requiring disclosure of the maximum level.</w:t>
      </w:r>
    </w:p>
    <w:p>
      <w:pPr>
        <w:spacing w:after="0" w:line="24" w:lineRule="exact"/>
        <w:rPr>
          <w:rFonts w:ascii="Arial" w:cs="Arial" w:eastAsia="Arial" w:hAnsi="Arial"/>
          <w:sz w:val="9"/>
          <w:szCs w:val="9"/>
          <w:color w:val="auto"/>
        </w:rPr>
      </w:pPr>
    </w:p>
    <w:p>
      <w:pPr>
        <w:ind w:left="260" w:hanging="257"/>
        <w:spacing w:after="0"/>
        <w:tabs>
          <w:tab w:leader="none" w:pos="2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Phantom share units award of February 25, 2019 that vests at the rate of 33.33% per year, with vesting dates of February 25, 2020, February 25, 2021 and February 25, 2022.</w:t>
      </w:r>
    </w:p>
    <w:p>
      <w:pPr>
        <w:spacing w:after="0" w:line="54" w:lineRule="exact"/>
        <w:rPr>
          <w:rFonts w:ascii="Arial" w:cs="Arial" w:eastAsia="Arial" w:hAnsi="Arial"/>
          <w:sz w:val="18"/>
          <w:szCs w:val="18"/>
          <w:color w:val="auto"/>
          <w:vertAlign w:val="superscript"/>
        </w:rPr>
      </w:pPr>
    </w:p>
    <w:p>
      <w:pPr>
        <w:ind w:left="240" w:right="180" w:hanging="237"/>
        <w:spacing w:after="0" w:line="207" w:lineRule="auto"/>
        <w:tabs>
          <w:tab w:leader="none" w:pos="24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Performance share award of February 25, 2019 that vests on February 25, 2022, which is reported assuming maximum level achievement of the relative TSR performance metric. The maximum level was used as the previous fiscal year’s performance exceeded the target level, thus requiring disclosure of the maximum level.</w:t>
      </w:r>
    </w:p>
    <w:p>
      <w:pPr>
        <w:spacing w:after="0" w:line="92"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47"/>
        </w:numPr>
        <w:rPr>
          <w:rFonts w:ascii="Arial" w:cs="Arial" w:eastAsia="Arial" w:hAnsi="Arial"/>
          <w:sz w:val="10"/>
          <w:szCs w:val="10"/>
          <w:color w:val="auto"/>
        </w:rPr>
      </w:pPr>
      <w:r>
        <w:rPr>
          <w:rFonts w:ascii="Arial" w:cs="Arial" w:eastAsia="Arial" w:hAnsi="Arial"/>
          <w:sz w:val="14"/>
          <w:szCs w:val="14"/>
          <w:color w:val="auto"/>
        </w:rPr>
        <w:t>Phantom share units award of February 25, 2020 that vests at the rate of 33.33% per year, with vesting dates of February 25, 2021, February 25, 2022 and February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147320</wp:posOffset>
            </wp:positionV>
            <wp:extent cx="374650" cy="1873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200"/>
          </w:cols>
          <w:pgMar w:left="320" w:top="123"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Options Exercised and Shares Vested</w:t>
      </w:r>
    </w:p>
    <w:p>
      <w:pPr>
        <w:spacing w:after="0" w:line="152"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The following table provides information for our named executive officers for the period from January 1, 2020 to December 31, 2020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Pr>
          <w:p>
            <w:pPr>
              <w:spacing w:after="0"/>
              <w:rPr>
                <w:sz w:val="17"/>
                <w:szCs w:val="17"/>
                <w:color w:val="auto"/>
              </w:rPr>
            </w:pPr>
          </w:p>
        </w:tc>
        <w:tc>
          <w:tcPr>
            <w:tcW w:w="3340" w:type="dxa"/>
            <w:vAlign w:val="bottom"/>
            <w:tcBorders>
              <w:bottom w:val="single" w:sz="8" w:color="006DB6"/>
            </w:tcBorders>
            <w:gridSpan w:val="2"/>
          </w:tcPr>
          <w:p>
            <w:pPr>
              <w:jc w:val="right"/>
              <w:ind w:right="992"/>
              <w:spacing w:after="0"/>
              <w:rPr>
                <w:sz w:val="20"/>
                <w:szCs w:val="20"/>
                <w:color w:val="auto"/>
              </w:rPr>
            </w:pPr>
            <w:r>
              <w:rPr>
                <w:rFonts w:ascii="Arial" w:cs="Arial" w:eastAsia="Arial" w:hAnsi="Arial"/>
                <w:sz w:val="14"/>
                <w:szCs w:val="14"/>
                <w:b w:val="1"/>
                <w:bCs w:val="1"/>
                <w:color w:val="706F6F"/>
              </w:rPr>
              <w:t>Option Awards</w:t>
            </w:r>
          </w:p>
        </w:tc>
        <w:tc>
          <w:tcPr>
            <w:tcW w:w="260" w:type="dxa"/>
            <w:vAlign w:val="bottom"/>
            <w:tcBorders>
              <w:bottom w:val="single" w:sz="8" w:color="006DB6"/>
            </w:tcBorders>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006DB6"/>
            </w:tcBorders>
            <w:gridSpan w:val="2"/>
          </w:tcPr>
          <w:p>
            <w:pPr>
              <w:ind w:left="1280"/>
              <w:spacing w:after="0"/>
              <w:rPr>
                <w:sz w:val="20"/>
                <w:szCs w:val="20"/>
                <w:color w:val="auto"/>
              </w:rPr>
            </w:pPr>
            <w:r>
              <w:rPr>
                <w:rFonts w:ascii="Arial" w:cs="Arial" w:eastAsia="Arial" w:hAnsi="Arial"/>
                <w:sz w:val="14"/>
                <w:szCs w:val="14"/>
                <w:b w:val="1"/>
                <w:bCs w:val="1"/>
                <w:color w:val="706F6F"/>
              </w:rPr>
              <w:t>Stock Awards</w:t>
            </w:r>
          </w:p>
        </w:tc>
        <w:tc>
          <w:tcPr>
            <w:tcW w:w="1040" w:type="dxa"/>
            <w:vAlign w:val="bottom"/>
            <w:tcBorders>
              <w:bottom w:val="single" w:sz="8" w:color="006DB6"/>
            </w:tcBorders>
          </w:tcPr>
          <w:p>
            <w:pPr>
              <w:spacing w:after="0"/>
              <w:rPr>
                <w:sz w:val="17"/>
                <w:szCs w:val="17"/>
                <w:color w:val="auto"/>
              </w:rPr>
            </w:pPr>
          </w:p>
        </w:tc>
      </w:tr>
      <w:tr>
        <w:trPr>
          <w:trHeight w:val="168"/>
        </w:trPr>
        <w:tc>
          <w:tcPr>
            <w:tcW w:w="3920" w:type="dxa"/>
            <w:vAlign w:val="bottom"/>
          </w:tcPr>
          <w:p>
            <w:pPr>
              <w:spacing w:after="0"/>
              <w:rPr>
                <w:sz w:val="14"/>
                <w:szCs w:val="14"/>
                <w:color w:val="auto"/>
              </w:rPr>
            </w:pPr>
          </w:p>
        </w:tc>
        <w:tc>
          <w:tcPr>
            <w:tcW w:w="2020" w:type="dxa"/>
            <w:vAlign w:val="bottom"/>
          </w:tcPr>
          <w:p>
            <w:pPr>
              <w:jc w:val="right"/>
              <w:ind w:right="152"/>
              <w:spacing w:after="0"/>
              <w:rPr>
                <w:sz w:val="20"/>
                <w:szCs w:val="20"/>
                <w:color w:val="auto"/>
              </w:rPr>
            </w:pPr>
            <w:r>
              <w:rPr>
                <w:rFonts w:ascii="Arial" w:cs="Arial" w:eastAsia="Arial" w:hAnsi="Arial"/>
                <w:sz w:val="14"/>
                <w:szCs w:val="14"/>
                <w:b w:val="1"/>
                <w:bCs w:val="1"/>
                <w:color w:val="706F6F"/>
              </w:rPr>
              <w:t>Number of Shares</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706F6F"/>
              </w:rPr>
              <w:t>Pre-tax Value</w:t>
            </w:r>
          </w:p>
        </w:tc>
        <w:tc>
          <w:tcPr>
            <w:tcW w:w="1980" w:type="dxa"/>
            <w:vAlign w:val="bottom"/>
          </w:tcPr>
          <w:p>
            <w:pPr>
              <w:jc w:val="right"/>
              <w:ind w:right="132"/>
              <w:spacing w:after="0"/>
              <w:rPr>
                <w:sz w:val="20"/>
                <w:szCs w:val="20"/>
                <w:color w:val="auto"/>
              </w:rPr>
            </w:pPr>
            <w:r>
              <w:rPr>
                <w:rFonts w:ascii="Arial" w:cs="Arial" w:eastAsia="Arial" w:hAnsi="Arial"/>
                <w:sz w:val="14"/>
                <w:szCs w:val="14"/>
                <w:b w:val="1"/>
                <w:bCs w:val="1"/>
                <w:color w:val="706F6F"/>
              </w:rPr>
              <w:t>Number of Shares</w:t>
            </w: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706F6F"/>
              </w:rPr>
              <w:t>Pre-tax Value</w:t>
            </w:r>
          </w:p>
        </w:tc>
      </w:tr>
      <w:tr>
        <w:trPr>
          <w:trHeight w:val="154"/>
        </w:trPr>
        <w:tc>
          <w:tcPr>
            <w:tcW w:w="3920" w:type="dxa"/>
            <w:vAlign w:val="bottom"/>
          </w:tcPr>
          <w:p>
            <w:pPr>
              <w:spacing w:after="0"/>
              <w:rPr>
                <w:sz w:val="13"/>
                <w:szCs w:val="13"/>
                <w:color w:val="auto"/>
              </w:rPr>
            </w:pPr>
          </w:p>
        </w:tc>
        <w:tc>
          <w:tcPr>
            <w:tcW w:w="2020" w:type="dxa"/>
            <w:vAlign w:val="bottom"/>
          </w:tcPr>
          <w:p>
            <w:pPr>
              <w:jc w:val="right"/>
              <w:ind w:right="152"/>
              <w:spacing w:after="0" w:line="154" w:lineRule="exact"/>
              <w:rPr>
                <w:sz w:val="20"/>
                <w:szCs w:val="20"/>
                <w:color w:val="auto"/>
              </w:rPr>
            </w:pPr>
            <w:r>
              <w:rPr>
                <w:rFonts w:ascii="Arial" w:cs="Arial" w:eastAsia="Arial" w:hAnsi="Arial"/>
                <w:sz w:val="14"/>
                <w:szCs w:val="14"/>
                <w:b w:val="1"/>
                <w:bCs w:val="1"/>
                <w:color w:val="706F6F"/>
              </w:rPr>
              <w:t>Acquired on Exercise</w:t>
            </w:r>
          </w:p>
        </w:tc>
        <w:tc>
          <w:tcPr>
            <w:tcW w:w="1800" w:type="dxa"/>
            <w:vAlign w:val="bottom"/>
            <w:gridSpan w:val="3"/>
          </w:tcPr>
          <w:p>
            <w:pPr>
              <w:jc w:val="right"/>
              <w:ind w:right="220"/>
              <w:spacing w:after="0" w:line="154" w:lineRule="exact"/>
              <w:rPr>
                <w:sz w:val="20"/>
                <w:szCs w:val="20"/>
                <w:color w:val="auto"/>
              </w:rPr>
            </w:pPr>
            <w:r>
              <w:rPr>
                <w:rFonts w:ascii="Arial" w:cs="Arial" w:eastAsia="Arial" w:hAnsi="Arial"/>
                <w:sz w:val="14"/>
                <w:szCs w:val="14"/>
                <w:b w:val="1"/>
                <w:bCs w:val="1"/>
                <w:color w:val="706F6F"/>
              </w:rPr>
              <w:t>Realized on Exercise</w:t>
            </w:r>
          </w:p>
        </w:tc>
        <w:tc>
          <w:tcPr>
            <w:tcW w:w="1980" w:type="dxa"/>
            <w:vAlign w:val="bottom"/>
          </w:tcPr>
          <w:p>
            <w:pPr>
              <w:jc w:val="right"/>
              <w:ind w:right="132"/>
              <w:spacing w:after="0" w:line="154" w:lineRule="exact"/>
              <w:rPr>
                <w:sz w:val="20"/>
                <w:szCs w:val="20"/>
                <w:color w:val="auto"/>
              </w:rPr>
            </w:pPr>
            <w:r>
              <w:rPr>
                <w:rFonts w:ascii="Arial" w:cs="Arial" w:eastAsia="Arial" w:hAnsi="Arial"/>
                <w:sz w:val="14"/>
                <w:szCs w:val="14"/>
                <w:b w:val="1"/>
                <w:bCs w:val="1"/>
                <w:color w:val="706F6F"/>
              </w:rPr>
              <w:t>Acquired on Vesting</w:t>
            </w:r>
          </w:p>
        </w:tc>
        <w:tc>
          <w:tcPr>
            <w:tcW w:w="150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706F6F"/>
              </w:rPr>
              <w:t>Realized on Vesting</w:t>
            </w:r>
          </w:p>
        </w:tc>
      </w:tr>
      <w:tr>
        <w:trPr>
          <w:trHeight w:val="197"/>
        </w:trPr>
        <w:tc>
          <w:tcPr>
            <w:tcW w:w="39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2020" w:type="dxa"/>
            <w:vAlign w:val="bottom"/>
            <w:tcBorders>
              <w:bottom w:val="single" w:sz="8" w:color="006DB6"/>
            </w:tcBorders>
          </w:tcPr>
          <w:p>
            <w:pPr>
              <w:jc w:val="right"/>
              <w:ind w:right="152"/>
              <w:spacing w:after="0"/>
              <w:rPr>
                <w:sz w:val="20"/>
                <w:szCs w:val="20"/>
                <w:color w:val="auto"/>
              </w:rPr>
            </w:pPr>
            <w:r>
              <w:rPr>
                <w:rFonts w:ascii="Arial" w:cs="Arial" w:eastAsia="Arial" w:hAnsi="Arial"/>
                <w:sz w:val="14"/>
                <w:szCs w:val="14"/>
                <w:b w:val="1"/>
                <w:bCs w:val="1"/>
                <w:color w:val="706F6F"/>
              </w:rPr>
              <w:t>(#)</w:t>
            </w:r>
          </w:p>
        </w:tc>
        <w:tc>
          <w:tcPr>
            <w:tcW w:w="1320" w:type="dxa"/>
            <w:vAlign w:val="bottom"/>
            <w:tcBorders>
              <w:bottom w:val="single" w:sz="8" w:color="006DB6"/>
            </w:tcBorders>
          </w:tcPr>
          <w:p>
            <w:pPr>
              <w:spacing w:after="0"/>
              <w:rPr>
                <w:sz w:val="17"/>
                <w:szCs w:val="17"/>
                <w:color w:val="auto"/>
              </w:rPr>
            </w:pPr>
          </w:p>
        </w:tc>
        <w:tc>
          <w:tcPr>
            <w:tcW w:w="2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220" w:type="dxa"/>
            <w:vAlign w:val="bottom"/>
            <w:tcBorders>
              <w:bottom w:val="single" w:sz="8" w:color="006DB6"/>
            </w:tcBorders>
          </w:tcPr>
          <w:p>
            <w:pPr>
              <w:spacing w:after="0"/>
              <w:rPr>
                <w:sz w:val="17"/>
                <w:szCs w:val="17"/>
                <w:color w:val="auto"/>
              </w:rPr>
            </w:pPr>
          </w:p>
        </w:tc>
        <w:tc>
          <w:tcPr>
            <w:tcW w:w="1980" w:type="dxa"/>
            <w:vAlign w:val="bottom"/>
            <w:tcBorders>
              <w:bottom w:val="single" w:sz="8" w:color="006DB6"/>
            </w:tcBorders>
          </w:tcPr>
          <w:p>
            <w:pPr>
              <w:jc w:val="right"/>
              <w:ind w:right="132"/>
              <w:spacing w:after="0"/>
              <w:rPr>
                <w:sz w:val="20"/>
                <w:szCs w:val="20"/>
                <w:color w:val="auto"/>
              </w:rPr>
            </w:pPr>
            <w:r>
              <w:rPr>
                <w:rFonts w:ascii="Arial" w:cs="Arial" w:eastAsia="Arial" w:hAnsi="Arial"/>
                <w:sz w:val="14"/>
                <w:szCs w:val="14"/>
                <w:b w:val="1"/>
                <w:bCs w:val="1"/>
                <w:color w:val="706F6F"/>
              </w:rPr>
              <w:t>(#)</w:t>
            </w:r>
          </w:p>
        </w:tc>
        <w:tc>
          <w:tcPr>
            <w:tcW w:w="460" w:type="dxa"/>
            <w:vAlign w:val="bottom"/>
            <w:tcBorders>
              <w:bottom w:val="single" w:sz="8" w:color="006DB6"/>
            </w:tcBorders>
          </w:tcPr>
          <w:p>
            <w:pPr>
              <w:spacing w:after="0"/>
              <w:rPr>
                <w:sz w:val="17"/>
                <w:szCs w:val="17"/>
                <w:color w:val="auto"/>
              </w:rPr>
            </w:pPr>
          </w:p>
        </w:tc>
        <w:tc>
          <w:tcPr>
            <w:tcW w:w="10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r>
      <w:tr>
        <w:trPr>
          <w:trHeight w:val="22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2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63,207</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1,075,686</w:t>
            </w:r>
          </w:p>
        </w:tc>
      </w:tr>
      <w:tr>
        <w:trPr>
          <w:trHeight w:val="22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2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14,741</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251,808</w:t>
            </w:r>
          </w:p>
        </w:tc>
      </w:tr>
      <w:tr>
        <w:trPr>
          <w:trHeight w:val="22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2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14,490</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247,833</w:t>
            </w:r>
          </w:p>
        </w:tc>
      </w:tr>
      <w:tr>
        <w:trPr>
          <w:trHeight w:val="218"/>
        </w:trPr>
        <w:tc>
          <w:tcPr>
            <w:tcW w:w="3920" w:type="dxa"/>
            <w:vAlign w:val="bottom"/>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20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tcPr>
          <w:p>
            <w:pPr>
              <w:ind w:left="1300"/>
              <w:spacing w:after="0"/>
              <w:rPr>
                <w:sz w:val="20"/>
                <w:szCs w:val="20"/>
                <w:color w:val="auto"/>
              </w:rPr>
            </w:pPr>
            <w:r>
              <w:rPr>
                <w:rFonts w:ascii="Arial" w:cs="Arial" w:eastAsia="Arial" w:hAnsi="Arial"/>
                <w:sz w:val="14"/>
                <w:szCs w:val="14"/>
                <w:color w:val="auto"/>
              </w:rPr>
              <w:t>15,865</w:t>
            </w:r>
          </w:p>
        </w:tc>
        <w:tc>
          <w:tcPr>
            <w:tcW w:w="4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270,368</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Non-Qualified Deferred Compensation</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Civeo maintains a non-qualified style of plan in Canada in which Mr. Schoening is a participant. The investment alternatives available under the Canadian non-qualified deferred compensation plan during 2020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spacing w:after="0" w:line="87"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Detailed below is 2020 activity in the Canadian non-qualified Deferred Compensation Plan for Mr. Schoening. All amounts listed below for Mr. Schoening have been converted to U.S. dollars an exchange rate of $0.7463. Messrs. Dodson and McCann and Ms. Stone did not participate in this plan or any other non-qualified deferred compensation plan during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right"/>
              <w:ind w:right="209"/>
              <w:spacing w:after="0"/>
              <w:rPr>
                <w:sz w:val="20"/>
                <w:szCs w:val="20"/>
                <w:color w:val="auto"/>
              </w:rPr>
            </w:pPr>
            <w:r>
              <w:rPr>
                <w:rFonts w:ascii="Arial" w:cs="Arial" w:eastAsia="Arial" w:hAnsi="Arial"/>
                <w:sz w:val="14"/>
                <w:szCs w:val="14"/>
                <w:b w:val="1"/>
                <w:bCs w:val="1"/>
                <w:color w:val="706F6F"/>
              </w:rPr>
              <w:t>Executive</w:t>
            </w:r>
          </w:p>
        </w:tc>
        <w:tc>
          <w:tcPr>
            <w:tcW w:w="580" w:type="dxa"/>
            <w:vAlign w:val="bottom"/>
          </w:tcPr>
          <w:p>
            <w:pPr>
              <w:spacing w:after="0"/>
              <w:rPr>
                <w:sz w:val="14"/>
                <w:szCs w:val="14"/>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706F6F"/>
              </w:rPr>
              <w:t>Registrant</w:t>
            </w:r>
          </w:p>
        </w:tc>
        <w:tc>
          <w:tcPr>
            <w:tcW w:w="18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706F6F"/>
              </w:rPr>
              <w:t>Aggregate Earnings</w:t>
            </w:r>
          </w:p>
        </w:tc>
        <w:tc>
          <w:tcPr>
            <w:tcW w:w="1460" w:type="dxa"/>
            <w:vAlign w:val="bottom"/>
          </w:tcPr>
          <w:p>
            <w:pPr>
              <w:jc w:val="right"/>
              <w:ind w:right="230"/>
              <w:spacing w:after="0"/>
              <w:rPr>
                <w:sz w:val="20"/>
                <w:szCs w:val="20"/>
                <w:color w:val="auto"/>
              </w:rPr>
            </w:pPr>
            <w:r>
              <w:rPr>
                <w:rFonts w:ascii="Arial" w:cs="Arial" w:eastAsia="Arial" w:hAnsi="Arial"/>
                <w:sz w:val="14"/>
                <w:szCs w:val="14"/>
                <w:b w:val="1"/>
                <w:bCs w:val="1"/>
                <w:color w:val="706F6F"/>
              </w:rPr>
              <w:t>Aggregate</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Aggregate Balance</w:t>
            </w:r>
          </w:p>
        </w:tc>
      </w:tr>
      <w:tr>
        <w:trPr>
          <w:trHeight w:val="154"/>
        </w:trPr>
        <w:tc>
          <w:tcPr>
            <w:tcW w:w="2320" w:type="dxa"/>
            <w:vAlign w:val="bottom"/>
          </w:tcPr>
          <w:p>
            <w:pPr>
              <w:spacing w:after="0"/>
              <w:rPr>
                <w:sz w:val="13"/>
                <w:szCs w:val="13"/>
                <w:color w:val="auto"/>
              </w:rPr>
            </w:pPr>
          </w:p>
        </w:tc>
        <w:tc>
          <w:tcPr>
            <w:tcW w:w="2220" w:type="dxa"/>
            <w:vAlign w:val="bottom"/>
            <w:gridSpan w:val="2"/>
          </w:tcPr>
          <w:p>
            <w:pPr>
              <w:jc w:val="right"/>
              <w:ind w:right="209"/>
              <w:spacing w:after="0" w:line="154" w:lineRule="exact"/>
              <w:rPr>
                <w:sz w:val="20"/>
                <w:szCs w:val="20"/>
                <w:color w:val="auto"/>
              </w:rPr>
            </w:pPr>
            <w:r>
              <w:rPr>
                <w:rFonts w:ascii="Arial" w:cs="Arial" w:eastAsia="Arial" w:hAnsi="Arial"/>
                <w:sz w:val="14"/>
                <w:szCs w:val="14"/>
                <w:b w:val="1"/>
                <w:bCs w:val="1"/>
                <w:color w:val="706F6F"/>
              </w:rPr>
              <w:t>Contributions in</w:t>
            </w:r>
          </w:p>
        </w:tc>
        <w:tc>
          <w:tcPr>
            <w:tcW w:w="1560" w:type="dxa"/>
            <w:vAlign w:val="bottom"/>
            <w:gridSpan w:val="2"/>
          </w:tcPr>
          <w:p>
            <w:pPr>
              <w:jc w:val="right"/>
              <w:ind w:right="169"/>
              <w:spacing w:after="0" w:line="154" w:lineRule="exact"/>
              <w:rPr>
                <w:sz w:val="20"/>
                <w:szCs w:val="20"/>
                <w:color w:val="auto"/>
              </w:rPr>
            </w:pPr>
            <w:r>
              <w:rPr>
                <w:rFonts w:ascii="Arial" w:cs="Arial" w:eastAsia="Arial" w:hAnsi="Arial"/>
                <w:sz w:val="14"/>
                <w:szCs w:val="14"/>
                <w:b w:val="1"/>
                <w:bCs w:val="1"/>
                <w:color w:val="706F6F"/>
              </w:rPr>
              <w:t>Contribution in</w:t>
            </w:r>
          </w:p>
        </w:tc>
        <w:tc>
          <w:tcPr>
            <w:tcW w:w="600" w:type="dxa"/>
            <w:vAlign w:val="bottom"/>
          </w:tcPr>
          <w:p>
            <w:pPr>
              <w:spacing w:after="0"/>
              <w:rPr>
                <w:sz w:val="13"/>
                <w:szCs w:val="13"/>
                <w:color w:val="auto"/>
              </w:rPr>
            </w:pPr>
          </w:p>
        </w:tc>
        <w:tc>
          <w:tcPr>
            <w:tcW w:w="1260" w:type="dxa"/>
            <w:vAlign w:val="bottom"/>
          </w:tcPr>
          <w:p>
            <w:pPr>
              <w:jc w:val="right"/>
              <w:ind w:right="250"/>
              <w:spacing w:after="0" w:line="154" w:lineRule="exact"/>
              <w:rPr>
                <w:sz w:val="20"/>
                <w:szCs w:val="20"/>
                <w:color w:val="auto"/>
              </w:rPr>
            </w:pPr>
            <w:r>
              <w:rPr>
                <w:rFonts w:ascii="Arial" w:cs="Arial" w:eastAsia="Arial" w:hAnsi="Arial"/>
                <w:sz w:val="14"/>
                <w:szCs w:val="14"/>
                <w:b w:val="1"/>
                <w:bCs w:val="1"/>
                <w:color w:val="706F6F"/>
              </w:rPr>
              <w:t>(Loss) in Last</w:t>
            </w:r>
          </w:p>
        </w:tc>
        <w:tc>
          <w:tcPr>
            <w:tcW w:w="1460" w:type="dxa"/>
            <w:vAlign w:val="bottom"/>
          </w:tcPr>
          <w:p>
            <w:pPr>
              <w:jc w:val="right"/>
              <w:ind w:right="230"/>
              <w:spacing w:after="0" w:line="154" w:lineRule="exact"/>
              <w:rPr>
                <w:sz w:val="20"/>
                <w:szCs w:val="20"/>
                <w:color w:val="auto"/>
              </w:rPr>
            </w:pPr>
            <w:r>
              <w:rPr>
                <w:rFonts w:ascii="Arial" w:cs="Arial" w:eastAsia="Arial" w:hAnsi="Arial"/>
                <w:sz w:val="14"/>
                <w:szCs w:val="14"/>
                <w:b w:val="1"/>
                <w:bCs w:val="1"/>
                <w:color w:val="706F6F"/>
              </w:rPr>
              <w:t>Withdrawals/</w:t>
            </w:r>
          </w:p>
        </w:tc>
        <w:tc>
          <w:tcPr>
            <w:tcW w:w="560" w:type="dxa"/>
            <w:vAlign w:val="bottom"/>
          </w:tcPr>
          <w:p>
            <w:pPr>
              <w:spacing w:after="0"/>
              <w:rPr>
                <w:sz w:val="13"/>
                <w:szCs w:val="13"/>
                <w:color w:val="auto"/>
              </w:rPr>
            </w:pPr>
          </w:p>
        </w:tc>
        <w:tc>
          <w:tcPr>
            <w:tcW w:w="98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At Last Fiscal</w:t>
            </w:r>
          </w:p>
        </w:tc>
      </w:tr>
      <w:tr>
        <w:trPr>
          <w:trHeight w:val="154"/>
        </w:trPr>
        <w:tc>
          <w:tcPr>
            <w:tcW w:w="2320" w:type="dxa"/>
            <w:vAlign w:val="bottom"/>
          </w:tcPr>
          <w:p>
            <w:pPr>
              <w:spacing w:after="0"/>
              <w:rPr>
                <w:sz w:val="13"/>
                <w:szCs w:val="13"/>
                <w:color w:val="auto"/>
              </w:rPr>
            </w:pPr>
          </w:p>
        </w:tc>
        <w:tc>
          <w:tcPr>
            <w:tcW w:w="2220" w:type="dxa"/>
            <w:vAlign w:val="bottom"/>
            <w:gridSpan w:val="2"/>
          </w:tcPr>
          <w:p>
            <w:pPr>
              <w:jc w:val="right"/>
              <w:ind w:right="209"/>
              <w:spacing w:after="0" w:line="154" w:lineRule="exact"/>
              <w:rPr>
                <w:sz w:val="20"/>
                <w:szCs w:val="20"/>
                <w:color w:val="auto"/>
              </w:rPr>
            </w:pPr>
            <w:r>
              <w:rPr>
                <w:rFonts w:ascii="Arial" w:cs="Arial" w:eastAsia="Arial" w:hAnsi="Arial"/>
                <w:sz w:val="14"/>
                <w:szCs w:val="14"/>
                <w:b w:val="1"/>
                <w:bCs w:val="1"/>
                <w:color w:val="706F6F"/>
              </w:rPr>
              <w:t>Last Fiscal Year</w:t>
            </w:r>
          </w:p>
        </w:tc>
        <w:tc>
          <w:tcPr>
            <w:tcW w:w="1560" w:type="dxa"/>
            <w:vAlign w:val="bottom"/>
            <w:gridSpan w:val="2"/>
          </w:tcPr>
          <w:p>
            <w:pPr>
              <w:jc w:val="right"/>
              <w:ind w:right="169"/>
              <w:spacing w:after="0" w:line="154" w:lineRule="exact"/>
              <w:rPr>
                <w:sz w:val="20"/>
                <w:szCs w:val="20"/>
                <w:color w:val="auto"/>
              </w:rPr>
            </w:pPr>
            <w:r>
              <w:rPr>
                <w:rFonts w:ascii="Arial" w:cs="Arial" w:eastAsia="Arial" w:hAnsi="Arial"/>
                <w:sz w:val="14"/>
                <w:szCs w:val="14"/>
                <w:b w:val="1"/>
                <w:bCs w:val="1"/>
                <w:color w:val="706F6F"/>
              </w:rPr>
              <w:t>Last Fiscal Year</w:t>
            </w:r>
          </w:p>
        </w:tc>
        <w:tc>
          <w:tcPr>
            <w:tcW w:w="600" w:type="dxa"/>
            <w:vAlign w:val="bottom"/>
          </w:tcPr>
          <w:p>
            <w:pPr>
              <w:spacing w:after="0"/>
              <w:rPr>
                <w:sz w:val="13"/>
                <w:szCs w:val="13"/>
                <w:color w:val="auto"/>
              </w:rPr>
            </w:pPr>
          </w:p>
        </w:tc>
        <w:tc>
          <w:tcPr>
            <w:tcW w:w="1260" w:type="dxa"/>
            <w:vAlign w:val="bottom"/>
          </w:tcPr>
          <w:p>
            <w:pPr>
              <w:jc w:val="right"/>
              <w:ind w:right="250"/>
              <w:spacing w:after="0" w:line="154" w:lineRule="exact"/>
              <w:rPr>
                <w:sz w:val="20"/>
                <w:szCs w:val="20"/>
                <w:color w:val="auto"/>
              </w:rPr>
            </w:pPr>
            <w:r>
              <w:rPr>
                <w:rFonts w:ascii="Arial" w:cs="Arial" w:eastAsia="Arial" w:hAnsi="Arial"/>
                <w:sz w:val="14"/>
                <w:szCs w:val="14"/>
                <w:b w:val="1"/>
                <w:bCs w:val="1"/>
                <w:color w:val="706F6F"/>
              </w:rPr>
              <w:t>Fiscal Year</w:t>
            </w:r>
          </w:p>
        </w:tc>
        <w:tc>
          <w:tcPr>
            <w:tcW w:w="1460" w:type="dxa"/>
            <w:vAlign w:val="bottom"/>
          </w:tcPr>
          <w:p>
            <w:pPr>
              <w:jc w:val="right"/>
              <w:ind w:right="230"/>
              <w:spacing w:after="0" w:line="154" w:lineRule="exact"/>
              <w:rPr>
                <w:sz w:val="20"/>
                <w:szCs w:val="20"/>
                <w:color w:val="auto"/>
              </w:rPr>
            </w:pPr>
            <w:r>
              <w:rPr>
                <w:rFonts w:ascii="Arial" w:cs="Arial" w:eastAsia="Arial" w:hAnsi="Arial"/>
                <w:sz w:val="14"/>
                <w:szCs w:val="14"/>
                <w:b w:val="1"/>
                <w:bCs w:val="1"/>
                <w:color w:val="706F6F"/>
              </w:rPr>
              <w:t>Distributions</w:t>
            </w:r>
          </w:p>
        </w:tc>
        <w:tc>
          <w:tcPr>
            <w:tcW w:w="560" w:type="dxa"/>
            <w:vAlign w:val="bottom"/>
          </w:tcPr>
          <w:p>
            <w:pPr>
              <w:spacing w:after="0"/>
              <w:rPr>
                <w:sz w:val="13"/>
                <w:szCs w:val="13"/>
                <w:color w:val="auto"/>
              </w:rPr>
            </w:pPr>
          </w:p>
        </w:tc>
        <w:tc>
          <w:tcPr>
            <w:tcW w:w="980" w:type="dxa"/>
            <w:vAlign w:val="bottom"/>
          </w:tcPr>
          <w:p>
            <w:pPr>
              <w:jc w:val="right"/>
              <w:spacing w:after="0" w:line="154" w:lineRule="exact"/>
              <w:rPr>
                <w:sz w:val="20"/>
                <w:szCs w:val="20"/>
                <w:color w:val="auto"/>
              </w:rPr>
            </w:pPr>
            <w:r>
              <w:rPr>
                <w:rFonts w:ascii="Arial" w:cs="Arial" w:eastAsia="Arial" w:hAnsi="Arial"/>
                <w:sz w:val="14"/>
                <w:szCs w:val="14"/>
                <w:b w:val="1"/>
                <w:bCs w:val="1"/>
                <w:color w:val="706F6F"/>
              </w:rPr>
              <w:t>Year End</w:t>
            </w:r>
          </w:p>
        </w:tc>
      </w:tr>
      <w:tr>
        <w:trPr>
          <w:trHeight w:val="197"/>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24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jc w:val="right"/>
              <w:ind w:right="209"/>
              <w:spacing w:after="0" w:line="19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(1)</w:t>
            </w:r>
          </w:p>
        </w:tc>
        <w:tc>
          <w:tcPr>
            <w:tcW w:w="58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jc w:val="right"/>
              <w:ind w:right="169"/>
              <w:spacing w:after="0" w:line="19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(2)</w:t>
            </w:r>
          </w:p>
        </w:tc>
        <w:tc>
          <w:tcPr>
            <w:tcW w:w="600" w:type="dxa"/>
            <w:vAlign w:val="bottom"/>
            <w:tcBorders>
              <w:bottom w:val="single" w:sz="8" w:color="006DB6"/>
            </w:tcBorders>
          </w:tcPr>
          <w:p>
            <w:pPr>
              <w:spacing w:after="0"/>
              <w:rPr>
                <w:sz w:val="17"/>
                <w:szCs w:val="17"/>
                <w:color w:val="auto"/>
              </w:rPr>
            </w:pPr>
          </w:p>
        </w:tc>
        <w:tc>
          <w:tcPr>
            <w:tcW w:w="1260" w:type="dxa"/>
            <w:vAlign w:val="bottom"/>
            <w:tcBorders>
              <w:bottom w:val="single" w:sz="8" w:color="006DB6"/>
            </w:tcBorders>
          </w:tcPr>
          <w:p>
            <w:pPr>
              <w:jc w:val="right"/>
              <w:ind w:right="250"/>
              <w:spacing w:after="0" w:line="19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7"/>
                <w:szCs w:val="17"/>
                <w:b w:val="1"/>
                <w:bCs w:val="1"/>
                <w:color w:val="706F6F"/>
                <w:vertAlign w:val="superscript"/>
              </w:rPr>
              <w:t>(3)</w:t>
            </w:r>
          </w:p>
        </w:tc>
        <w:tc>
          <w:tcPr>
            <w:tcW w:w="1460" w:type="dxa"/>
            <w:vAlign w:val="bottom"/>
            <w:tcBorders>
              <w:bottom w:val="single" w:sz="8" w:color="006DB6"/>
            </w:tcBorders>
          </w:tcPr>
          <w:p>
            <w:pPr>
              <w:jc w:val="right"/>
              <w:ind w:right="230"/>
              <w:spacing w:after="0"/>
              <w:rPr>
                <w:sz w:val="20"/>
                <w:szCs w:val="20"/>
                <w:color w:val="auto"/>
              </w:rPr>
            </w:pPr>
            <w:r>
              <w:rPr>
                <w:rFonts w:ascii="Arial" w:cs="Arial" w:eastAsia="Arial" w:hAnsi="Arial"/>
                <w:sz w:val="14"/>
                <w:szCs w:val="14"/>
                <w:b w:val="1"/>
                <w:bCs w:val="1"/>
                <w:color w:val="706F6F"/>
              </w:rPr>
              <w:t>($)</w:t>
            </w:r>
          </w:p>
        </w:tc>
        <w:tc>
          <w:tcPr>
            <w:tcW w:w="56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r>
      <w:tr>
        <w:trPr>
          <w:trHeight w:val="224"/>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25,629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color w:val="auto"/>
              </w:rPr>
              <w:t>19,440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color w:val="auto"/>
              </w:rPr>
              <w:t>20,397</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196,510</w:t>
            </w:r>
          </w:p>
        </w:tc>
      </w:tr>
    </w:tbl>
    <w:p>
      <w:pPr>
        <w:spacing w:after="0" w:line="107" w:lineRule="exact"/>
        <w:rPr>
          <w:sz w:val="20"/>
          <w:szCs w:val="20"/>
          <w:color w:val="auto"/>
        </w:rPr>
      </w:pPr>
    </w:p>
    <w:p>
      <w:pPr>
        <w:ind w:left="240" w:right="540" w:hanging="237"/>
        <w:spacing w:after="0" w:line="236" w:lineRule="auto"/>
        <w:tabs>
          <w:tab w:leader="none" w:pos="243" w:val="left"/>
        </w:tabs>
        <w:numPr>
          <w:ilvl w:val="0"/>
          <w:numId w:val="48"/>
        </w:numPr>
        <w:rPr>
          <w:rFonts w:ascii="Arial" w:cs="Arial" w:eastAsia="Arial" w:hAnsi="Arial"/>
          <w:sz w:val="9"/>
          <w:szCs w:val="9"/>
          <w:color w:val="auto"/>
        </w:rPr>
      </w:pPr>
      <w:r>
        <w:rPr>
          <w:rFonts w:ascii="Arial" w:cs="Arial" w:eastAsia="Arial" w:hAnsi="Arial"/>
          <w:sz w:val="14"/>
          <w:szCs w:val="14"/>
          <w:color w:val="auto"/>
        </w:rPr>
        <w:t>All contribution amounts for the last fiscal year reported in this table are also included in the “Salary” and “Non-Equity Incentive Plan Compensation” columns in the Summary Compensation Table for 2020.</w:t>
      </w:r>
    </w:p>
    <w:p>
      <w:pPr>
        <w:spacing w:after="0" w:line="24" w:lineRule="exact"/>
        <w:rPr>
          <w:rFonts w:ascii="Arial" w:cs="Arial" w:eastAsia="Arial" w:hAnsi="Arial"/>
          <w:sz w:val="9"/>
          <w:szCs w:val="9"/>
          <w:color w:val="auto"/>
        </w:rPr>
      </w:pPr>
    </w:p>
    <w:p>
      <w:pPr>
        <w:ind w:left="260" w:hanging="257"/>
        <w:spacing w:after="0"/>
        <w:tabs>
          <w:tab w:leader="none" w:pos="2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$19,440 reported for Mr. Schoening in this column is also included in the “All Other Compensation” column of the Summary Compensation Table for 2020.</w:t>
      </w:r>
    </w:p>
    <w:p>
      <w:pPr>
        <w:spacing w:after="0" w:line="54" w:lineRule="exact"/>
        <w:rPr>
          <w:rFonts w:ascii="Arial" w:cs="Arial" w:eastAsia="Arial" w:hAnsi="Arial"/>
          <w:sz w:val="18"/>
          <w:szCs w:val="18"/>
          <w:color w:val="auto"/>
          <w:vertAlign w:val="superscript"/>
        </w:rPr>
      </w:pPr>
    </w:p>
    <w:p>
      <w:pPr>
        <w:ind w:left="240" w:right="120" w:hanging="237"/>
        <w:spacing w:after="0" w:line="207" w:lineRule="auto"/>
        <w:tabs>
          <w:tab w:leader="none" w:pos="24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This column represents net unrealized appreciation, loss, dividends and distributions for Mr. Schoening for mutual fund investments for 2020 associated with investments held in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bl>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Potential Payments upon Termination or Change of Control</w:t>
      </w:r>
    </w:p>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The table below reflects the amount of compensation that would be payable to Messrs. Dodson, Schoening, McCann and Ms. Stone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Messrs. Dodson and McCann in the event of a qualified termination not in connection with a “Change of Control” (as defined in their Executive Agreements). Mr. Schoening’s and Ms. Stone’s Change of Control Agreements do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30, 2020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87" w:lineRule="exact"/>
        <w:rPr>
          <w:sz w:val="20"/>
          <w:szCs w:val="20"/>
          <w:color w:val="auto"/>
        </w:rPr>
      </w:pPr>
    </w:p>
    <w:p>
      <w:pPr>
        <w:ind w:right="260"/>
        <w:spacing w:after="0" w:line="255" w:lineRule="auto"/>
        <w:rPr>
          <w:sz w:val="20"/>
          <w:szCs w:val="20"/>
          <w:color w:val="auto"/>
        </w:rPr>
      </w:pPr>
      <w:r>
        <w:rPr>
          <w:rFonts w:ascii="Arial" w:cs="Arial" w:eastAsia="Arial" w:hAnsi="Arial"/>
          <w:sz w:val="15"/>
          <w:szCs w:val="15"/>
          <w:color w:val="auto"/>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Equity Awards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unit, restricted stock award, phantom unit award,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357505</wp:posOffset>
            </wp:positionV>
            <wp:extent cx="374650" cy="1873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240"/>
          </w:cols>
          <w:pgMar w:left="320" w:top="123" w:right="339" w:bottom="1440" w:gutter="0" w:footer="0" w:header="0"/>
        </w:sectPr>
      </w:pPr>
    </w:p>
    <w:bookmarkStart w:id="57" w:name="page58"/>
    <w:bookmarkEnd w:id="57"/>
    <w:p>
      <w:pPr>
        <w:ind w:left="9420"/>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FFC03C"/>
        </w:rPr>
        <w:t>Quantification of Payments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Shown in the table below are potential payments upon the assumed (i) involuntary not for Cause termination of the named executive officer by Civeo on December 31, 2020, other than during the 24-month period following a Change of Control ("NFC" in table below), (ii) involuntary not for Cause termination or termination by the named executive officer for “Good Reason,” in either case, during the 24-month period (for Mr. Dodson) or 18-month period (in the case of Messrs. McCann or Schoening or Ms. Stone) following a Change of Control, occurring as of December 31, 2020 ("CIC"in the table below), or (iii) termination as a result of death, disability, or qualifying retirement on December 31, 2020, ("DDR" in the table below). None of Mr. Dodson’s potential payments as of December 31, 2020 would trigger a gross-up payment for excise taxes that would be reimbursed under his Executive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320" w:type="dxa"/>
            <w:vAlign w:val="bottom"/>
            <w:tcBorders>
              <w:bottom w:val="single" w:sz="8" w:color="006DB6"/>
            </w:tcBorders>
          </w:tcPr>
          <w:p>
            <w:pPr>
              <w:spacing w:after="0"/>
              <w:rPr>
                <w:sz w:val="17"/>
                <w:szCs w:val="17"/>
                <w:color w:val="auto"/>
              </w:rPr>
            </w:pPr>
          </w:p>
        </w:tc>
        <w:tc>
          <w:tcPr>
            <w:tcW w:w="920" w:type="dxa"/>
            <w:vAlign w:val="bottom"/>
            <w:tcBorders>
              <w:bottom w:val="single" w:sz="8" w:color="006DB6"/>
            </w:tcBorders>
          </w:tcPr>
          <w:p>
            <w:pPr>
              <w:spacing w:after="0"/>
              <w:rPr>
                <w:sz w:val="17"/>
                <w:szCs w:val="17"/>
                <w:color w:val="auto"/>
              </w:rPr>
            </w:pPr>
          </w:p>
        </w:tc>
        <w:tc>
          <w:tcPr>
            <w:tcW w:w="1380" w:type="dxa"/>
            <w:vAlign w:val="bottom"/>
            <w:tcBorders>
              <w:bottom w:val="single" w:sz="8" w:color="006DB6"/>
            </w:tcBorders>
            <w:gridSpan w:val="2"/>
          </w:tcPr>
          <w:p>
            <w:pPr>
              <w:jc w:val="center"/>
              <w:ind w:right="24"/>
              <w:spacing w:after="0"/>
              <w:rPr>
                <w:sz w:val="20"/>
                <w:szCs w:val="20"/>
                <w:color w:val="auto"/>
              </w:rPr>
            </w:pPr>
            <w:r>
              <w:rPr>
                <w:rFonts w:ascii="Arial" w:cs="Arial" w:eastAsia="Arial" w:hAnsi="Arial"/>
                <w:sz w:val="14"/>
                <w:szCs w:val="14"/>
                <w:b w:val="1"/>
                <w:bCs w:val="1"/>
                <w:color w:val="706F6F"/>
                <w:w w:val="97"/>
              </w:rPr>
              <w:t>Bradley J. Dodson</w:t>
            </w:r>
          </w:p>
        </w:tc>
        <w:tc>
          <w:tcPr>
            <w:tcW w:w="24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006DB6"/>
            </w:tcBorders>
          </w:tcPr>
          <w:p>
            <w:pPr>
              <w:spacing w:after="0"/>
              <w:rPr>
                <w:sz w:val="17"/>
                <w:szCs w:val="17"/>
                <w:color w:val="auto"/>
              </w:rPr>
            </w:pPr>
          </w:p>
        </w:tc>
        <w:tc>
          <w:tcPr>
            <w:tcW w:w="780" w:type="dxa"/>
            <w:vAlign w:val="bottom"/>
            <w:tcBorders>
              <w:bottom w:val="single" w:sz="8" w:color="006DB6"/>
            </w:tcBorders>
          </w:tcPr>
          <w:p>
            <w:pPr>
              <w:spacing w:after="0"/>
              <w:rPr>
                <w:sz w:val="17"/>
                <w:szCs w:val="17"/>
                <w:color w:val="auto"/>
              </w:rPr>
            </w:pPr>
          </w:p>
        </w:tc>
        <w:tc>
          <w:tcPr>
            <w:tcW w:w="1340" w:type="dxa"/>
            <w:vAlign w:val="bottom"/>
            <w:tcBorders>
              <w:bottom w:val="single" w:sz="8" w:color="006DB6"/>
            </w:tcBorders>
            <w:gridSpan w:val="2"/>
          </w:tcPr>
          <w:p>
            <w:pPr>
              <w:jc w:val="center"/>
              <w:ind w:right="24"/>
              <w:spacing w:after="0"/>
              <w:rPr>
                <w:sz w:val="20"/>
                <w:szCs w:val="20"/>
                <w:color w:val="auto"/>
              </w:rPr>
            </w:pPr>
            <w:r>
              <w:rPr>
                <w:rFonts w:ascii="Arial" w:cs="Arial" w:eastAsia="Arial" w:hAnsi="Arial"/>
                <w:sz w:val="14"/>
                <w:szCs w:val="14"/>
                <w:b w:val="1"/>
                <w:bCs w:val="1"/>
                <w:color w:val="706F6F"/>
                <w:w w:val="97"/>
              </w:rPr>
              <w:t>Carolyn J. Stone</w:t>
            </w:r>
          </w:p>
        </w:tc>
        <w:tc>
          <w:tcPr>
            <w:tcW w:w="240" w:type="dxa"/>
            <w:vAlign w:val="bottom"/>
            <w:tcBorders>
              <w:bottom w:val="single" w:sz="8" w:color="006DB6"/>
            </w:tcBorders>
          </w:tcPr>
          <w:p>
            <w:pPr>
              <w:spacing w:after="0"/>
              <w:rPr>
                <w:sz w:val="17"/>
                <w:szCs w:val="17"/>
                <w:color w:val="auto"/>
              </w:rPr>
            </w:pPr>
          </w:p>
        </w:tc>
        <w:tc>
          <w:tcPr>
            <w:tcW w:w="760" w:type="dxa"/>
            <w:vAlign w:val="bottom"/>
            <w:tcBorders>
              <w:bottom w:val="single" w:sz="8" w:color="006DB6"/>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006DB6"/>
            </w:tcBorders>
          </w:tcPr>
          <w:p>
            <w:pPr>
              <w:spacing w:after="0"/>
              <w:rPr>
                <w:sz w:val="18"/>
                <w:szCs w:val="18"/>
                <w:color w:val="auto"/>
              </w:rPr>
            </w:pPr>
          </w:p>
        </w:tc>
        <w:tc>
          <w:tcPr>
            <w:tcW w:w="320" w:type="dxa"/>
            <w:vAlign w:val="bottom"/>
            <w:tcBorders>
              <w:bottom w:val="single" w:sz="8" w:color="006DB6"/>
            </w:tcBorders>
          </w:tcPr>
          <w:p>
            <w:pPr>
              <w:spacing w:after="0"/>
              <w:rPr>
                <w:sz w:val="18"/>
                <w:szCs w:val="18"/>
                <w:color w:val="auto"/>
              </w:rPr>
            </w:pPr>
          </w:p>
        </w:tc>
        <w:tc>
          <w:tcPr>
            <w:tcW w:w="920" w:type="dxa"/>
            <w:vAlign w:val="bottom"/>
            <w:tcBorders>
              <w:bottom w:val="single" w:sz="8" w:color="006DB6"/>
            </w:tcBorders>
          </w:tcPr>
          <w:p>
            <w:pPr>
              <w:jc w:val="right"/>
              <w:ind w:right="405"/>
              <w:spacing w:after="0"/>
              <w:rPr>
                <w:sz w:val="20"/>
                <w:szCs w:val="20"/>
                <w:color w:val="auto"/>
              </w:rPr>
            </w:pPr>
            <w:r>
              <w:rPr>
                <w:rFonts w:ascii="Arial" w:cs="Arial" w:eastAsia="Arial" w:hAnsi="Arial"/>
                <w:sz w:val="14"/>
                <w:szCs w:val="14"/>
                <w:b w:val="1"/>
                <w:bCs w:val="1"/>
                <w:color w:val="706F6F"/>
              </w:rPr>
              <w:t>NFC</w:t>
            </w:r>
          </w:p>
        </w:tc>
        <w:tc>
          <w:tcPr>
            <w:tcW w:w="40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center"/>
              <w:ind w:right="444"/>
              <w:spacing w:after="0"/>
              <w:rPr>
                <w:sz w:val="20"/>
                <w:szCs w:val="20"/>
                <w:color w:val="auto"/>
              </w:rPr>
            </w:pPr>
            <w:r>
              <w:rPr>
                <w:rFonts w:ascii="Arial" w:cs="Arial" w:eastAsia="Arial" w:hAnsi="Arial"/>
                <w:sz w:val="14"/>
                <w:szCs w:val="14"/>
                <w:b w:val="1"/>
                <w:bCs w:val="1"/>
                <w:color w:val="706F6F"/>
                <w:w w:val="91"/>
              </w:rPr>
              <w:t>CIC</w:t>
            </w:r>
          </w:p>
        </w:tc>
        <w:tc>
          <w:tcPr>
            <w:tcW w:w="240" w:type="dxa"/>
            <w:vAlign w:val="bottom"/>
            <w:tcBorders>
              <w:bottom w:val="single" w:sz="8" w:color="006DB6"/>
            </w:tcBorders>
          </w:tcPr>
          <w:p>
            <w:pPr>
              <w:spacing w:after="0"/>
              <w:rPr>
                <w:sz w:val="18"/>
                <w:szCs w:val="18"/>
                <w:color w:val="auto"/>
              </w:rPr>
            </w:pPr>
          </w:p>
        </w:tc>
        <w:tc>
          <w:tcPr>
            <w:tcW w:w="1120" w:type="dxa"/>
            <w:vAlign w:val="bottom"/>
            <w:tcBorders>
              <w:bottom w:val="single" w:sz="8" w:color="006DB6"/>
            </w:tcBorders>
            <w:gridSpan w:val="2"/>
          </w:tcPr>
          <w:p>
            <w:pPr>
              <w:ind w:left="120"/>
              <w:spacing w:after="0"/>
              <w:rPr>
                <w:sz w:val="20"/>
                <w:szCs w:val="20"/>
                <w:color w:val="auto"/>
              </w:rPr>
            </w:pPr>
            <w:r>
              <w:rPr>
                <w:rFonts w:ascii="Arial" w:cs="Arial" w:eastAsia="Arial" w:hAnsi="Arial"/>
                <w:sz w:val="14"/>
                <w:szCs w:val="14"/>
                <w:b w:val="1"/>
                <w:bCs w:val="1"/>
                <w:color w:val="706F6F"/>
              </w:rPr>
              <w:t>DDR</w:t>
            </w:r>
          </w:p>
        </w:tc>
        <w:tc>
          <w:tcPr>
            <w:tcW w:w="320" w:type="dxa"/>
            <w:vAlign w:val="bottom"/>
            <w:tcBorders>
              <w:bottom w:val="single" w:sz="8" w:color="006DB6"/>
            </w:tcBorders>
          </w:tcPr>
          <w:p>
            <w:pPr>
              <w:spacing w:after="0"/>
              <w:rPr>
                <w:sz w:val="18"/>
                <w:szCs w:val="18"/>
                <w:color w:val="auto"/>
              </w:rPr>
            </w:pPr>
          </w:p>
        </w:tc>
        <w:tc>
          <w:tcPr>
            <w:tcW w:w="78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6F6F"/>
              </w:rPr>
              <w:t>NFC</w:t>
            </w:r>
          </w:p>
        </w:tc>
        <w:tc>
          <w:tcPr>
            <w:tcW w:w="440" w:type="dxa"/>
            <w:vAlign w:val="bottom"/>
            <w:tcBorders>
              <w:bottom w:val="single" w:sz="8" w:color="006DB6"/>
            </w:tcBorders>
          </w:tcPr>
          <w:p>
            <w:pPr>
              <w:spacing w:after="0"/>
              <w:rPr>
                <w:sz w:val="18"/>
                <w:szCs w:val="18"/>
                <w:color w:val="auto"/>
              </w:rPr>
            </w:pPr>
          </w:p>
        </w:tc>
        <w:tc>
          <w:tcPr>
            <w:tcW w:w="900" w:type="dxa"/>
            <w:vAlign w:val="bottom"/>
            <w:tcBorders>
              <w:bottom w:val="single" w:sz="8" w:color="006DB6"/>
            </w:tcBorders>
          </w:tcPr>
          <w:p>
            <w:pPr>
              <w:jc w:val="center"/>
              <w:ind w:right="464"/>
              <w:spacing w:after="0"/>
              <w:rPr>
                <w:sz w:val="20"/>
                <w:szCs w:val="20"/>
                <w:color w:val="auto"/>
              </w:rPr>
            </w:pPr>
            <w:r>
              <w:rPr>
                <w:rFonts w:ascii="Arial" w:cs="Arial" w:eastAsia="Arial" w:hAnsi="Arial"/>
                <w:sz w:val="14"/>
                <w:szCs w:val="14"/>
                <w:b w:val="1"/>
                <w:bCs w:val="1"/>
                <w:color w:val="706F6F"/>
                <w:w w:val="99"/>
              </w:rPr>
              <w:t>CIC</w:t>
            </w:r>
          </w:p>
        </w:tc>
        <w:tc>
          <w:tcPr>
            <w:tcW w:w="240" w:type="dxa"/>
            <w:vAlign w:val="bottom"/>
            <w:tcBorders>
              <w:bottom w:val="single" w:sz="8" w:color="006DB6"/>
            </w:tcBorders>
          </w:tcPr>
          <w:p>
            <w:pPr>
              <w:spacing w:after="0"/>
              <w:rPr>
                <w:sz w:val="18"/>
                <w:szCs w:val="18"/>
                <w:color w:val="auto"/>
              </w:rPr>
            </w:pPr>
          </w:p>
        </w:tc>
        <w:tc>
          <w:tcPr>
            <w:tcW w:w="76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6F6F"/>
              </w:rPr>
              <w:t>DDR</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Benefits and Payments due on Separation</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Compensation</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Cash Severance</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1,500,000</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3,000,000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952,000</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9"/>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Stock Options</w:t>
            </w:r>
            <w:r>
              <w:rPr>
                <w:rFonts w:ascii="Arial" w:cs="Arial" w:eastAsia="Arial" w:hAnsi="Arial"/>
                <w:sz w:val="19"/>
                <w:szCs w:val="19"/>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(1)</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2,461,829</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2,461,829</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2,461,829</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477,646</w:t>
            </w: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477,646</w:t>
            </w:r>
          </w:p>
        </w:tc>
        <w:tc>
          <w:tcPr>
            <w:tcW w:w="0" w:type="dxa"/>
            <w:vAlign w:val="bottom"/>
          </w:tcPr>
          <w:p>
            <w:pPr>
              <w:spacing w:after="0"/>
              <w:rPr>
                <w:sz w:val="1"/>
                <w:szCs w:val="1"/>
                <w:color w:val="auto"/>
              </w:rPr>
            </w:pPr>
          </w:p>
        </w:tc>
      </w:tr>
      <w:tr>
        <w:trPr>
          <w:trHeight w:val="365"/>
        </w:trPr>
        <w:tc>
          <w:tcPr>
            <w:tcW w:w="3820" w:type="dxa"/>
            <w:vAlign w:val="bottom"/>
          </w:tcPr>
          <w:p>
            <w:pPr>
              <w:ind w:left="280"/>
              <w:spacing w:after="0"/>
              <w:rPr>
                <w:sz w:val="20"/>
                <w:szCs w:val="20"/>
                <w:color w:val="auto"/>
              </w:rPr>
            </w:pPr>
            <w:r>
              <w:rPr>
                <w:rFonts w:ascii="Arial" w:cs="Arial" w:eastAsia="Arial" w:hAnsi="Arial"/>
                <w:sz w:val="15"/>
                <w:szCs w:val="15"/>
                <w:color w:val="auto"/>
              </w:rPr>
              <w:t>Restricted Cash Award</w:t>
            </w:r>
            <w:r>
              <w:rPr>
                <w:rFonts w:ascii="Arial" w:cs="Arial" w:eastAsia="Arial" w:hAnsi="Arial"/>
                <w:sz w:val="19"/>
                <w:szCs w:val="19"/>
                <w:color w:val="auto"/>
                <w:vertAlign w:val="superscript"/>
              </w:rPr>
              <w:t>(6)</w:t>
            </w:r>
          </w:p>
        </w:tc>
        <w:tc>
          <w:tcPr>
            <w:tcW w:w="3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1,256,251</w:t>
            </w: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ind w:right="104"/>
              <w:spacing w:after="0"/>
              <w:rPr>
                <w:sz w:val="20"/>
                <w:szCs w:val="20"/>
                <w:color w:val="auto"/>
              </w:rPr>
            </w:pPr>
            <w:r>
              <w:rPr>
                <w:rFonts w:ascii="Arial" w:cs="Arial" w:eastAsia="Arial" w:hAnsi="Arial"/>
                <w:sz w:val="15"/>
                <w:szCs w:val="15"/>
                <w:color w:val="auto"/>
              </w:rPr>
              <w:t>1,256,251</w:t>
            </w:r>
          </w:p>
        </w:tc>
        <w:tc>
          <w:tcPr>
            <w:tcW w:w="24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1,256,251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color w:val="auto"/>
              </w:rPr>
              <w:t>255,000</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255,000</w:t>
            </w:r>
          </w:p>
        </w:tc>
        <w:tc>
          <w:tcPr>
            <w:tcW w:w="0" w:type="dxa"/>
            <w:vAlign w:val="bottom"/>
          </w:tcPr>
          <w:p>
            <w:pPr>
              <w:spacing w:after="0"/>
              <w:rPr>
                <w:sz w:val="1"/>
                <w:szCs w:val="1"/>
                <w:color w:val="auto"/>
              </w:rPr>
            </w:pPr>
          </w:p>
        </w:tc>
      </w:tr>
      <w:tr>
        <w:trPr>
          <w:trHeight w:val="57"/>
        </w:trPr>
        <w:tc>
          <w:tcPr>
            <w:tcW w:w="3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Benefits &amp; Perquisites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Health &amp; Welfare Benefits</w:t>
            </w:r>
            <w:r>
              <w:rPr>
                <w:rFonts w:ascii="Arial" w:cs="Arial" w:eastAsia="Arial" w:hAnsi="Arial"/>
                <w:sz w:val="19"/>
                <w:szCs w:val="19"/>
                <w:color w:val="auto"/>
                <w:vertAlign w:val="superscript"/>
              </w:rPr>
              <w:t>(2)</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50,533</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75,800</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50,533</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Outplacement Assistance</w:t>
            </w:r>
            <w:r>
              <w:rPr>
                <w:rFonts w:ascii="Arial" w:cs="Arial" w:eastAsia="Arial" w:hAnsi="Arial"/>
                <w:sz w:val="19"/>
                <w:szCs w:val="19"/>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112,500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51,000</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Tax Gross-Up</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5,268,613</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6,906,380</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3,718,080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1,786,179</w:t>
            </w: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732,646</w:t>
            </w:r>
          </w:p>
        </w:tc>
        <w:tc>
          <w:tcPr>
            <w:tcW w:w="0" w:type="dxa"/>
            <w:vAlign w:val="bottom"/>
          </w:tcPr>
          <w:p>
            <w:pPr>
              <w:spacing w:after="0"/>
              <w:rPr>
                <w:sz w:val="1"/>
                <w:szCs w:val="1"/>
                <w:color w:val="auto"/>
              </w:rPr>
            </w:pPr>
          </w:p>
        </w:tc>
      </w:tr>
      <w:tr>
        <w:trPr>
          <w:trHeight w:val="442"/>
        </w:trPr>
        <w:tc>
          <w:tcPr>
            <w:tcW w:w="3820" w:type="dxa"/>
            <w:vAlign w:val="bottom"/>
          </w:tcPr>
          <w:p>
            <w:pPr>
              <w:spacing w:after="0"/>
              <w:rPr>
                <w:sz w:val="24"/>
                <w:szCs w:val="24"/>
                <w:color w:val="auto"/>
              </w:rPr>
            </w:pPr>
          </w:p>
        </w:tc>
        <w:tc>
          <w:tcPr>
            <w:tcW w:w="320" w:type="dxa"/>
            <w:vAlign w:val="bottom"/>
            <w:tcBorders>
              <w:bottom w:val="single" w:sz="8" w:color="006DB6"/>
            </w:tcBorders>
          </w:tcPr>
          <w:p>
            <w:pPr>
              <w:spacing w:after="0"/>
              <w:rPr>
                <w:sz w:val="24"/>
                <w:szCs w:val="24"/>
                <w:color w:val="auto"/>
              </w:rPr>
            </w:pPr>
          </w:p>
        </w:tc>
        <w:tc>
          <w:tcPr>
            <w:tcW w:w="2300" w:type="dxa"/>
            <w:vAlign w:val="bottom"/>
            <w:tcBorders>
              <w:bottom w:val="single" w:sz="8" w:color="006DB6"/>
            </w:tcBorders>
            <w:gridSpan w:val="3"/>
          </w:tcPr>
          <w:p>
            <w:pPr>
              <w:jc w:val="center"/>
              <w:ind w:left="745"/>
              <w:spacing w:after="0"/>
              <w:rPr>
                <w:sz w:val="20"/>
                <w:szCs w:val="20"/>
                <w:color w:val="auto"/>
              </w:rPr>
            </w:pPr>
            <w:r>
              <w:rPr>
                <w:rFonts w:ascii="Arial" w:cs="Arial" w:eastAsia="Arial" w:hAnsi="Arial"/>
                <w:sz w:val="14"/>
                <w:szCs w:val="14"/>
                <w:b w:val="1"/>
                <w:bCs w:val="1"/>
                <w:color w:val="706F6F"/>
                <w:w w:val="96"/>
              </w:rPr>
              <w:t>Allan D. Schoening</w:t>
            </w:r>
            <w:r>
              <w:rPr>
                <w:rFonts w:ascii="Arial" w:cs="Arial" w:eastAsia="Arial" w:hAnsi="Arial"/>
                <w:sz w:val="17"/>
                <w:szCs w:val="17"/>
                <w:b w:val="1"/>
                <w:bCs w:val="1"/>
                <w:color w:val="706F6F"/>
                <w:w w:val="96"/>
                <w:vertAlign w:val="superscript"/>
              </w:rPr>
              <w:t>(5)</w:t>
            </w:r>
          </w:p>
        </w:tc>
        <w:tc>
          <w:tcPr>
            <w:tcW w:w="240" w:type="dxa"/>
            <w:vAlign w:val="bottom"/>
            <w:tcBorders>
              <w:bottom w:val="single" w:sz="8" w:color="006DB6"/>
            </w:tcBorders>
          </w:tcPr>
          <w:p>
            <w:pPr>
              <w:spacing w:after="0"/>
              <w:rPr>
                <w:sz w:val="24"/>
                <w:szCs w:val="24"/>
                <w:color w:val="auto"/>
              </w:rPr>
            </w:pPr>
          </w:p>
        </w:tc>
        <w:tc>
          <w:tcPr>
            <w:tcW w:w="900" w:type="dxa"/>
            <w:vAlign w:val="bottom"/>
            <w:tcBorders>
              <w:bottom w:val="single" w:sz="8" w:color="006DB6"/>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006DB6"/>
            </w:tcBorders>
          </w:tcPr>
          <w:p>
            <w:pPr>
              <w:spacing w:after="0"/>
              <w:rPr>
                <w:sz w:val="24"/>
                <w:szCs w:val="24"/>
                <w:color w:val="auto"/>
              </w:rPr>
            </w:pPr>
          </w:p>
        </w:tc>
        <w:tc>
          <w:tcPr>
            <w:tcW w:w="780" w:type="dxa"/>
            <w:vAlign w:val="bottom"/>
            <w:tcBorders>
              <w:bottom w:val="single" w:sz="8" w:color="006DB6"/>
            </w:tcBorders>
          </w:tcPr>
          <w:p>
            <w:pPr>
              <w:spacing w:after="0"/>
              <w:rPr>
                <w:sz w:val="24"/>
                <w:szCs w:val="24"/>
                <w:color w:val="auto"/>
              </w:rPr>
            </w:pPr>
          </w:p>
        </w:tc>
        <w:tc>
          <w:tcPr>
            <w:tcW w:w="1340" w:type="dxa"/>
            <w:vAlign w:val="bottom"/>
            <w:tcBorders>
              <w:bottom w:val="single" w:sz="8" w:color="006DB6"/>
            </w:tcBorders>
            <w:gridSpan w:val="2"/>
          </w:tcPr>
          <w:p>
            <w:pPr>
              <w:jc w:val="center"/>
              <w:ind w:right="4"/>
              <w:spacing w:after="0"/>
              <w:rPr>
                <w:sz w:val="20"/>
                <w:szCs w:val="20"/>
                <w:color w:val="auto"/>
              </w:rPr>
            </w:pPr>
            <w:r>
              <w:rPr>
                <w:rFonts w:ascii="Arial" w:cs="Arial" w:eastAsia="Arial" w:hAnsi="Arial"/>
                <w:sz w:val="14"/>
                <w:szCs w:val="14"/>
                <w:b w:val="1"/>
                <w:bCs w:val="1"/>
                <w:color w:val="706F6F"/>
                <w:w w:val="95"/>
              </w:rPr>
              <w:t>Peter L. McCann</w:t>
            </w:r>
            <w:r>
              <w:rPr>
                <w:rFonts w:ascii="Arial" w:cs="Arial" w:eastAsia="Arial" w:hAnsi="Arial"/>
                <w:sz w:val="17"/>
                <w:szCs w:val="17"/>
                <w:b w:val="1"/>
                <w:bCs w:val="1"/>
                <w:color w:val="706F6F"/>
                <w:w w:val="95"/>
                <w:vertAlign w:val="superscript"/>
              </w:rPr>
              <w:t>(4)</w:t>
            </w:r>
          </w:p>
        </w:tc>
        <w:tc>
          <w:tcPr>
            <w:tcW w:w="240" w:type="dxa"/>
            <w:vAlign w:val="bottom"/>
            <w:tcBorders>
              <w:bottom w:val="single" w:sz="8" w:color="006DB6"/>
            </w:tcBorders>
          </w:tcPr>
          <w:p>
            <w:pPr>
              <w:spacing w:after="0"/>
              <w:rPr>
                <w:sz w:val="24"/>
                <w:szCs w:val="24"/>
                <w:color w:val="auto"/>
              </w:rPr>
            </w:pPr>
          </w:p>
        </w:tc>
        <w:tc>
          <w:tcPr>
            <w:tcW w:w="760" w:type="dxa"/>
            <w:vAlign w:val="bottom"/>
            <w:tcBorders>
              <w:bottom w:val="single" w:sz="8" w:color="006DB6"/>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006DB6"/>
            </w:tcBorders>
          </w:tcPr>
          <w:p>
            <w:pPr>
              <w:spacing w:after="0"/>
              <w:rPr>
                <w:sz w:val="18"/>
                <w:szCs w:val="18"/>
                <w:color w:val="auto"/>
              </w:rPr>
            </w:pPr>
          </w:p>
        </w:tc>
        <w:tc>
          <w:tcPr>
            <w:tcW w:w="320" w:type="dxa"/>
            <w:vAlign w:val="bottom"/>
            <w:tcBorders>
              <w:bottom w:val="single" w:sz="8" w:color="006DB6"/>
            </w:tcBorders>
          </w:tcPr>
          <w:p>
            <w:pPr>
              <w:spacing w:after="0"/>
              <w:rPr>
                <w:sz w:val="18"/>
                <w:szCs w:val="18"/>
                <w:color w:val="auto"/>
              </w:rPr>
            </w:pPr>
          </w:p>
        </w:tc>
        <w:tc>
          <w:tcPr>
            <w:tcW w:w="920" w:type="dxa"/>
            <w:vAlign w:val="bottom"/>
            <w:tcBorders>
              <w:bottom w:val="single" w:sz="8" w:color="006DB6"/>
            </w:tcBorders>
          </w:tcPr>
          <w:p>
            <w:pPr>
              <w:jc w:val="right"/>
              <w:ind w:right="285"/>
              <w:spacing w:after="0"/>
              <w:rPr>
                <w:sz w:val="20"/>
                <w:szCs w:val="20"/>
                <w:color w:val="auto"/>
              </w:rPr>
            </w:pPr>
            <w:r>
              <w:rPr>
                <w:rFonts w:ascii="Arial" w:cs="Arial" w:eastAsia="Arial" w:hAnsi="Arial"/>
                <w:sz w:val="14"/>
                <w:szCs w:val="14"/>
                <w:b w:val="1"/>
                <w:bCs w:val="1"/>
                <w:color w:val="706F6F"/>
              </w:rPr>
              <w:t>NFC</w:t>
            </w:r>
          </w:p>
        </w:tc>
        <w:tc>
          <w:tcPr>
            <w:tcW w:w="40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ind w:right="424"/>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18"/>
                <w:szCs w:val="18"/>
                <w:color w:val="auto"/>
              </w:rPr>
            </w:pPr>
          </w:p>
        </w:tc>
        <w:tc>
          <w:tcPr>
            <w:tcW w:w="1120" w:type="dxa"/>
            <w:vAlign w:val="bottom"/>
            <w:tcBorders>
              <w:bottom w:val="single" w:sz="8" w:color="006DB6"/>
            </w:tcBorders>
            <w:gridSpan w:val="2"/>
          </w:tcPr>
          <w:p>
            <w:pPr>
              <w:ind w:left="260"/>
              <w:spacing w:after="0"/>
              <w:rPr>
                <w:sz w:val="20"/>
                <w:szCs w:val="20"/>
                <w:color w:val="auto"/>
              </w:rPr>
            </w:pPr>
            <w:r>
              <w:rPr>
                <w:rFonts w:ascii="Arial" w:cs="Arial" w:eastAsia="Arial" w:hAnsi="Arial"/>
                <w:sz w:val="14"/>
                <w:szCs w:val="14"/>
                <w:b w:val="1"/>
                <w:bCs w:val="1"/>
                <w:color w:val="706F6F"/>
              </w:rPr>
              <w:t>DDR</w:t>
            </w:r>
          </w:p>
        </w:tc>
        <w:tc>
          <w:tcPr>
            <w:tcW w:w="320" w:type="dxa"/>
            <w:vAlign w:val="bottom"/>
            <w:tcBorders>
              <w:bottom w:val="single" w:sz="8" w:color="006DB6"/>
            </w:tcBorders>
          </w:tcPr>
          <w:p>
            <w:pPr>
              <w:spacing w:after="0"/>
              <w:rPr>
                <w:sz w:val="18"/>
                <w:szCs w:val="18"/>
                <w:color w:val="auto"/>
              </w:rPr>
            </w:pPr>
          </w:p>
        </w:tc>
        <w:tc>
          <w:tcPr>
            <w:tcW w:w="78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6F6F"/>
              </w:rPr>
              <w:t>NFC</w:t>
            </w:r>
          </w:p>
        </w:tc>
        <w:tc>
          <w:tcPr>
            <w:tcW w:w="440" w:type="dxa"/>
            <w:vAlign w:val="bottom"/>
            <w:tcBorders>
              <w:bottom w:val="single" w:sz="8" w:color="006DB6"/>
            </w:tcBorders>
          </w:tcPr>
          <w:p>
            <w:pPr>
              <w:spacing w:after="0"/>
              <w:rPr>
                <w:sz w:val="18"/>
                <w:szCs w:val="18"/>
                <w:color w:val="auto"/>
              </w:rPr>
            </w:pPr>
          </w:p>
        </w:tc>
        <w:tc>
          <w:tcPr>
            <w:tcW w:w="900" w:type="dxa"/>
            <w:vAlign w:val="bottom"/>
            <w:tcBorders>
              <w:bottom w:val="single" w:sz="8" w:color="006DB6"/>
            </w:tcBorders>
          </w:tcPr>
          <w:p>
            <w:pPr>
              <w:jc w:val="center"/>
              <w:ind w:right="464"/>
              <w:spacing w:after="0"/>
              <w:rPr>
                <w:sz w:val="20"/>
                <w:szCs w:val="20"/>
                <w:color w:val="auto"/>
              </w:rPr>
            </w:pPr>
            <w:r>
              <w:rPr>
                <w:rFonts w:ascii="Arial" w:cs="Arial" w:eastAsia="Arial" w:hAnsi="Arial"/>
                <w:sz w:val="14"/>
                <w:szCs w:val="14"/>
                <w:b w:val="1"/>
                <w:bCs w:val="1"/>
                <w:color w:val="706F6F"/>
                <w:w w:val="99"/>
              </w:rPr>
              <w:t>CIC</w:t>
            </w:r>
          </w:p>
        </w:tc>
        <w:tc>
          <w:tcPr>
            <w:tcW w:w="240" w:type="dxa"/>
            <w:vAlign w:val="bottom"/>
            <w:tcBorders>
              <w:bottom w:val="single" w:sz="8" w:color="006DB6"/>
            </w:tcBorders>
          </w:tcPr>
          <w:p>
            <w:pPr>
              <w:spacing w:after="0"/>
              <w:rPr>
                <w:sz w:val="18"/>
                <w:szCs w:val="18"/>
                <w:color w:val="auto"/>
              </w:rPr>
            </w:pPr>
          </w:p>
        </w:tc>
        <w:tc>
          <w:tcPr>
            <w:tcW w:w="76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6F6F"/>
              </w:rPr>
              <w:t>DDR</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Compensation</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Cash Severance</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1,134,376</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495,678</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991,356</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9"/>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Stock Options</w:t>
            </w:r>
            <w:r>
              <w:rPr>
                <w:rFonts w:ascii="Arial" w:cs="Arial" w:eastAsia="Arial" w:hAnsi="Arial"/>
                <w:sz w:val="19"/>
                <w:szCs w:val="19"/>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551,733</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551,733</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176,544</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395,344</w:t>
            </w: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395,344</w:t>
            </w:r>
          </w:p>
        </w:tc>
        <w:tc>
          <w:tcPr>
            <w:tcW w:w="0" w:type="dxa"/>
            <w:vAlign w:val="bottom"/>
          </w:tcPr>
          <w:p>
            <w:pPr>
              <w:spacing w:after="0"/>
              <w:rPr>
                <w:sz w:val="1"/>
                <w:szCs w:val="1"/>
                <w:color w:val="auto"/>
              </w:rPr>
            </w:pPr>
          </w:p>
        </w:tc>
      </w:tr>
      <w:tr>
        <w:trPr>
          <w:trHeight w:val="365"/>
        </w:trPr>
        <w:tc>
          <w:tcPr>
            <w:tcW w:w="3820" w:type="dxa"/>
            <w:vAlign w:val="bottom"/>
          </w:tcPr>
          <w:p>
            <w:pPr>
              <w:ind w:left="280"/>
              <w:spacing w:after="0"/>
              <w:rPr>
                <w:sz w:val="20"/>
                <w:szCs w:val="20"/>
                <w:color w:val="auto"/>
              </w:rPr>
            </w:pPr>
            <w:r>
              <w:rPr>
                <w:rFonts w:ascii="Arial" w:cs="Arial" w:eastAsia="Arial" w:hAnsi="Arial"/>
                <w:sz w:val="15"/>
                <w:szCs w:val="15"/>
                <w:color w:val="auto"/>
              </w:rPr>
              <w:t>Restricted Cash Award</w:t>
            </w:r>
            <w:r>
              <w:rPr>
                <w:rFonts w:ascii="Arial" w:cs="Arial" w:eastAsia="Arial" w:hAnsi="Arial"/>
                <w:sz w:val="19"/>
                <w:szCs w:val="19"/>
                <w:color w:val="auto"/>
                <w:vertAlign w:val="superscript"/>
              </w:rPr>
              <w:t>(6)</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ind w:right="104"/>
              <w:spacing w:after="0"/>
              <w:rPr>
                <w:sz w:val="20"/>
                <w:szCs w:val="20"/>
                <w:color w:val="auto"/>
              </w:rPr>
            </w:pPr>
            <w:r>
              <w:rPr>
                <w:rFonts w:ascii="Arial" w:cs="Arial" w:eastAsia="Arial" w:hAnsi="Arial"/>
                <w:sz w:val="15"/>
                <w:szCs w:val="15"/>
                <w:color w:val="auto"/>
              </w:rPr>
              <w:t>268,079</w:t>
            </w:r>
          </w:p>
        </w:tc>
        <w:tc>
          <w:tcPr>
            <w:tcW w:w="24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268,079</w:t>
            </w:r>
          </w:p>
        </w:tc>
        <w:tc>
          <w:tcPr>
            <w:tcW w:w="220" w:type="dxa"/>
            <w:vAlign w:val="bottom"/>
          </w:tcPr>
          <w:p>
            <w:pPr>
              <w:spacing w:after="0"/>
              <w:rPr>
                <w:sz w:val="24"/>
                <w:szCs w:val="24"/>
                <w:color w:val="auto"/>
              </w:rPr>
            </w:pPr>
          </w:p>
        </w:tc>
        <w:tc>
          <w:tcPr>
            <w:tcW w:w="3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178,133</w:t>
            </w:r>
          </w:p>
        </w:tc>
        <w:tc>
          <w:tcPr>
            <w:tcW w:w="4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color w:val="auto"/>
              </w:rPr>
              <w:t>178,133</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178,133</w:t>
            </w:r>
          </w:p>
        </w:tc>
        <w:tc>
          <w:tcPr>
            <w:tcW w:w="0" w:type="dxa"/>
            <w:vAlign w:val="bottom"/>
          </w:tcPr>
          <w:p>
            <w:pPr>
              <w:spacing w:after="0"/>
              <w:rPr>
                <w:sz w:val="1"/>
                <w:szCs w:val="1"/>
                <w:color w:val="auto"/>
              </w:rPr>
            </w:pPr>
          </w:p>
        </w:tc>
      </w:tr>
      <w:tr>
        <w:trPr>
          <w:trHeight w:val="57"/>
        </w:trPr>
        <w:tc>
          <w:tcPr>
            <w:tcW w:w="3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44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Benefits &amp; Perquisites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Health &amp; Welfare Benefits</w:t>
            </w:r>
            <w:r>
              <w:rPr>
                <w:rFonts w:ascii="Arial" w:cs="Arial" w:eastAsia="Arial" w:hAnsi="Arial"/>
                <w:sz w:val="19"/>
                <w:szCs w:val="19"/>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2,438</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Outplacement Assistance</w:t>
            </w:r>
            <w:r>
              <w:rPr>
                <w:rFonts w:ascii="Arial" w:cs="Arial" w:eastAsia="Arial" w:hAnsi="Arial"/>
                <w:sz w:val="19"/>
                <w:szCs w:val="19"/>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53,174</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45,062</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Tax Gross-Up</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n/a</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2,009,800</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819,812</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850,355</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1,609,895</w:t>
            </w: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573,477</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240" w:right="40" w:hanging="237"/>
        <w:spacing w:after="0" w:line="238" w:lineRule="auto"/>
        <w:tabs>
          <w:tab w:leader="none" w:pos="243" w:val="left"/>
        </w:tabs>
        <w:numPr>
          <w:ilvl w:val="0"/>
          <w:numId w:val="49"/>
        </w:numPr>
        <w:rPr>
          <w:rFonts w:ascii="Arial" w:cs="Arial" w:eastAsia="Arial" w:hAnsi="Arial"/>
          <w:sz w:val="17"/>
          <w:szCs w:val="17"/>
          <w:color w:val="auto"/>
          <w:vertAlign w:val="superscript"/>
        </w:rPr>
      </w:pPr>
      <w:r>
        <w:rPr>
          <w:rFonts w:ascii="Arial" w:cs="Arial" w:eastAsia="Arial" w:hAnsi="Arial"/>
          <w:sz w:val="13"/>
          <w:szCs w:val="13"/>
          <w:color w:val="auto"/>
        </w:rPr>
        <w:t>Reflects the value of unvested options, restricted stock awards, restricted stock units, phantom units and deferred share awards as of December 31, 2020 that would be accelerated as a result of the separation event based on Civeo’s share price of $13.90, which was the closing market price of Civeo’s common shares on December 31, 2020. For performance shares, the payout is assumed at target level. Due to the exercise price for the unvested options that would become vested and exercisable on a Change of Control and the price of Civeo’s common shares as of December 31, 2020,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2020. The treatment of Performance Share Awards during a Change of Control is described more fully under “Compensation Program Components—Performance Share Award Program”.</w:t>
      </w:r>
    </w:p>
    <w:p>
      <w:pPr>
        <w:spacing w:after="0" w:line="96" w:lineRule="exact"/>
        <w:rPr>
          <w:rFonts w:ascii="Arial" w:cs="Arial" w:eastAsia="Arial" w:hAnsi="Arial"/>
          <w:sz w:val="17"/>
          <w:szCs w:val="17"/>
          <w:color w:val="auto"/>
          <w:vertAlign w:val="superscript"/>
        </w:rPr>
      </w:pPr>
    </w:p>
    <w:p>
      <w:pPr>
        <w:ind w:left="240" w:right="20" w:hanging="237"/>
        <w:spacing w:after="0" w:line="207" w:lineRule="auto"/>
        <w:tabs>
          <w:tab w:leader="none" w:pos="243"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spacing w:after="0" w:line="49"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Reflects the maximum amount of outplacement assistance that would be provided for the named executive officer pursuant to the Executive Agreement.</w:t>
      </w:r>
    </w:p>
    <w:p>
      <w:pPr>
        <w:spacing w:after="0" w:line="92" w:lineRule="exact"/>
        <w:rPr>
          <w:rFonts w:ascii="Arial" w:cs="Arial" w:eastAsia="Arial" w:hAnsi="Arial"/>
          <w:sz w:val="18"/>
          <w:szCs w:val="18"/>
          <w:color w:val="auto"/>
          <w:vertAlign w:val="superscript"/>
        </w:rPr>
      </w:pPr>
    </w:p>
    <w:p>
      <w:pPr>
        <w:ind w:left="240" w:right="580" w:hanging="237"/>
        <w:spacing w:after="0" w:line="207" w:lineRule="auto"/>
        <w:tabs>
          <w:tab w:leader="none" w:pos="243"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Cash Severance Amounts and Outplacement Assistance for Mr. McCann would be made in Australian dollars and are reflected in this table in U.S. dollars using the average exchange rate for 2020 of $0.6906.</w:t>
      </w:r>
    </w:p>
    <w:p>
      <w:pPr>
        <w:spacing w:after="0" w:line="92" w:lineRule="exact"/>
        <w:rPr>
          <w:rFonts w:ascii="Arial" w:cs="Arial" w:eastAsia="Arial" w:hAnsi="Arial"/>
          <w:sz w:val="18"/>
          <w:szCs w:val="18"/>
          <w:color w:val="auto"/>
          <w:vertAlign w:val="superscript"/>
        </w:rPr>
      </w:pPr>
    </w:p>
    <w:p>
      <w:pPr>
        <w:ind w:left="240" w:right="260" w:hanging="237"/>
        <w:spacing w:after="0" w:line="207" w:lineRule="auto"/>
        <w:tabs>
          <w:tab w:leader="none" w:pos="243"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Cash Severance Amounts, Health and Welfare Benefits and Outplacement Assistance for Mr. Schoening would be made in Canadian dollars and are reflected in this table in U.S. dollars using the average exchange rate for 2020 of $0.7463.</w:t>
      </w:r>
    </w:p>
    <w:p>
      <w:pPr>
        <w:spacing w:after="0" w:line="49"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Reflects value of unvested 2020 annual cash retainer award that would be accelerated and paid as a result of the separation event.</w:t>
      </w:r>
    </w:p>
    <w:p>
      <w:pPr>
        <w:spacing w:after="0" w:line="320"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bl>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Pay Ratio Disclosure</w:t>
      </w:r>
    </w:p>
    <w:p>
      <w:pPr>
        <w:spacing w:after="0" w:line="200" w:lineRule="exact"/>
        <w:rPr>
          <w:sz w:val="20"/>
          <w:szCs w:val="20"/>
          <w:color w:val="auto"/>
        </w:rPr>
      </w:pPr>
    </w:p>
    <w:p>
      <w:pPr>
        <w:spacing w:after="0" w:line="275" w:lineRule="exact"/>
        <w:rPr>
          <w:sz w:val="20"/>
          <w:szCs w:val="20"/>
          <w:color w:val="auto"/>
        </w:rPr>
      </w:pPr>
    </w:p>
    <w:p>
      <w:pPr>
        <w:ind w:right="220"/>
        <w:spacing w:after="0" w:line="267" w:lineRule="auto"/>
        <w:rPr>
          <w:sz w:val="20"/>
          <w:szCs w:val="20"/>
          <w:color w:val="auto"/>
        </w:rPr>
      </w:pPr>
      <w:r>
        <w:rPr>
          <w:rFonts w:ascii="Arial" w:cs="Arial" w:eastAsia="Arial" w:hAnsi="Arial"/>
          <w:sz w:val="15"/>
          <w:szCs w:val="15"/>
          <w:color w:val="auto"/>
        </w:rPr>
        <w:t>The 2020 annual total compensation of our median compensated employee was $52,108. Mr. Dodson’s 2020 annual total compensation was $2,970,075 and the ratio of these two amounts was 57:1.</w:t>
      </w:r>
    </w:p>
    <w:p>
      <w:pPr>
        <w:spacing w:after="0" w:line="78" w:lineRule="exact"/>
        <w:rPr>
          <w:sz w:val="20"/>
          <w:szCs w:val="20"/>
          <w:color w:val="auto"/>
        </w:rPr>
      </w:pPr>
    </w:p>
    <w:p>
      <w:pPr>
        <w:ind w:right="260"/>
        <w:spacing w:after="0" w:line="254" w:lineRule="auto"/>
        <w:rPr>
          <w:sz w:val="20"/>
          <w:szCs w:val="20"/>
          <w:color w:val="auto"/>
        </w:rPr>
      </w:pPr>
      <w:r>
        <w:rPr>
          <w:rFonts w:ascii="Arial" w:cs="Arial" w:eastAsia="Arial" w:hAnsi="Arial"/>
          <w:sz w:val="15"/>
          <w:szCs w:val="15"/>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The pay ratio reported above is a reasonable estimate calculated in a manner consistent with SEC rules based on our payroll and employment records and the methodology described below. As permitted by SEC rules, for our 2020 pay ratio, we have re-determined our median-compensated employee as we have now included the Action Catering employees that were not included in the determination of the median-compensated employee for last year’s disclosure, as permitted by SEC rules. We identified the median-compensated employee from our employee population as of December 31, 2020 using base salary or wages and overtime paid during fiscal 2020, which we annualized for any permanent employee who was not employed for the entire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290195</wp:posOffset>
            </wp:positionV>
            <wp:extent cx="374650" cy="1873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180"/>
          </w:cols>
          <w:pgMar w:left="320" w:top="123" w:right="399" w:bottom="1440" w:gutter="0" w:footer="0" w:header="0"/>
        </w:sectPr>
      </w:pPr>
    </w:p>
    <w:bookmarkStart w:id="59" w:name="page60"/>
    <w:bookmarkEnd w:id="59"/>
    <w:p>
      <w:pPr>
        <w:spacing w:after="0"/>
        <w:rPr>
          <w:sz w:val="20"/>
          <w:szCs w:val="20"/>
          <w:color w:val="auto"/>
        </w:rPr>
      </w:pPr>
      <w:r>
        <w:rPr>
          <w:rFonts w:ascii="Arial" w:cs="Arial" w:eastAsia="Arial" w:hAnsi="Arial"/>
          <w:sz w:val="43"/>
          <w:szCs w:val="43"/>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139305" cy="528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930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6DB6"/>
        </w:rPr>
        <w:t>PROPOSAL 3</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006DB6"/>
        </w:rPr>
        <w:t>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75"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2021 and the internal control over financial reporting of Civeo at December 31, 2021. E&amp;Y has audited Civeo’s, or its predecessor’s, as applicable, consolidated financial statements beginning with the year ended December 31, 2010 through the year ended December 31, 2020. Our board of directors is asking shareholders to ratify the appointment of E&amp;Y as Civeo’s auditors for the year ending December 31, 2021 and until the next annual general meeting of shareholders and to authorize the directors, acting through the Audit Committee, to determine the remuneration to be paid to E&amp;Y for 2021. If the appointment is not ratified, the Audit Committee will consider whether it is appropriate to appoint another independent registered public accounting firm for 2022. Even if the selection is ratified, the Audit Committee in its discretion may appoint a different independent registered public accounting firm at any time during the year.</w:t>
      </w:r>
    </w:p>
    <w:p>
      <w:pPr>
        <w:spacing w:after="0" w:line="94"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26, 2021.</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39305" cy="7486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9305" cy="748665"/>
                    </a:xfrm>
                    <a:prstGeom prst="rect">
                      <a:avLst/>
                    </a:prstGeom>
                    <a:noFill/>
                  </pic:spPr>
                </pic:pic>
              </a:graphicData>
            </a:graphic>
          </wp:anchor>
        </w:drawing>
      </w:r>
    </w:p>
    <w:p>
      <w:pPr>
        <w:spacing w:after="0" w:line="310" w:lineRule="exact"/>
        <w:rPr>
          <w:sz w:val="20"/>
          <w:szCs w:val="20"/>
          <w:color w:val="auto"/>
        </w:rPr>
      </w:pPr>
    </w:p>
    <w:p>
      <w:pPr>
        <w:ind w:left="140" w:right="180"/>
        <w:spacing w:after="0" w:line="263" w:lineRule="auto"/>
        <w:rPr>
          <w:sz w:val="20"/>
          <w:szCs w:val="20"/>
          <w:color w:val="auto"/>
        </w:rPr>
      </w:pPr>
      <w:r>
        <w:rPr>
          <w:rFonts w:ascii="Arial" w:cs="Arial" w:eastAsia="Arial" w:hAnsi="Arial"/>
          <w:sz w:val="15"/>
          <w:szCs w:val="15"/>
          <w:color w:val="auto"/>
        </w:rPr>
        <w:t>The board of directors recommends that shareholders vote “</w:t>
      </w:r>
      <w:r>
        <w:rPr>
          <w:rFonts w:ascii="Arial" w:cs="Arial" w:eastAsia="Arial" w:hAnsi="Arial"/>
          <w:sz w:val="15"/>
          <w:szCs w:val="15"/>
          <w:b w:val="1"/>
          <w:bCs w:val="1"/>
          <w:color w:val="006DB6"/>
        </w:rPr>
        <w:t>FOR</w:t>
      </w:r>
      <w:r>
        <w:rPr>
          <w:rFonts w:ascii="Arial" w:cs="Arial" w:eastAsia="Arial" w:hAnsi="Arial"/>
          <w:sz w:val="15"/>
          <w:szCs w:val="15"/>
          <w:color w:val="auto"/>
        </w:rPr>
        <w:t>” the ratification of the appointment of E&amp;Y as Civeo’s independent registered public accounting firm for the year ending December 31, 2021 and until the next annual general meeting of shareholders and the authorization of the directors of Civeo, acting through the Audit Committee, to determine the remuneration to be paid to E&amp;Y for 2021.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Audit Fee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aggregate fees billed by and paid to E&amp;Y for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006DB6"/>
            </w:tcBorders>
          </w:tcPr>
          <w:p>
            <w:pPr>
              <w:spacing w:after="0"/>
              <w:rPr>
                <w:sz w:val="17"/>
                <w:szCs w:val="17"/>
                <w:color w:val="auto"/>
              </w:rPr>
            </w:pPr>
          </w:p>
        </w:tc>
        <w:tc>
          <w:tcPr>
            <w:tcW w:w="260" w:type="dxa"/>
            <w:vAlign w:val="bottom"/>
            <w:tcBorders>
              <w:bottom w:val="single" w:sz="8" w:color="006DB6"/>
            </w:tcBorders>
          </w:tcPr>
          <w:p>
            <w:pPr>
              <w:spacing w:after="0"/>
              <w:rPr>
                <w:sz w:val="17"/>
                <w:szCs w:val="17"/>
                <w:color w:val="auto"/>
              </w:rPr>
            </w:pPr>
          </w:p>
        </w:tc>
        <w:tc>
          <w:tcPr>
            <w:tcW w:w="640" w:type="dxa"/>
            <w:vAlign w:val="bottom"/>
            <w:tcBorders>
              <w:bottom w:val="single" w:sz="8" w:color="006DB6"/>
            </w:tcBorders>
          </w:tcPr>
          <w:p>
            <w:pPr>
              <w:jc w:val="right"/>
              <w:ind w:right="225"/>
              <w:spacing w:after="0"/>
              <w:rPr>
                <w:sz w:val="20"/>
                <w:szCs w:val="20"/>
                <w:color w:val="auto"/>
              </w:rPr>
            </w:pPr>
            <w:r>
              <w:rPr>
                <w:rFonts w:ascii="Arial" w:cs="Arial" w:eastAsia="Arial" w:hAnsi="Arial"/>
                <w:sz w:val="14"/>
                <w:szCs w:val="14"/>
                <w:b w:val="1"/>
                <w:bCs w:val="1"/>
                <w:color w:val="706F6F"/>
              </w:rPr>
              <w:t>2020</w:t>
            </w:r>
          </w:p>
        </w:tc>
        <w:tc>
          <w:tcPr>
            <w:tcW w:w="1100" w:type="dxa"/>
            <w:vAlign w:val="bottom"/>
            <w:tcBorders>
              <w:bottom w:val="single" w:sz="8" w:color="006DB6"/>
            </w:tcBorders>
            <w:gridSpan w:val="2"/>
          </w:tcPr>
          <w:p>
            <w:pPr>
              <w:ind w:left="400"/>
              <w:spacing w:after="0"/>
              <w:rPr>
                <w:sz w:val="20"/>
                <w:szCs w:val="20"/>
                <w:color w:val="auto"/>
              </w:rPr>
            </w:pPr>
            <w:r>
              <w:rPr>
                <w:rFonts w:ascii="Arial" w:cs="Arial" w:eastAsia="Arial" w:hAnsi="Arial"/>
                <w:sz w:val="14"/>
                <w:szCs w:val="14"/>
                <w:b w:val="1"/>
                <w:bCs w:val="1"/>
                <w:color w:val="706F6F"/>
              </w:rPr>
              <w:t>2019</w:t>
            </w:r>
          </w:p>
        </w:tc>
      </w:tr>
      <w:tr>
        <w:trPr>
          <w:trHeight w:val="26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Audit Fees</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E8EEF7"/>
          </w:tcPr>
          <w:p>
            <w:pPr>
              <w:jc w:val="right"/>
              <w:ind w:right="5"/>
              <w:spacing w:after="0"/>
              <w:rPr>
                <w:sz w:val="20"/>
                <w:szCs w:val="20"/>
                <w:color w:val="auto"/>
              </w:rPr>
            </w:pPr>
            <w:r>
              <w:rPr>
                <w:rFonts w:ascii="Arial" w:cs="Arial" w:eastAsia="Arial" w:hAnsi="Arial"/>
                <w:sz w:val="15"/>
                <w:szCs w:val="15"/>
                <w:color w:val="auto"/>
              </w:rPr>
              <w:t>1,660</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1,772</w:t>
            </w:r>
          </w:p>
        </w:tc>
      </w:tr>
      <w:tr>
        <w:trPr>
          <w:trHeight w:val="26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Audit-Related Fees</w:t>
            </w:r>
          </w:p>
        </w:tc>
        <w:tc>
          <w:tcPr>
            <w:tcW w:w="260" w:type="dxa"/>
            <w:vAlign w:val="bottom"/>
            <w:tcBorders>
              <w:bottom w:val="single" w:sz="8" w:color="auto"/>
            </w:tcBorders>
            <w:shd w:val="clear" w:color="auto" w:fill="E8EEF7"/>
          </w:tcPr>
          <w:p>
            <w:pPr>
              <w:spacing w:after="0"/>
              <w:rPr>
                <w:sz w:val="22"/>
                <w:szCs w:val="22"/>
                <w:color w:val="auto"/>
              </w:rPr>
            </w:pPr>
          </w:p>
        </w:tc>
        <w:tc>
          <w:tcPr>
            <w:tcW w:w="640" w:type="dxa"/>
            <w:vAlign w:val="bottom"/>
            <w:tcBorders>
              <w:bottom w:val="single" w:sz="8" w:color="auto"/>
            </w:tcBorders>
            <w:shd w:val="clear" w:color="auto" w:fill="E8EEF7"/>
          </w:tcPr>
          <w:p>
            <w:pPr>
              <w:jc w:val="right"/>
              <w:ind w:right="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6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Tax Fees</w:t>
            </w:r>
          </w:p>
        </w:tc>
        <w:tc>
          <w:tcPr>
            <w:tcW w:w="260" w:type="dxa"/>
            <w:vAlign w:val="bottom"/>
            <w:tcBorders>
              <w:bottom w:val="single" w:sz="8" w:color="auto"/>
            </w:tcBorders>
            <w:shd w:val="clear" w:color="auto" w:fill="E8EEF7"/>
          </w:tcPr>
          <w:p>
            <w:pPr>
              <w:spacing w:after="0"/>
              <w:rPr>
                <w:sz w:val="22"/>
                <w:szCs w:val="22"/>
                <w:color w:val="auto"/>
              </w:rPr>
            </w:pPr>
          </w:p>
        </w:tc>
        <w:tc>
          <w:tcPr>
            <w:tcW w:w="640" w:type="dxa"/>
            <w:vAlign w:val="bottom"/>
            <w:tcBorders>
              <w:bottom w:val="single" w:sz="8" w:color="auto"/>
            </w:tcBorders>
            <w:shd w:val="clear" w:color="auto" w:fill="E8EEF7"/>
          </w:tcPr>
          <w:p>
            <w:pPr>
              <w:jc w:val="right"/>
              <w:ind w:right="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6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 Other Fees</w:t>
            </w:r>
          </w:p>
        </w:tc>
        <w:tc>
          <w:tcPr>
            <w:tcW w:w="260" w:type="dxa"/>
            <w:vAlign w:val="bottom"/>
            <w:tcBorders>
              <w:bottom w:val="single" w:sz="8" w:color="auto"/>
            </w:tcBorders>
            <w:shd w:val="clear" w:color="auto" w:fill="E8EEF7"/>
          </w:tcPr>
          <w:p>
            <w:pPr>
              <w:spacing w:after="0"/>
              <w:rPr>
                <w:sz w:val="22"/>
                <w:szCs w:val="22"/>
                <w:color w:val="auto"/>
              </w:rPr>
            </w:pPr>
          </w:p>
        </w:tc>
        <w:tc>
          <w:tcPr>
            <w:tcW w:w="640" w:type="dxa"/>
            <w:vAlign w:val="bottom"/>
            <w:tcBorders>
              <w:bottom w:val="single" w:sz="8" w:color="auto"/>
            </w:tcBorders>
            <w:shd w:val="clear" w:color="auto" w:fill="E8EEF7"/>
          </w:tcPr>
          <w:p>
            <w:pPr>
              <w:jc w:val="right"/>
              <w:ind w:right="5"/>
              <w:spacing w:after="0"/>
              <w:rPr>
                <w:sz w:val="20"/>
                <w:szCs w:val="20"/>
                <w:color w:val="auto"/>
              </w:rPr>
            </w:pPr>
            <w:r>
              <w:rPr>
                <w:rFonts w:ascii="Arial" w:cs="Arial" w:eastAsia="Arial" w:hAnsi="Arial"/>
                <w:sz w:val="15"/>
                <w:szCs w:val="15"/>
                <w:color w:val="auto"/>
              </w:rPr>
              <w:t>5</w:t>
            </w: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26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E8EEF7"/>
          </w:tcPr>
          <w:p>
            <w:pPr>
              <w:jc w:val="right"/>
              <w:ind w:right="5"/>
              <w:spacing w:after="0"/>
              <w:rPr>
                <w:sz w:val="20"/>
                <w:szCs w:val="20"/>
                <w:color w:val="auto"/>
              </w:rPr>
            </w:pPr>
            <w:r>
              <w:rPr>
                <w:rFonts w:ascii="Arial" w:cs="Arial" w:eastAsia="Arial" w:hAnsi="Arial"/>
                <w:sz w:val="15"/>
                <w:szCs w:val="15"/>
                <w:color w:val="auto"/>
              </w:rPr>
              <w:t>1,665</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bl>
    <w:p>
      <w:pPr>
        <w:sectPr>
          <w:pgSz w:w="11900" w:h="16838" w:orient="portrait"/>
          <w:cols w:equalWidth="0" w:num="1">
            <w:col w:w="11240"/>
          </w:cols>
          <w:pgMar w:left="320" w:top="917" w:right="3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Audit Fees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Audit-Related Fees</w:t>
      </w:r>
    </w:p>
    <w:p>
      <w:pPr>
        <w:spacing w:after="0" w:line="152"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Tax Fees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Tax fees include professional services provided for tax compliance, tax advice and tax planning, except those rendered in connection with the audit.</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06DB6"/>
        </w:rPr>
        <w:t>All Other Fees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All other fees include fees for access to an accounting research tool.</w:t>
      </w:r>
    </w:p>
    <w:p>
      <w:pPr>
        <w:spacing w:after="0" w:line="278"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Pre-Approval Policy</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2020 and 2019 were pre-approved in 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to ensure compliance with independence regulations.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Audit Committee Report</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298450</wp:posOffset>
            </wp:positionV>
            <wp:extent cx="374650" cy="1873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240"/>
          </w:cols>
          <w:pgMar w:left="320" w:top="12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006DB6"/>
        </w:rPr>
        <w:t>Audit Matters</w:t>
      </w:r>
    </w:p>
    <w:p>
      <w:pPr>
        <w:spacing w:after="0" w:line="200" w:lineRule="exact"/>
        <w:rPr>
          <w:sz w:val="20"/>
          <w:szCs w:val="20"/>
          <w:color w:val="auto"/>
        </w:rPr>
      </w:pPr>
    </w:p>
    <w:p>
      <w:pPr>
        <w:spacing w:after="0" w:line="363"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During 2020, and earlier in 2021 in preparation for the filing with the SEC of Civeo’s Annual Report on Form 10-K for the year ended December 31, 2020, the Audit Committee:</w:t>
      </w:r>
    </w:p>
    <w:p>
      <w:pPr>
        <w:spacing w:after="0" w:line="78" w:lineRule="exact"/>
        <w:rPr>
          <w:sz w:val="20"/>
          <w:szCs w:val="20"/>
          <w:color w:val="auto"/>
        </w:rPr>
      </w:pPr>
    </w:p>
    <w:p>
      <w:pPr>
        <w:ind w:left="180" w:right="480" w:hanging="177"/>
        <w:spacing w:after="0" w:line="267"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reviewed and discussed (1) the audited annual financial statements and quarterly financial statements, (2) related periodic reports filed with the SEC and (3) quarterly earnings press releases with management and E&amp;Y;</w:t>
      </w:r>
    </w:p>
    <w:p>
      <w:pPr>
        <w:spacing w:after="0" w:line="39" w:lineRule="exact"/>
        <w:rPr>
          <w:rFonts w:ascii="Arial" w:cs="Arial" w:eastAsia="Arial" w:hAnsi="Arial"/>
          <w:sz w:val="15"/>
          <w:szCs w:val="15"/>
          <w:color w:val="006DB6"/>
        </w:rPr>
      </w:pPr>
    </w:p>
    <w:p>
      <w:pPr>
        <w:ind w:left="160" w:hanging="157"/>
        <w:spacing w:after="0"/>
        <w:tabs>
          <w:tab w:leader="none" w:pos="160"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reviewed the overall scope and plans for the audit and the results of E&amp;Y’s examinations;</w:t>
      </w:r>
    </w:p>
    <w:p>
      <w:pPr>
        <w:spacing w:after="0" w:line="83" w:lineRule="exact"/>
        <w:rPr>
          <w:rFonts w:ascii="Arial" w:cs="Arial" w:eastAsia="Arial" w:hAnsi="Arial"/>
          <w:sz w:val="15"/>
          <w:szCs w:val="15"/>
          <w:color w:val="006DB6"/>
        </w:rPr>
      </w:pPr>
    </w:p>
    <w:p>
      <w:pPr>
        <w:ind w:left="180" w:right="200" w:hanging="177"/>
        <w:spacing w:after="0" w:line="267"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spacing w:after="0" w:line="39" w:lineRule="exact"/>
        <w:rPr>
          <w:rFonts w:ascii="Arial" w:cs="Arial" w:eastAsia="Arial" w:hAnsi="Arial"/>
          <w:sz w:val="15"/>
          <w:szCs w:val="15"/>
          <w:color w:val="006DB6"/>
        </w:rPr>
      </w:pPr>
    </w:p>
    <w:p>
      <w:pPr>
        <w:ind w:left="180" w:right="300" w:hanging="177"/>
        <w:spacing w:after="0" w:line="267"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spacing w:after="0" w:line="39" w:lineRule="exact"/>
        <w:rPr>
          <w:rFonts w:ascii="Arial" w:cs="Arial" w:eastAsia="Arial" w:hAnsi="Arial"/>
          <w:sz w:val="15"/>
          <w:szCs w:val="15"/>
          <w:color w:val="006DB6"/>
        </w:rPr>
      </w:pPr>
    </w:p>
    <w:p>
      <w:pPr>
        <w:ind w:left="180" w:right="520" w:hanging="177"/>
        <w:spacing w:after="0" w:line="267"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received the written disclosures and the letter from E&amp;Y required by applicable requirements of the PCAOB regarding E&amp;Y’s communications with the Audit Committee concerning independence;</w:t>
      </w:r>
    </w:p>
    <w:p>
      <w:pPr>
        <w:spacing w:after="0" w:line="52" w:lineRule="exact"/>
        <w:rPr>
          <w:rFonts w:ascii="Arial" w:cs="Arial" w:eastAsia="Arial" w:hAnsi="Arial"/>
          <w:sz w:val="15"/>
          <w:szCs w:val="15"/>
          <w:color w:val="006DB6"/>
        </w:rPr>
      </w:pPr>
    </w:p>
    <w:p>
      <w:pPr>
        <w:ind w:left="180" w:right="20" w:hanging="177"/>
        <w:spacing w:after="0" w:line="254"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PCAOB Auditing Standard No. 1301, “Communication with Audit Committees” and the applicable requirements of the SEC, and (5) any issues deemed significant by E&amp;Y, including critical audit matters addressed during the audit;</w:t>
      </w:r>
    </w:p>
    <w:p>
      <w:pPr>
        <w:spacing w:after="0" w:line="48" w:lineRule="exact"/>
        <w:rPr>
          <w:rFonts w:ascii="Arial" w:cs="Arial" w:eastAsia="Arial" w:hAnsi="Arial"/>
          <w:sz w:val="15"/>
          <w:szCs w:val="15"/>
          <w:color w:val="006DB6"/>
        </w:rPr>
      </w:pPr>
    </w:p>
    <w:p>
      <w:pPr>
        <w:ind w:left="180" w:right="20" w:hanging="177"/>
        <w:spacing w:after="0" w:line="264"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2020 for filing with the SEC; and</w:t>
      </w:r>
    </w:p>
    <w:p>
      <w:pPr>
        <w:spacing w:after="0" w:line="223" w:lineRule="exact"/>
        <w:rPr>
          <w:rFonts w:ascii="Arial" w:cs="Arial" w:eastAsia="Arial" w:hAnsi="Arial"/>
          <w:sz w:val="15"/>
          <w:szCs w:val="15"/>
          <w:color w:val="006DB6"/>
        </w:rPr>
      </w:pPr>
    </w:p>
    <w:p>
      <w:pPr>
        <w:ind w:left="180" w:right="400" w:hanging="177"/>
        <w:spacing w:after="0" w:line="267" w:lineRule="auto"/>
        <w:tabs>
          <w:tab w:leader="none" w:pos="152" w:val="left"/>
        </w:tabs>
        <w:numPr>
          <w:ilvl w:val="0"/>
          <w:numId w:val="50"/>
        </w:numPr>
        <w:rPr>
          <w:rFonts w:ascii="Arial" w:cs="Arial" w:eastAsia="Arial" w:hAnsi="Arial"/>
          <w:sz w:val="15"/>
          <w:szCs w:val="15"/>
          <w:color w:val="006DB6"/>
        </w:rPr>
      </w:pPr>
      <w:r>
        <w:rPr>
          <w:rFonts w:ascii="Arial" w:cs="Arial" w:eastAsia="Arial" w:hAnsi="Arial"/>
          <w:sz w:val="15"/>
          <w:szCs w:val="15"/>
          <w:color w:val="auto"/>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spacing w:after="0" w:line="78" w:lineRule="exact"/>
        <w:rPr>
          <w:sz w:val="20"/>
          <w:szCs w:val="20"/>
          <w:color w:val="auto"/>
        </w:rPr>
      </w:pPr>
    </w:p>
    <w:p>
      <w:pPr>
        <w:ind w:right="200"/>
        <w:spacing w:after="0" w:line="251" w:lineRule="auto"/>
        <w:rPr>
          <w:sz w:val="20"/>
          <w:szCs w:val="20"/>
          <w:color w:val="auto"/>
        </w:rPr>
      </w:pPr>
      <w:r>
        <w:rPr>
          <w:rFonts w:ascii="Arial" w:cs="Arial" w:eastAsia="Arial" w:hAnsi="Arial"/>
          <w:sz w:val="15"/>
          <w:szCs w:val="15"/>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2020 and on the representations of the independent auditors included in their report on Civeo’s financial statements.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90" w:lineRule="exact"/>
        <w:rPr>
          <w:sz w:val="20"/>
          <w:szCs w:val="20"/>
          <w:color w:val="auto"/>
        </w:rPr>
      </w:pPr>
    </w:p>
    <w:p>
      <w:pPr>
        <w:jc w:val="both"/>
        <w:ind w:right="320"/>
        <w:spacing w:after="0" w:line="258" w:lineRule="auto"/>
        <w:rPr>
          <w:sz w:val="20"/>
          <w:szCs w:val="20"/>
          <w:color w:val="auto"/>
        </w:rPr>
      </w:pPr>
      <w:r>
        <w:rPr>
          <w:rFonts w:ascii="Arial" w:cs="Arial" w:eastAsia="Arial" w:hAnsi="Arial"/>
          <w:sz w:val="15"/>
          <w:szCs w:val="15"/>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 xml:space="preserve">Constance B. Moore, </w:t>
      </w:r>
      <w:r>
        <w:rPr>
          <w:rFonts w:ascii="Arial" w:cs="Arial" w:eastAsia="Arial" w:hAnsi="Arial"/>
          <w:sz w:val="15"/>
          <w:szCs w:val="15"/>
          <w:b w:val="1"/>
          <w:bCs w:val="1"/>
          <w:i w:val="1"/>
          <w:iCs w:val="1"/>
          <w:color w:val="006DB6"/>
        </w:rPr>
        <w:t>Chair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C. Ronald Blankenship</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Charles Szalkowski</w:t>
      </w:r>
    </w:p>
    <w:p>
      <w:pPr>
        <w:spacing w:after="0" w:line="200" w:lineRule="exact"/>
        <w:rPr>
          <w:sz w:val="20"/>
          <w:szCs w:val="20"/>
          <w:color w:val="auto"/>
        </w:rPr>
      </w:pPr>
    </w:p>
    <w:p>
      <w:pPr>
        <w:spacing w:after="0" w:line="28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bl>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Arial" w:cs="Arial" w:eastAsia="Arial" w:hAnsi="Arial"/>
          <w:sz w:val="43"/>
          <w:szCs w:val="43"/>
          <w:b w:val="1"/>
          <w:bCs w:val="1"/>
          <w:color w:val="006DB6"/>
        </w:rPr>
        <w:t>Additional 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139305" cy="6921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9305" cy="69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6DB6"/>
        </w:rPr>
        <w:t>PROPOSAL 4</w:t>
      </w:r>
    </w:p>
    <w:p>
      <w:pPr>
        <w:spacing w:after="0" w:line="31" w:lineRule="exact"/>
        <w:rPr>
          <w:sz w:val="20"/>
          <w:szCs w:val="20"/>
          <w:color w:val="auto"/>
        </w:rPr>
      </w:pPr>
    </w:p>
    <w:p>
      <w:pPr>
        <w:ind w:left="140" w:right="220"/>
        <w:spacing w:after="0" w:line="250" w:lineRule="auto"/>
        <w:rPr>
          <w:sz w:val="20"/>
          <w:szCs w:val="20"/>
          <w:color w:val="auto"/>
        </w:rPr>
      </w:pPr>
      <w:r>
        <w:rPr>
          <w:rFonts w:ascii="Arial" w:cs="Arial" w:eastAsia="Arial" w:hAnsi="Arial"/>
          <w:sz w:val="24"/>
          <w:szCs w:val="24"/>
          <w:b w:val="1"/>
          <w:bCs w:val="1"/>
          <w:color w:val="006DB6"/>
        </w:rPr>
        <w:t>Advisory Vote on the Frequency of Future Advisory Votes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393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20" w:lineRule="exact"/>
        <w:rPr>
          <w:sz w:val="20"/>
          <w:szCs w:val="20"/>
          <w:color w:val="auto"/>
        </w:rPr>
      </w:pPr>
    </w:p>
    <w:p>
      <w:pPr>
        <w:jc w:val="both"/>
        <w:ind w:right="360"/>
        <w:spacing w:after="0" w:line="249" w:lineRule="auto"/>
        <w:rPr>
          <w:sz w:val="20"/>
          <w:szCs w:val="20"/>
          <w:color w:val="auto"/>
        </w:rPr>
      </w:pPr>
      <w:r>
        <w:rPr>
          <w:rFonts w:ascii="Arial" w:cs="Arial" w:eastAsia="Arial" w:hAnsi="Arial"/>
          <w:sz w:val="15"/>
          <w:szCs w:val="15"/>
          <w:color w:val="auto"/>
        </w:rPr>
        <w:t>This proposal, commonly known as a “say-when-on-pay” proposal, provides shareholders with the opportunity to vote, on a non-binding advisory basis, on the frequency with which we should conduct the say-on-pay vote. You are given the option of selecting a frequency of every one, two or three years, or abstaining.</w:t>
      </w:r>
    </w:p>
    <w:p>
      <w:pPr>
        <w:spacing w:after="0" w:line="78"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The board of directors has determined that an advisory resolution on executive compensation that is submitted to shareholders every year is the most appropriate alternative for our Company and, therefore, the board of directors recommends that you vote in favor of an annual advisory resolution on executive compensation. This recommendation is based on our belief that an annual advisory resolution on executive compensation will provide shareholders with a frequent and consistent opportunity to express their views on our executive compensation as disclosed in our annual proxy statements and will allow the Compensation Committee to take our shareholders’ views into account more quickly than a less frequent vote would allow and to evaluate changes in our shareholders’ views over time as our executive compensation program evolves.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As an advisory vote, this proposal is not binding upon us or the board of directors, and the board of directors could, if it concluded it was in our best interests to do so, choose not to follow or implement the outcome of the advisory vote. In setting the agenda for future shareholder meetings, however, we expect that the board of directors will review voting results on this proposal and give due consideration to the outcome. In future years, the board of directors could also recommend to shareholders that an advisory resolution on executive compensation be submitted to shareholders less frequently than annually.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You are not voting to approve or disapprove of the board of directors recommendation. You are being asked to select from one of the four choices set forth above.</w:t>
      </w:r>
    </w:p>
    <w:p>
      <w:pPr>
        <w:spacing w:after="0"/>
        <w:rPr>
          <w:sz w:val="20"/>
          <w:szCs w:val="20"/>
          <w:color w:val="auto"/>
        </w:rPr>
      </w:pPr>
      <w:r>
        <w:rPr>
          <w:rFonts w:ascii="Arial" w:cs="Arial" w:eastAsia="Arial" w:hAnsi="Arial"/>
          <w:sz w:val="15"/>
          <w:szCs w:val="15"/>
          <w:color w:val="auto"/>
        </w:rPr>
        <w:t>The alternative (other than abstention) that receives the most votes will be deemed the advice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39305" cy="2768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9305" cy="276860"/>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board of directors recommends that shareholders vote that future advisory resolutions on executive compensation be submitted to shareholders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247650</wp:posOffset>
            </wp:positionV>
            <wp:extent cx="374650" cy="1873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120"/>
          </w:cols>
          <w:pgMar w:left="320" w:top="917" w:right="459" w:bottom="1440" w:gutter="0" w:footer="0" w:header="0"/>
        </w:sectPr>
      </w:pPr>
    </w:p>
    <w:bookmarkStart w:id="63" w:name="page64"/>
    <w:bookmarkEnd w:id="63"/>
    <w:p>
      <w:pPr>
        <w:ind w:right="1500"/>
        <w:spacing w:after="0" w:line="278" w:lineRule="auto"/>
        <w:rPr>
          <w:sz w:val="20"/>
          <w:szCs w:val="20"/>
          <w:color w:val="auto"/>
        </w:rPr>
      </w:pPr>
      <w:r>
        <w:rPr>
          <w:rFonts w:ascii="Arial" w:cs="Arial" w:eastAsia="Arial" w:hAnsi="Arial"/>
          <w:sz w:val="43"/>
          <w:szCs w:val="43"/>
          <w:b w:val="1"/>
          <w:bCs w:val="1"/>
          <w:color w:val="006DB6"/>
        </w:rPr>
        <w:t>Security Ownership of Management and Certain Beneficial Owners</w:t>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known to Civeo with respect to the beneficial ownership of Civeo’s shares as of March 24, 2021 by:</w:t>
      </w:r>
    </w:p>
    <w:p>
      <w:pPr>
        <w:spacing w:after="0" w:line="110" w:lineRule="exact"/>
        <w:rPr>
          <w:sz w:val="20"/>
          <w:szCs w:val="20"/>
          <w:color w:val="auto"/>
        </w:rPr>
      </w:pPr>
    </w:p>
    <w:p>
      <w:pPr>
        <w:ind w:left="160" w:hanging="157"/>
        <w:spacing w:after="0"/>
        <w:tabs>
          <w:tab w:leader="none" w:pos="160" w:val="left"/>
        </w:tabs>
        <w:numPr>
          <w:ilvl w:val="0"/>
          <w:numId w:val="51"/>
        </w:numPr>
        <w:rPr>
          <w:rFonts w:ascii="Arial" w:cs="Arial" w:eastAsia="Arial" w:hAnsi="Arial"/>
          <w:sz w:val="15"/>
          <w:szCs w:val="15"/>
          <w:color w:val="006DB6"/>
        </w:rPr>
      </w:pPr>
      <w:r>
        <w:rPr>
          <w:rFonts w:ascii="Arial" w:cs="Arial" w:eastAsia="Arial" w:hAnsi="Arial"/>
          <w:sz w:val="15"/>
          <w:szCs w:val="15"/>
          <w:color w:val="auto"/>
        </w:rPr>
        <w:t>each shareholder known by Civeo to own more than 5% of Civeo’s outstanding shares;</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51"/>
        </w:numPr>
        <w:rPr>
          <w:rFonts w:ascii="Arial" w:cs="Arial" w:eastAsia="Arial" w:hAnsi="Arial"/>
          <w:sz w:val="15"/>
          <w:szCs w:val="15"/>
          <w:color w:val="006DB6"/>
        </w:rPr>
      </w:pPr>
      <w:r>
        <w:rPr>
          <w:rFonts w:ascii="Arial" w:cs="Arial" w:eastAsia="Arial" w:hAnsi="Arial"/>
          <w:sz w:val="15"/>
          <w:szCs w:val="15"/>
          <w:color w:val="auto"/>
        </w:rPr>
        <w:t>each of Civeo’s current directors;</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51"/>
        </w:numPr>
        <w:rPr>
          <w:rFonts w:ascii="Arial" w:cs="Arial" w:eastAsia="Arial" w:hAnsi="Arial"/>
          <w:sz w:val="15"/>
          <w:szCs w:val="15"/>
          <w:color w:val="006DB6"/>
        </w:rPr>
      </w:pPr>
      <w:r>
        <w:rPr>
          <w:rFonts w:ascii="Arial" w:cs="Arial" w:eastAsia="Arial" w:hAnsi="Arial"/>
          <w:sz w:val="15"/>
          <w:szCs w:val="15"/>
          <w:color w:val="auto"/>
        </w:rPr>
        <w:t>each of Civeo’s named executive officers; and</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51"/>
        </w:numPr>
        <w:rPr>
          <w:rFonts w:ascii="Arial" w:cs="Arial" w:eastAsia="Arial" w:hAnsi="Arial"/>
          <w:sz w:val="15"/>
          <w:szCs w:val="15"/>
          <w:color w:val="006DB6"/>
        </w:rPr>
      </w:pPr>
      <w:r>
        <w:rPr>
          <w:rFonts w:ascii="Arial" w:cs="Arial" w:eastAsia="Arial" w:hAnsi="Arial"/>
          <w:sz w:val="15"/>
          <w:szCs w:val="15"/>
          <w:color w:val="auto"/>
        </w:rPr>
        <w:t>all of Civeo’s current directors and executive officers as a group.</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and that could be issued upon conversion of preferred shares of Civeo within 60 days of March 24, 2021 are considered outstanding. These shares, however, are not considered outstanding as of March 24, 2021 when computing the percentage ownership of each other person.</w:t>
      </w:r>
    </w:p>
    <w:p>
      <w:pPr>
        <w:spacing w:after="0" w:line="74"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To our knowledge, except as indicated in the footnotes to this table or as provided by applicable community property laws, the persons named in the table have sole voting and investment power with respect to the shares indicated.</w:t>
      </w:r>
    </w:p>
    <w:p>
      <w:pPr>
        <w:sectPr>
          <w:pgSz w:w="11900" w:h="16838" w:orient="portrait"/>
          <w:cols w:equalWidth="0" w:num="1">
            <w:col w:w="11240"/>
          </w:cols>
          <w:pgMar w:left="320" w:top="91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70706F"/>
        </w:rPr>
        <w:t>Name and Address of Beneficial Owners</w:t>
      </w:r>
      <w:r>
        <w:rPr>
          <w:rFonts w:ascii="Arial" w:cs="Arial" w:eastAsia="Arial" w:hAnsi="Arial"/>
          <w:sz w:val="17"/>
          <w:szCs w:val="17"/>
          <w:b w:val="1"/>
          <w:bCs w:val="1"/>
          <w:color w:val="70706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930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Lance Torgerson</w:t>
      </w:r>
      <w:r>
        <w:rPr>
          <w:rFonts w:ascii="Arial" w:cs="Arial" w:eastAsia="Arial" w:hAnsi="Arial"/>
          <w:sz w:val="19"/>
          <w:szCs w:val="19"/>
          <w:b w:val="1"/>
          <w:bCs w:val="1"/>
          <w:color w:val="006DB6"/>
          <w:vertAlign w:val="superscript"/>
        </w:rPr>
        <w:t>(3)</w:t>
      </w:r>
    </w:p>
    <w:p>
      <w:pPr>
        <w:ind w:left="320"/>
        <w:spacing w:after="0"/>
        <w:rPr>
          <w:sz w:val="20"/>
          <w:szCs w:val="20"/>
          <w:color w:val="auto"/>
        </w:rPr>
      </w:pPr>
      <w:r>
        <w:rPr>
          <w:rFonts w:ascii="Arial" w:cs="Arial" w:eastAsia="Arial" w:hAnsi="Arial"/>
          <w:sz w:val="15"/>
          <w:szCs w:val="15"/>
          <w:color w:val="auto"/>
        </w:rPr>
        <w:t>596 McClure Road</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Kelowna, British Columbia V1W 1H3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71393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6DB6"/>
        </w:rPr>
        <w:t>Horizon Kinetics LLC</w:t>
      </w:r>
      <w:r>
        <w:rPr>
          <w:rFonts w:ascii="Arial" w:cs="Arial" w:eastAsia="Arial" w:hAnsi="Arial"/>
          <w:sz w:val="19"/>
          <w:szCs w:val="19"/>
          <w:b w:val="1"/>
          <w:bCs w:val="1"/>
          <w:color w:val="006DB6"/>
          <w:vertAlign w:val="superscript"/>
        </w:rPr>
        <w:t>(4)</w:t>
      </w:r>
    </w:p>
    <w:p>
      <w:pPr>
        <w:ind w:left="320"/>
        <w:spacing w:after="0"/>
        <w:rPr>
          <w:sz w:val="20"/>
          <w:szCs w:val="20"/>
          <w:color w:val="auto"/>
        </w:rPr>
      </w:pPr>
      <w:r>
        <w:rPr>
          <w:rFonts w:ascii="Arial" w:cs="Arial" w:eastAsia="Arial" w:hAnsi="Arial"/>
          <w:sz w:val="15"/>
          <w:szCs w:val="15"/>
          <w:color w:val="auto"/>
        </w:rPr>
        <w:t>470 Park Avenue South, 4th Floor South</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New York, NY 10016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71393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70706F"/>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19050</wp:posOffset>
            </wp:positionV>
            <wp:extent cx="1986280"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86280" cy="1651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70706F"/>
        </w:rPr>
        <w:t>Common</w:t>
      </w:r>
    </w:p>
    <w:p>
      <w:pPr>
        <w:jc w:val="both"/>
        <w:ind w:left="280"/>
        <w:spacing w:after="0" w:line="182" w:lineRule="auto"/>
        <w:tabs>
          <w:tab w:leader="none" w:pos="1500" w:val="left"/>
        </w:tabs>
        <w:rPr>
          <w:sz w:val="20"/>
          <w:szCs w:val="20"/>
          <w:color w:val="auto"/>
        </w:rPr>
      </w:pPr>
      <w:r>
        <w:rPr>
          <w:rFonts w:ascii="Arial" w:cs="Arial" w:eastAsia="Arial" w:hAnsi="Arial"/>
          <w:sz w:val="25"/>
          <w:szCs w:val="25"/>
          <w:b w:val="1"/>
          <w:bCs w:val="1"/>
          <w:color w:val="70706F"/>
          <w:vertAlign w:val="subscript"/>
        </w:rPr>
        <w:t>Shares</w:t>
      </w:r>
      <w:r>
        <w:rPr>
          <w:sz w:val="20"/>
          <w:szCs w:val="20"/>
          <w:color w:val="auto"/>
        </w:rPr>
        <w:tab/>
      </w:r>
      <w:r>
        <w:rPr>
          <w:rFonts w:ascii="Arial" w:cs="Arial" w:eastAsia="Arial" w:hAnsi="Arial"/>
          <w:sz w:val="13"/>
          <w:szCs w:val="13"/>
          <w:b w:val="1"/>
          <w:bCs w:val="1"/>
          <w:color w:val="70706F"/>
        </w:rPr>
        <w:t>Percentage</w:t>
      </w:r>
      <w:r>
        <w:rPr>
          <w:rFonts w:ascii="Arial" w:cs="Arial" w:eastAsia="Arial" w:hAnsi="Arial"/>
          <w:sz w:val="16"/>
          <w:szCs w:val="16"/>
          <w:b w:val="1"/>
          <w:bCs w:val="1"/>
          <w:color w:val="70706F"/>
          <w:vertAlign w:val="superscript"/>
        </w:rPr>
        <w:t>(2)</w:t>
      </w:r>
    </w:p>
    <w:p>
      <w:pPr>
        <w:spacing w:after="0" w:line="40" w:lineRule="exact"/>
        <w:rPr>
          <w:sz w:val="20"/>
          <w:szCs w:val="20"/>
          <w:color w:val="auto"/>
        </w:rPr>
      </w:pPr>
    </w:p>
    <w:p>
      <w:pPr>
        <w:spacing w:after="0"/>
        <w:tabs>
          <w:tab w:leader="none" w:pos="1860" w:val="left"/>
        </w:tabs>
        <w:rPr>
          <w:sz w:val="20"/>
          <w:szCs w:val="20"/>
          <w:color w:val="auto"/>
        </w:rPr>
      </w:pPr>
      <w:r>
        <w:rPr>
          <w:rFonts w:ascii="Arial" w:cs="Arial" w:eastAsia="Arial" w:hAnsi="Arial"/>
          <w:sz w:val="15"/>
          <w:szCs w:val="15"/>
          <w:color w:val="auto"/>
        </w:rPr>
        <w:t>4,680,106</w:t>
      </w:r>
      <w:r>
        <w:rPr>
          <w:sz w:val="20"/>
          <w:szCs w:val="20"/>
          <w:color w:val="auto"/>
        </w:rPr>
        <w:tab/>
      </w:r>
      <w:r>
        <w:rPr>
          <w:rFonts w:ascii="Arial" w:cs="Arial" w:eastAsia="Arial" w:hAnsi="Arial"/>
          <w:sz w:val="15"/>
          <w:szCs w:val="15"/>
          <w:color w:val="auto"/>
        </w:rPr>
        <w:t>28.0 %</w:t>
      </w:r>
    </w:p>
    <w:p>
      <w:pPr>
        <w:spacing w:after="0" w:line="200" w:lineRule="exact"/>
        <w:rPr>
          <w:sz w:val="20"/>
          <w:szCs w:val="20"/>
          <w:color w:val="auto"/>
        </w:rPr>
      </w:pPr>
    </w:p>
    <w:p>
      <w:pPr>
        <w:spacing w:after="0" w:line="281" w:lineRule="exact"/>
        <w:rPr>
          <w:sz w:val="20"/>
          <w:szCs w:val="20"/>
          <w:color w:val="auto"/>
        </w:rPr>
      </w:pPr>
    </w:p>
    <w:p>
      <w:pPr>
        <w:spacing w:after="0"/>
        <w:tabs>
          <w:tab w:leader="none" w:pos="1860" w:val="left"/>
        </w:tabs>
        <w:rPr>
          <w:sz w:val="20"/>
          <w:szCs w:val="20"/>
          <w:color w:val="auto"/>
        </w:rPr>
      </w:pPr>
      <w:r>
        <w:rPr>
          <w:rFonts w:ascii="Arial" w:cs="Arial" w:eastAsia="Arial" w:hAnsi="Arial"/>
          <w:sz w:val="15"/>
          <w:szCs w:val="15"/>
          <w:color w:val="auto"/>
        </w:rPr>
        <w:t>3,023,090</w:t>
      </w:r>
      <w:r>
        <w:rPr>
          <w:sz w:val="20"/>
          <w:szCs w:val="20"/>
          <w:color w:val="auto"/>
        </w:rPr>
        <w:tab/>
      </w:r>
      <w:r>
        <w:rPr>
          <w:rFonts w:ascii="Arial" w:cs="Arial" w:eastAsia="Arial" w:hAnsi="Arial"/>
          <w:sz w:val="15"/>
          <w:szCs w:val="15"/>
          <w:color w:val="auto"/>
        </w:rPr>
        <w:t>21.2 %</w:t>
      </w:r>
    </w:p>
    <w:p>
      <w:pPr>
        <w:spacing w:after="0" w:line="442" w:lineRule="exact"/>
        <w:rPr>
          <w:sz w:val="20"/>
          <w:szCs w:val="20"/>
          <w:color w:val="auto"/>
        </w:rPr>
      </w:pPr>
    </w:p>
    <w:p>
      <w:pPr>
        <w:sectPr>
          <w:pgSz w:w="11900" w:h="16838" w:orient="portrait"/>
          <w:cols w:equalWidth="0" w:num="2">
            <w:col w:w="8140" w:space="720"/>
            <w:col w:w="2380"/>
          </w:cols>
          <w:pgMar w:left="320" w:top="917"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700" w:type="dxa"/>
            <w:vAlign w:val="bottom"/>
          </w:tcPr>
          <w:p>
            <w:pPr>
              <w:ind w:left="20"/>
              <w:spacing w:after="0"/>
              <w:rPr>
                <w:sz w:val="20"/>
                <w:szCs w:val="20"/>
                <w:color w:val="auto"/>
              </w:rPr>
            </w:pPr>
            <w:r>
              <w:rPr>
                <w:rFonts w:ascii="Arial" w:cs="Arial" w:eastAsia="Arial" w:hAnsi="Arial"/>
                <w:sz w:val="15"/>
                <w:szCs w:val="15"/>
                <w:b w:val="1"/>
                <w:bCs w:val="1"/>
                <w:color w:val="006DB6"/>
              </w:rPr>
              <w:t>FMR LLC</w:t>
            </w:r>
            <w:r>
              <w:rPr>
                <w:rFonts w:ascii="Arial" w:cs="Arial" w:eastAsia="Arial" w:hAnsi="Arial"/>
                <w:sz w:val="19"/>
                <w:szCs w:val="19"/>
                <w:b w:val="1"/>
                <w:bCs w:val="1"/>
                <w:color w:val="006DB6"/>
                <w:vertAlign w:val="superscript"/>
              </w:rPr>
              <w:t>(5)</w:t>
            </w:r>
          </w:p>
        </w:tc>
        <w:tc>
          <w:tcPr>
            <w:tcW w:w="3440" w:type="dxa"/>
            <w:vAlign w:val="bottom"/>
          </w:tcPr>
          <w:p>
            <w:pPr>
              <w:jc w:val="right"/>
              <w:ind w:right="523"/>
              <w:spacing w:after="0"/>
              <w:rPr>
                <w:sz w:val="20"/>
                <w:szCs w:val="20"/>
                <w:color w:val="auto"/>
              </w:rPr>
            </w:pPr>
            <w:r>
              <w:rPr>
                <w:rFonts w:ascii="Arial" w:cs="Arial" w:eastAsia="Arial" w:hAnsi="Arial"/>
                <w:sz w:val="15"/>
                <w:szCs w:val="15"/>
                <w:color w:val="auto"/>
              </w:rPr>
              <w:t>1,425,832</w:t>
            </w:r>
          </w:p>
        </w:tc>
        <w:tc>
          <w:tcPr>
            <w:tcW w:w="110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179"/>
        </w:trPr>
        <w:tc>
          <w:tcPr>
            <w:tcW w:w="6700" w:type="dxa"/>
            <w:vAlign w:val="bottom"/>
          </w:tcPr>
          <w:p>
            <w:pPr>
              <w:ind w:left="320"/>
              <w:spacing w:after="0"/>
              <w:rPr>
                <w:sz w:val="20"/>
                <w:szCs w:val="20"/>
                <w:color w:val="auto"/>
              </w:rPr>
            </w:pPr>
            <w:r>
              <w:rPr>
                <w:rFonts w:ascii="Arial" w:cs="Arial" w:eastAsia="Arial" w:hAnsi="Arial"/>
                <w:sz w:val="15"/>
                <w:szCs w:val="15"/>
                <w:color w:val="auto"/>
              </w:rPr>
              <w:t>245 Summer Street</w:t>
            </w:r>
          </w:p>
        </w:tc>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700" w:type="dxa"/>
            <w:vAlign w:val="bottom"/>
          </w:tcPr>
          <w:p>
            <w:pPr>
              <w:ind w:left="320"/>
              <w:spacing w:after="0"/>
              <w:rPr>
                <w:sz w:val="20"/>
                <w:szCs w:val="20"/>
                <w:color w:val="auto"/>
              </w:rPr>
            </w:pPr>
            <w:r>
              <w:rPr>
                <w:rFonts w:ascii="Arial" w:cs="Arial" w:eastAsia="Arial" w:hAnsi="Arial"/>
                <w:sz w:val="15"/>
                <w:szCs w:val="15"/>
                <w:color w:val="auto"/>
              </w:rPr>
              <w:t>Boston, MA 02210</w:t>
            </w:r>
          </w:p>
        </w:tc>
        <w:tc>
          <w:tcPr>
            <w:tcW w:w="3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4"/>
        </w:trPr>
        <w:tc>
          <w:tcPr>
            <w:tcW w:w="67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3"/>
        </w:trPr>
        <w:tc>
          <w:tcPr>
            <w:tcW w:w="6700" w:type="dxa"/>
            <w:vAlign w:val="bottom"/>
          </w:tcPr>
          <w:p>
            <w:pPr>
              <w:ind w:left="20"/>
              <w:spacing w:after="0" w:line="213" w:lineRule="exact"/>
              <w:rPr>
                <w:sz w:val="20"/>
                <w:szCs w:val="20"/>
                <w:color w:val="auto"/>
              </w:rPr>
            </w:pPr>
            <w:r>
              <w:rPr>
                <w:rFonts w:ascii="Arial" w:cs="Arial" w:eastAsia="Arial" w:hAnsi="Arial"/>
                <w:sz w:val="15"/>
                <w:szCs w:val="15"/>
                <w:b w:val="1"/>
                <w:bCs w:val="1"/>
                <w:color w:val="006DB6"/>
              </w:rPr>
              <w:t>Renaissance Technologies LLC</w:t>
            </w:r>
            <w:r>
              <w:rPr>
                <w:rFonts w:ascii="Arial" w:cs="Arial" w:eastAsia="Arial" w:hAnsi="Arial"/>
                <w:sz w:val="19"/>
                <w:szCs w:val="19"/>
                <w:b w:val="1"/>
                <w:bCs w:val="1"/>
                <w:color w:val="006DB6"/>
                <w:vertAlign w:val="superscript"/>
              </w:rPr>
              <w:t>(6)</w:t>
            </w:r>
          </w:p>
        </w:tc>
        <w:tc>
          <w:tcPr>
            <w:tcW w:w="3440" w:type="dxa"/>
            <w:vAlign w:val="bottom"/>
          </w:tcPr>
          <w:p>
            <w:pPr>
              <w:jc w:val="right"/>
              <w:ind w:right="523"/>
              <w:spacing w:after="0"/>
              <w:rPr>
                <w:sz w:val="20"/>
                <w:szCs w:val="20"/>
                <w:color w:val="auto"/>
              </w:rPr>
            </w:pPr>
            <w:r>
              <w:rPr>
                <w:rFonts w:ascii="Arial" w:cs="Arial" w:eastAsia="Arial" w:hAnsi="Arial"/>
                <w:sz w:val="15"/>
                <w:szCs w:val="15"/>
                <w:color w:val="auto"/>
              </w:rPr>
              <w:t>864,848</w:t>
            </w:r>
          </w:p>
        </w:tc>
        <w:tc>
          <w:tcPr>
            <w:tcW w:w="1100" w:type="dxa"/>
            <w:vAlign w:val="bottom"/>
          </w:tcPr>
          <w:p>
            <w:pPr>
              <w:jc w:val="right"/>
              <w:spacing w:after="0"/>
              <w:rPr>
                <w:sz w:val="20"/>
                <w:szCs w:val="20"/>
                <w:color w:val="auto"/>
              </w:rPr>
            </w:pPr>
            <w:r>
              <w:rPr>
                <w:rFonts w:ascii="Arial" w:cs="Arial" w:eastAsia="Arial" w:hAnsi="Arial"/>
                <w:sz w:val="15"/>
                <w:szCs w:val="15"/>
                <w:color w:val="auto"/>
              </w:rPr>
              <w:t>6.1 %</w:t>
            </w:r>
          </w:p>
        </w:tc>
      </w:tr>
      <w:tr>
        <w:trPr>
          <w:trHeight w:val="179"/>
        </w:trPr>
        <w:tc>
          <w:tcPr>
            <w:tcW w:w="6700" w:type="dxa"/>
            <w:vAlign w:val="bottom"/>
          </w:tcPr>
          <w:p>
            <w:pPr>
              <w:ind w:left="320"/>
              <w:spacing w:after="0"/>
              <w:rPr>
                <w:sz w:val="20"/>
                <w:szCs w:val="20"/>
                <w:color w:val="auto"/>
              </w:rPr>
            </w:pPr>
            <w:r>
              <w:rPr>
                <w:rFonts w:ascii="Arial" w:cs="Arial" w:eastAsia="Arial" w:hAnsi="Arial"/>
                <w:sz w:val="15"/>
                <w:szCs w:val="15"/>
                <w:color w:val="auto"/>
              </w:rPr>
              <w:t>800 Third Avenue</w:t>
            </w:r>
          </w:p>
        </w:tc>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700" w:type="dxa"/>
            <w:vAlign w:val="bottom"/>
          </w:tcPr>
          <w:p>
            <w:pPr>
              <w:ind w:left="320"/>
              <w:spacing w:after="0"/>
              <w:rPr>
                <w:sz w:val="20"/>
                <w:szCs w:val="20"/>
                <w:color w:val="auto"/>
              </w:rPr>
            </w:pPr>
            <w:r>
              <w:rPr>
                <w:rFonts w:ascii="Arial" w:cs="Arial" w:eastAsia="Arial" w:hAnsi="Arial"/>
                <w:sz w:val="15"/>
                <w:szCs w:val="15"/>
                <w:color w:val="auto"/>
              </w:rPr>
              <w:t>New York, NY 10022</w:t>
            </w:r>
          </w:p>
        </w:tc>
        <w:tc>
          <w:tcPr>
            <w:tcW w:w="3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4"/>
        </w:trPr>
        <w:tc>
          <w:tcPr>
            <w:tcW w:w="67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3"/>
        </w:trPr>
        <w:tc>
          <w:tcPr>
            <w:tcW w:w="6700" w:type="dxa"/>
            <w:vAlign w:val="bottom"/>
          </w:tcPr>
          <w:p>
            <w:pPr>
              <w:ind w:left="20"/>
              <w:spacing w:after="0" w:line="213" w:lineRule="exact"/>
              <w:rPr>
                <w:sz w:val="20"/>
                <w:szCs w:val="20"/>
                <w:color w:val="auto"/>
              </w:rPr>
            </w:pPr>
            <w:r>
              <w:rPr>
                <w:rFonts w:ascii="Arial" w:cs="Arial" w:eastAsia="Arial" w:hAnsi="Arial"/>
                <w:sz w:val="15"/>
                <w:szCs w:val="15"/>
                <w:b w:val="1"/>
                <w:bCs w:val="1"/>
                <w:color w:val="006DB6"/>
              </w:rPr>
              <w:t>Prescott Group Capital Management L.L.C.</w:t>
            </w:r>
            <w:r>
              <w:rPr>
                <w:rFonts w:ascii="Arial" w:cs="Arial" w:eastAsia="Arial" w:hAnsi="Arial"/>
                <w:sz w:val="19"/>
                <w:szCs w:val="19"/>
                <w:b w:val="1"/>
                <w:bCs w:val="1"/>
                <w:color w:val="006DB6"/>
                <w:vertAlign w:val="superscript"/>
              </w:rPr>
              <w:t>(7)</w:t>
            </w:r>
          </w:p>
        </w:tc>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9"/>
        </w:trPr>
        <w:tc>
          <w:tcPr>
            <w:tcW w:w="6700" w:type="dxa"/>
            <w:vAlign w:val="bottom"/>
          </w:tcPr>
          <w:p>
            <w:pPr>
              <w:ind w:left="320"/>
              <w:spacing w:after="0"/>
              <w:rPr>
                <w:sz w:val="20"/>
                <w:szCs w:val="20"/>
                <w:color w:val="auto"/>
              </w:rPr>
            </w:pPr>
            <w:r>
              <w:rPr>
                <w:rFonts w:ascii="Arial" w:cs="Arial" w:eastAsia="Arial" w:hAnsi="Arial"/>
                <w:sz w:val="15"/>
                <w:szCs w:val="15"/>
                <w:color w:val="auto"/>
              </w:rPr>
              <w:t>1924 South Utica</w:t>
            </w:r>
          </w:p>
        </w:tc>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67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Tulsa, OK 74104</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844,722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5.9 %</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Richard A. Navarre</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27,176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6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Bradley J. Dodson</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160,606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Carolyn J. Stone</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38,598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Peter L. McCann</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26,165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Allan D. Schoening</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29,226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 Ronald Blankenship</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21,297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Martin A. Lambert</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76,428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Constance B. Moore</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22,240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Charles Szalkowski</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15,100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006DB6"/>
              </w:rPr>
              <w:t>Timothy O. Wall</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7,117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6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 current directors and executive officers as a group (10 persons)</w:t>
            </w:r>
          </w:p>
        </w:tc>
        <w:tc>
          <w:tcPr>
            <w:tcW w:w="34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423,953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w:t>
            </w:r>
          </w:p>
        </w:tc>
      </w:tr>
    </w:tbl>
    <w:p>
      <w:pPr>
        <w:spacing w:after="0" w:line="64" w:lineRule="exact"/>
        <w:rPr>
          <w:sz w:val="20"/>
          <w:szCs w:val="20"/>
          <w:color w:val="auto"/>
        </w:rPr>
      </w:pPr>
    </w:p>
    <w:p>
      <w:pPr>
        <w:ind w:left="240" w:hanging="237"/>
        <w:spacing w:after="0"/>
        <w:tabs>
          <w:tab w:leader="none" w:pos="2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Less than one percent.</w:t>
      </w:r>
    </w:p>
    <w:p>
      <w:pPr>
        <w:spacing w:after="0" w:line="11" w:lineRule="exact"/>
        <w:rPr>
          <w:sz w:val="20"/>
          <w:szCs w:val="20"/>
          <w:color w:val="auto"/>
        </w:rPr>
      </w:pPr>
    </w:p>
    <w:p>
      <w:pPr>
        <w:ind w:left="260" w:hanging="257"/>
        <w:spacing w:after="0"/>
        <w:tabs>
          <w:tab w:leader="none" w:pos="26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Unless otherwise indicated, the address of each beneficial owner is c/o Civeo Corporation, Three Allen Center, 333 Clay Street, Suite 4980, Houston, Texas 77002.</w:t>
      </w:r>
    </w:p>
    <w:p>
      <w:pPr>
        <w:spacing w:after="0" w:line="92" w:lineRule="exact"/>
        <w:rPr>
          <w:rFonts w:ascii="Arial" w:cs="Arial" w:eastAsia="Arial" w:hAnsi="Arial"/>
          <w:sz w:val="18"/>
          <w:szCs w:val="18"/>
          <w:color w:val="auto"/>
          <w:vertAlign w:val="superscript"/>
        </w:rPr>
      </w:pPr>
    </w:p>
    <w:p>
      <w:pPr>
        <w:ind w:left="240" w:right="80" w:hanging="237"/>
        <w:spacing w:after="0" w:line="207" w:lineRule="auto"/>
        <w:tabs>
          <w:tab w:leader="none" w:pos="243"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Based on total shares outstanding of 14,292,135 as of March 24, 2021 and the number of shares that could be issued upon the exercise of outstanding options held by a person that are currently exercisable, or that could be issued upon conversion of preferred shares of Civeo</w:t>
      </w:r>
    </w:p>
    <w:p>
      <w:pPr>
        <w:spacing w:after="0" w:line="320"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bl>
    <w:p>
      <w:pPr>
        <w:sectPr>
          <w:pgSz w:w="11900" w:h="16838" w:orient="portrait"/>
          <w:cols w:equalWidth="0" w:num="1">
            <w:col w:w="11240"/>
          </w:cols>
          <w:pgMar w:left="320" w:top="917"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5"/>
          <w:szCs w:val="15"/>
          <w:b w:val="1"/>
          <w:bCs w:val="1"/>
          <w:color w:val="006DB6"/>
        </w:rPr>
        <w:t>Security Ownership of Management and Certain Beneficial Owners</w:t>
      </w:r>
    </w:p>
    <w:p>
      <w:pPr>
        <w:spacing w:after="0" w:line="200" w:lineRule="exact"/>
        <w:rPr>
          <w:sz w:val="20"/>
          <w:szCs w:val="20"/>
          <w:color w:val="auto"/>
        </w:rPr>
      </w:pPr>
    </w:p>
    <w:p>
      <w:pPr>
        <w:spacing w:after="0" w:line="366" w:lineRule="exact"/>
        <w:rPr>
          <w:sz w:val="20"/>
          <w:szCs w:val="20"/>
          <w:color w:val="auto"/>
        </w:rPr>
      </w:pPr>
    </w:p>
    <w:p>
      <w:pPr>
        <w:ind w:left="240" w:right="20"/>
        <w:spacing w:after="0" w:line="236" w:lineRule="auto"/>
        <w:rPr>
          <w:sz w:val="20"/>
          <w:szCs w:val="20"/>
          <w:color w:val="auto"/>
        </w:rPr>
      </w:pPr>
      <w:r>
        <w:rPr>
          <w:rFonts w:ascii="Arial" w:cs="Arial" w:eastAsia="Arial" w:hAnsi="Arial"/>
          <w:sz w:val="14"/>
          <w:szCs w:val="14"/>
          <w:color w:val="auto"/>
        </w:rPr>
        <w:t>within 60 days of March 24, 2021, provided, however, that such shares are not considered outstanding as of March 24, 2021 when computing the percentage ownership of each other person.</w:t>
      </w:r>
    </w:p>
    <w:p>
      <w:pPr>
        <w:spacing w:after="0" w:line="94" w:lineRule="exact"/>
        <w:rPr>
          <w:sz w:val="20"/>
          <w:szCs w:val="20"/>
          <w:color w:val="auto"/>
        </w:rPr>
      </w:pPr>
    </w:p>
    <w:p>
      <w:pPr>
        <w:ind w:left="240" w:hanging="237"/>
        <w:spacing w:after="0" w:line="243" w:lineRule="auto"/>
        <w:tabs>
          <w:tab w:leader="none" w:pos="243" w:val="left"/>
        </w:tabs>
        <w:numPr>
          <w:ilvl w:val="0"/>
          <w:numId w:val="54"/>
        </w:numPr>
        <w:rPr>
          <w:rFonts w:ascii="Arial" w:cs="Arial" w:eastAsia="Arial" w:hAnsi="Arial"/>
          <w:sz w:val="17"/>
          <w:szCs w:val="17"/>
          <w:color w:val="auto"/>
          <w:vertAlign w:val="superscript"/>
        </w:rPr>
      </w:pPr>
      <w:r>
        <w:rPr>
          <w:rFonts w:ascii="Arial" w:cs="Arial" w:eastAsia="Arial" w:hAnsi="Arial"/>
          <w:sz w:val="13"/>
          <w:szCs w:val="13"/>
          <w:color w:val="auto"/>
        </w:rPr>
        <w:t>Based on a Form 4 filed pursuant to the Exchange Act on March 23, 2021, Torgerson Family Trust may be deemed to have shared power to vote or to direct the vote and shared power to dispose or to direct the disposition of an aggregate of 1,781,860 shares held directly by Torgerson Family Trust. 989677 Alberta Ltd. may be deemed to have shared power to vote or to direct the vote and shared power to dispose or to direct the disposition of an aggregate of 486,276 shares held directly by 989677 Alberta Ltd. As direct owner of all of the voting shares of 989677 Alberta Ltd., Svenco Investments Ltd. may be deemed to have shared power to vote or to direct the vote and shared power to dispose or to direct the disposition of an aggregate of 486,276 shares held directly by 989677 Alberta Ltd. As one of three cotrustees of Torgerson Family Trust, Lance Torgerson may be deemed to have shared power to vote or to direct the vote and shared power to dispose or to direct the disposition of an aggregate of 1,781,860 shares held by Torgerson Family Trust. As sole director and indirect beneficial owner of all of the voting shares of 989677 Alberta Ltd., Lance Torgerson may be deemed to have shared power to vote or to direct the vote and shared power to dispose or to direct the disposition of an aggregate of 486,276 shares held directly by 989677 Alberta Ltd. As one of three co-trustees of Torgerson Family Trust, Tammy Torgerson may be deemed to have shared power to vote or to direct the vote and shared power to dispose or to direct the disposition of an aggregate of 1,781,860 shares held directly by Torgerson Family Trust.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486,276 shares held directly by 989677 Alberta Ltd. Tammy Torgerson disclaims beneficial ownership, voting power, and power to dispose of the 486,276 shares held directly by 989677 Alberta Ltd. and indirectly by her spouse, Lance Torgerson. As one of three co-trustees of Torgerson Family Trust, Richard Torgerson may be deemed to have shared power to vote or to direct the vote and shared power to dispose or to direct the disposition of an aggregate of 1,781,860 shares held directly by Torgerson Family Trust. Richard Torgerson disclaims beneficial ownership, voting power, and power to dispose of the 1,781,860 shares held directly by Torgerson Family Trust. Includes 2,411,970 common shares issuable upon conversion of 9,042 Class A Series 1 preferred shares held by Torgerson Family Trust, which may be converted at the option of the holder at any time after April 2, 2020.</w:t>
      </w:r>
    </w:p>
    <w:p>
      <w:pPr>
        <w:spacing w:after="0" w:line="57" w:lineRule="exact"/>
        <w:rPr>
          <w:rFonts w:ascii="Arial" w:cs="Arial" w:eastAsia="Arial" w:hAnsi="Arial"/>
          <w:sz w:val="17"/>
          <w:szCs w:val="17"/>
          <w:color w:val="auto"/>
          <w:vertAlign w:val="superscript"/>
        </w:rPr>
      </w:pPr>
    </w:p>
    <w:p>
      <w:pPr>
        <w:ind w:left="240" w:right="180" w:hanging="237"/>
        <w:spacing w:after="0" w:line="236" w:lineRule="auto"/>
        <w:tabs>
          <w:tab w:leader="none" w:pos="243" w:val="left"/>
        </w:tabs>
        <w:numPr>
          <w:ilvl w:val="0"/>
          <w:numId w:val="54"/>
        </w:numPr>
        <w:rPr>
          <w:rFonts w:ascii="Arial" w:cs="Arial" w:eastAsia="Arial" w:hAnsi="Arial"/>
          <w:sz w:val="9"/>
          <w:szCs w:val="9"/>
          <w:color w:val="auto"/>
        </w:rPr>
      </w:pPr>
      <w:r>
        <w:rPr>
          <w:rFonts w:ascii="Arial" w:cs="Arial" w:eastAsia="Arial" w:hAnsi="Arial"/>
          <w:sz w:val="14"/>
          <w:szCs w:val="14"/>
          <w:color w:val="auto"/>
        </w:rPr>
        <w:t>Based on a Schedule 13G/A filed pursuant to the Exchange Act on February 16, 2021, Horizon Kinetics Asset Management LLC has beneficial ownership of 3,023,090 shares and sole voting and dispositive power over those shares.</w:t>
      </w:r>
    </w:p>
    <w:p>
      <w:pPr>
        <w:spacing w:after="0" w:line="67" w:lineRule="exact"/>
        <w:rPr>
          <w:rFonts w:ascii="Arial" w:cs="Arial" w:eastAsia="Arial" w:hAnsi="Arial"/>
          <w:sz w:val="9"/>
          <w:szCs w:val="9"/>
          <w:color w:val="auto"/>
        </w:rPr>
      </w:pPr>
    </w:p>
    <w:p>
      <w:pPr>
        <w:ind w:left="240" w:hanging="237"/>
        <w:spacing w:after="0" w:line="225" w:lineRule="auto"/>
        <w:tabs>
          <w:tab w:leader="none" w:pos="24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Based on a Schedule 13G/A filed pursuant to the Exchange Act on February 5, 2021, FMR LLC has beneficial ownership of 1,425,832 shares, the sole power to vote or direct the vote of 149,340 shares, and the sole power to dispose or direct the disposition of 1,425,832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 No. 34-39538 (January 12, 1998).</w:t>
      </w:r>
    </w:p>
    <w:p>
      <w:pPr>
        <w:spacing w:after="0" w:line="55" w:lineRule="exact"/>
        <w:rPr>
          <w:rFonts w:ascii="Arial" w:cs="Arial" w:eastAsia="Arial" w:hAnsi="Arial"/>
          <w:sz w:val="18"/>
          <w:szCs w:val="18"/>
          <w:color w:val="auto"/>
          <w:vertAlign w:val="superscript"/>
        </w:rPr>
      </w:pPr>
    </w:p>
    <w:p>
      <w:pPr>
        <w:ind w:left="240" w:right="380" w:hanging="237"/>
        <w:spacing w:after="0" w:line="213" w:lineRule="auto"/>
        <w:tabs>
          <w:tab w:leader="none" w:pos="24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Based on a Schedule 13G/A filed pursuant to the Exchange Act on February 11, 2021, Renaissance Technologies LLC (“RT LLC”) and Renaissance Technologies Holdings Corporation, which owns a majority interest in RT LLC, have beneficial ownership of 864,848 shares, and the sole power to vote or to direct the vote of 734,232 shares, the sole power to dispose or to direct the disposition of 864,848 shares and the shared power to dispose or to direct the disposition of zero shares.</w:t>
      </w:r>
    </w:p>
    <w:p>
      <w:pPr>
        <w:spacing w:after="0" w:line="56" w:lineRule="exact"/>
        <w:rPr>
          <w:rFonts w:ascii="Arial" w:cs="Arial" w:eastAsia="Arial" w:hAnsi="Arial"/>
          <w:sz w:val="18"/>
          <w:szCs w:val="18"/>
          <w:color w:val="auto"/>
          <w:vertAlign w:val="superscript"/>
        </w:rPr>
      </w:pPr>
    </w:p>
    <w:p>
      <w:pPr>
        <w:ind w:left="240" w:right="20" w:hanging="237"/>
        <w:spacing w:after="0" w:line="278" w:lineRule="auto"/>
        <w:tabs>
          <w:tab w:leader="none" w:pos="243" w:val="left"/>
        </w:tabs>
        <w:numPr>
          <w:ilvl w:val="0"/>
          <w:numId w:val="54"/>
        </w:numPr>
        <w:rPr>
          <w:rFonts w:ascii="Arial" w:cs="Arial" w:eastAsia="Arial" w:hAnsi="Arial"/>
          <w:sz w:val="8"/>
          <w:szCs w:val="8"/>
          <w:color w:val="auto"/>
        </w:rPr>
      </w:pPr>
      <w:r>
        <w:rPr>
          <w:rFonts w:ascii="Arial" w:cs="Arial" w:eastAsia="Arial" w:hAnsi="Arial"/>
          <w:sz w:val="12"/>
          <w:szCs w:val="12"/>
          <w:color w:val="auto"/>
        </w:rPr>
        <w:t>Based on a Schedule 13G filed pursuant to the Exchange Act on January 21, 2021, Prescott Group Capital Management L.L.C. ("Prescott Capital"), Prescott Group Aggressive Small Cap, L.P. ("Prescott Small Cap"), Prescott Group Aggressive Small Cap II, L.P. (together with Prescott Small Cap, the "Small Cap Funds"), Prescott Group Aggressive Small Cap Master Fund, G.P. ("Master Fund"), and Mr. Phil Frohlich, the principal of Prescott Capital, have beneficial ownership of 844,722 shares. Prescott Capital serves as the general partner and investment manager of the Small Cap Funds and may direct the Small Cap Funds, the general partners of the Master Fund, to direct the vote and disposition of the 844,722 shares held by the Master Fund. As the principal of Prescott Capital, Mr. Frolich may direct the vote and disposition of the 844,722 shares held by the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140970</wp:posOffset>
            </wp:positionV>
            <wp:extent cx="374650" cy="1873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240"/>
          </w:cols>
          <w:pgMar w:left="320" w:top="226" w:right="339" w:bottom="1440" w:gutter="0" w:footer="0" w:header="0"/>
        </w:sectPr>
      </w:pPr>
    </w:p>
    <w:bookmarkStart w:id="65" w:name="page66"/>
    <w:bookmarkEnd w:id="65"/>
    <w:p>
      <w:pPr>
        <w:spacing w:after="0"/>
        <w:rPr>
          <w:sz w:val="20"/>
          <w:szCs w:val="20"/>
          <w:color w:val="auto"/>
        </w:rPr>
      </w:pPr>
      <w:r>
        <w:rPr>
          <w:rFonts w:ascii="Arial" w:cs="Arial" w:eastAsia="Arial" w:hAnsi="Arial"/>
          <w:sz w:val="43"/>
          <w:szCs w:val="43"/>
          <w:b w:val="1"/>
          <w:bCs w:val="1"/>
          <w:color w:val="006DB6"/>
        </w:rPr>
        <w:t>Additional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General Information about the Annual General Meeting</w:t>
      </w:r>
    </w:p>
    <w:p>
      <w:pPr>
        <w:spacing w:after="0" w:line="141" w:lineRule="exact"/>
        <w:rPr>
          <w:sz w:val="20"/>
          <w:szCs w:val="20"/>
          <w:color w:val="auto"/>
        </w:rPr>
      </w:pPr>
    </w:p>
    <w:p>
      <w:pPr>
        <w:jc w:val="both"/>
        <w:ind w:right="140"/>
        <w:spacing w:after="0" w:line="258" w:lineRule="auto"/>
        <w:rPr>
          <w:sz w:val="20"/>
          <w:szCs w:val="20"/>
          <w:color w:val="auto"/>
        </w:rPr>
      </w:pPr>
      <w:r>
        <w:rPr>
          <w:rFonts w:ascii="Arial" w:cs="Arial" w:eastAsia="Arial" w:hAnsi="Arial"/>
          <w:sz w:val="15"/>
          <w:szCs w:val="15"/>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Why am I receiving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A: During the annual general meeting, you will be asked to vote on several proposals, including:</w:t>
      </w:r>
    </w:p>
    <w:p>
      <w:pPr>
        <w:spacing w:after="0" w:line="110" w:lineRule="exact"/>
        <w:rPr>
          <w:sz w:val="20"/>
          <w:szCs w:val="20"/>
          <w:color w:val="auto"/>
        </w:rPr>
      </w:pPr>
    </w:p>
    <w:p>
      <w:pPr>
        <w:ind w:left="160" w:hanging="157"/>
        <w:spacing w:after="0"/>
        <w:tabs>
          <w:tab w:leader="none" w:pos="160" w:val="left"/>
        </w:tabs>
        <w:numPr>
          <w:ilvl w:val="0"/>
          <w:numId w:val="55"/>
        </w:numPr>
        <w:rPr>
          <w:rFonts w:ascii="Arial" w:cs="Arial" w:eastAsia="Arial" w:hAnsi="Arial"/>
          <w:sz w:val="15"/>
          <w:szCs w:val="15"/>
          <w:color w:val="006DB6"/>
        </w:rPr>
      </w:pPr>
      <w:r>
        <w:rPr>
          <w:rFonts w:ascii="Arial" w:cs="Arial" w:eastAsia="Arial" w:hAnsi="Arial"/>
          <w:sz w:val="15"/>
          <w:szCs w:val="15"/>
          <w:color w:val="auto"/>
        </w:rPr>
        <w:t>the election of two persons as Class I members of Civeo’s board of directors: C. Ronald Blankenship and Charles Szalkowski;</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55"/>
        </w:numPr>
        <w:rPr>
          <w:rFonts w:ascii="Arial" w:cs="Arial" w:eastAsia="Arial" w:hAnsi="Arial"/>
          <w:sz w:val="15"/>
          <w:szCs w:val="15"/>
          <w:color w:val="006DB6"/>
        </w:rPr>
      </w:pPr>
      <w:r>
        <w:rPr>
          <w:rFonts w:ascii="Arial" w:cs="Arial" w:eastAsia="Arial" w:hAnsi="Arial"/>
          <w:sz w:val="15"/>
          <w:szCs w:val="15"/>
          <w:color w:val="auto"/>
        </w:rPr>
        <w:t>the approval, on an advisory basis, of the compensation of Civeo’s named executive officers;</w:t>
      </w:r>
    </w:p>
    <w:p>
      <w:pPr>
        <w:spacing w:after="0" w:line="109" w:lineRule="exact"/>
        <w:rPr>
          <w:rFonts w:ascii="Arial" w:cs="Arial" w:eastAsia="Arial" w:hAnsi="Arial"/>
          <w:sz w:val="15"/>
          <w:szCs w:val="15"/>
          <w:color w:val="006DB6"/>
        </w:rPr>
      </w:pPr>
    </w:p>
    <w:p>
      <w:pPr>
        <w:ind w:left="180" w:right="60" w:hanging="177"/>
        <w:spacing w:after="0" w:line="258" w:lineRule="auto"/>
        <w:tabs>
          <w:tab w:leader="none" w:pos="1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ratification of the appointment of Ernst &amp; Young LLP as Civeo’s independent registered public accounting firm for the year ending December 31, 2021 and until the next annual general meeting of shareholders and the authorization of the directors, acting through the Audit Committee, to determine the remuneration to be paid to Ernst &amp; Young LLP for 2021;</w:t>
      </w:r>
    </w:p>
    <w:p>
      <w:pPr>
        <w:spacing w:after="0" w:line="84" w:lineRule="exact"/>
        <w:rPr>
          <w:rFonts w:ascii="Arial" w:cs="Arial" w:eastAsia="Arial" w:hAnsi="Arial"/>
          <w:sz w:val="15"/>
          <w:szCs w:val="15"/>
          <w:color w:val="auto"/>
        </w:rPr>
      </w:pPr>
    </w:p>
    <w:p>
      <w:pPr>
        <w:ind w:left="160" w:hanging="157"/>
        <w:spacing w:after="0"/>
        <w:tabs>
          <w:tab w:leader="none" w:pos="1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recommendation, on an advisory basis, as to whether a shareholder vote to approve executive compensation should occur every one, two or three years; and</w:t>
      </w:r>
    </w:p>
    <w:p>
      <w:pPr>
        <w:spacing w:after="0" w:line="109" w:lineRule="exact"/>
        <w:rPr>
          <w:rFonts w:ascii="Arial" w:cs="Arial" w:eastAsia="Arial" w:hAnsi="Arial"/>
          <w:sz w:val="15"/>
          <w:szCs w:val="15"/>
          <w:color w:val="auto"/>
        </w:rPr>
      </w:pPr>
    </w:p>
    <w:p>
      <w:pPr>
        <w:ind w:left="160" w:hanging="157"/>
        <w:spacing w:after="0"/>
        <w:tabs>
          <w:tab w:leader="none" w:pos="1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conduct of any other business as may properly come before Civeo’s annual general meeting or any adjournment or postponement thereof.</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knows of no matters, other than those stated in this proxy statement, to be presented for consideration at the annual general meeting.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We encourage you to read this proxy statement carefully, as it contains important information about these proposals and the annual general meeting.</w:t>
      </w:r>
    </w:p>
    <w:p>
      <w:pPr>
        <w:spacing w:after="0" w:line="110"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color w:val="auto"/>
        </w:rPr>
        <w:t>Your vote is important and we encourage you to vote as soon as possible. Even if you plan to attend the annual general meeting virtually, we recommend that you vote your shares prior to the meeting so that your vote will be counted if you later decide not to attend.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What vote of shareholders is required to approve the proposals at the annual general meeting?</w:t>
      </w:r>
    </w:p>
    <w:p>
      <w:pPr>
        <w:spacing w:after="0" w:line="128" w:lineRule="exact"/>
        <w:rPr>
          <w:sz w:val="20"/>
          <w:szCs w:val="20"/>
          <w:color w:val="auto"/>
        </w:rPr>
      </w:pPr>
    </w:p>
    <w:p>
      <w:pPr>
        <w:jc w:val="both"/>
        <w:ind w:right="320" w:firstLine="3"/>
        <w:spacing w:after="0" w:line="249" w:lineRule="auto"/>
        <w:tabs>
          <w:tab w:leader="none" w:pos="188" w:val="left"/>
        </w:tabs>
        <w:numPr>
          <w:ilvl w:val="0"/>
          <w:numId w:val="56"/>
        </w:numPr>
        <w:rPr>
          <w:rFonts w:ascii="Arial" w:cs="Arial" w:eastAsia="Arial" w:hAnsi="Arial"/>
          <w:sz w:val="15"/>
          <w:szCs w:val="15"/>
          <w:color w:val="auto"/>
        </w:rPr>
      </w:pPr>
      <w:r>
        <w:rPr>
          <w:rFonts w:ascii="Arial" w:cs="Arial" w:eastAsia="Arial" w:hAnsi="Arial"/>
          <w:sz w:val="15"/>
          <w:szCs w:val="15"/>
          <w:color w:val="auto"/>
        </w:rPr>
        <w:t>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w:t>
      </w:r>
    </w:p>
    <w:p>
      <w:pPr>
        <w:spacing w:after="0" w:line="1" w:lineRule="exact"/>
        <w:rPr>
          <w:rFonts w:ascii="Arial" w:cs="Arial" w:eastAsia="Arial" w:hAnsi="Arial"/>
          <w:sz w:val="15"/>
          <w:szCs w:val="15"/>
          <w:color w:val="auto"/>
        </w:rPr>
      </w:pPr>
    </w:p>
    <w:p>
      <w:pPr>
        <w:jc w:val="both"/>
        <w:ind w:right="60"/>
        <w:spacing w:after="0" w:line="258" w:lineRule="auto"/>
        <w:rPr>
          <w:rFonts w:ascii="Arial" w:cs="Arial" w:eastAsia="Arial" w:hAnsi="Arial"/>
          <w:sz w:val="15"/>
          <w:szCs w:val="15"/>
          <w:color w:val="auto"/>
        </w:rPr>
      </w:pPr>
      <w:r>
        <w:rPr>
          <w:rFonts w:ascii="Arial" w:cs="Arial" w:eastAsia="Arial" w:hAnsi="Arial"/>
          <w:sz w:val="15"/>
          <w:szCs w:val="15"/>
          <w:color w:val="auto"/>
        </w:rPr>
        <w:t>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and Corporate Governance Committee following certification of the shareholder vote. For more information, please read “Management-Director Resignation Policy.”</w:t>
      </w:r>
    </w:p>
    <w:p>
      <w:pPr>
        <w:spacing w:after="0" w:line="85" w:lineRule="exact"/>
        <w:rPr>
          <w:sz w:val="20"/>
          <w:szCs w:val="20"/>
          <w:color w:val="auto"/>
        </w:rPr>
      </w:pPr>
    </w:p>
    <w:p>
      <w:pPr>
        <w:ind w:right="340"/>
        <w:spacing w:after="0" w:line="267" w:lineRule="auto"/>
        <w:rPr>
          <w:sz w:val="20"/>
          <w:szCs w:val="20"/>
          <w:color w:val="auto"/>
        </w:rPr>
      </w:pPr>
      <w:r>
        <w:rPr>
          <w:rFonts w:ascii="Arial" w:cs="Arial" w:eastAsia="Arial" w:hAnsi="Arial"/>
          <w:sz w:val="15"/>
          <w:szCs w:val="15"/>
          <w:color w:val="auto"/>
        </w:rPr>
        <w:t>For the Say-on-Pay Proposal, you may vote “FOR”, “AGAINST” or “ABSTAIN”. To approve the Say-on-Pay Proposal, the votes cast in favor of the proposal must exceed the votes cast against the proposal.</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For the Say-When-on-Pay Proposal, the alternative (other than abstention) that receives the most votes will be deemed the recommendation of the shareholders.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What vote does the board of directors recommend?</w:t>
      </w:r>
    </w:p>
    <w:p>
      <w:pPr>
        <w:spacing w:after="0" w:line="128" w:lineRule="exact"/>
        <w:rPr>
          <w:sz w:val="20"/>
          <w:szCs w:val="20"/>
          <w:color w:val="auto"/>
        </w:rPr>
      </w:pPr>
    </w:p>
    <w:p>
      <w:pPr>
        <w:ind w:firstLine="3"/>
        <w:spacing w:after="0" w:line="267" w:lineRule="auto"/>
        <w:tabs>
          <w:tab w:leader="none" w:pos="188"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board of directors recommends shareholders of Civeo vote “FOR” each of the director nominees named in the Director Proposal, the Auditor Proposal and the Say-on-Pay Proposal. The board of directors recommends shareholders of Civeo vote "ONE YEAR" for the Say-When-on-Pay Proposal.</w:t>
      </w:r>
    </w:p>
    <w:p>
      <w:pPr>
        <w:spacing w:after="0" w:line="200" w:lineRule="exact"/>
        <w:rPr>
          <w:sz w:val="20"/>
          <w:szCs w:val="20"/>
          <w:color w:val="auto"/>
        </w:rPr>
      </w:pPr>
    </w:p>
    <w:p>
      <w:pPr>
        <w:spacing w:after="0" w:line="339"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bl>
    <w:p>
      <w:pPr>
        <w:sectPr>
          <w:pgSz w:w="11900" w:h="16838" w:orient="portrait"/>
          <w:cols w:equalWidth="0" w:num="1">
            <w:col w:w="11240"/>
          </w:cols>
          <w:pgMar w:left="320" w:top="917" w:right="33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color w:val="006DB6"/>
        </w:rPr>
        <w:t>Additional Information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When and where will the annual general meeting be held?</w:t>
      </w:r>
    </w:p>
    <w:p>
      <w:pPr>
        <w:spacing w:after="0" w:line="128" w:lineRule="exact"/>
        <w:rPr>
          <w:sz w:val="20"/>
          <w:szCs w:val="20"/>
          <w:color w:val="auto"/>
        </w:rPr>
      </w:pPr>
    </w:p>
    <w:p>
      <w:pPr>
        <w:ind w:right="20" w:firstLine="3"/>
        <w:spacing w:after="0" w:line="258" w:lineRule="auto"/>
        <w:tabs>
          <w:tab w:leader="none" w:pos="18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year, we plan to hold the annual general meeting virtually, conducted via live audio webcast, on May 19, 2021 at 9:00 a.m., local time, due to the public health impact of COVID-19 and to support the health and well-being of our employees, directors and shareholders. You will be able to attend and participate in the annual general meeting by visiting www.virtualshareholdermeeting.com/CVEO2021, where you will be able to listen to the meeting live, submit questions, and vote.</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How can I attend the annual general meeting?</w:t>
      </w:r>
    </w:p>
    <w:p>
      <w:pPr>
        <w:spacing w:after="0" w:line="128" w:lineRule="exact"/>
        <w:rPr>
          <w:sz w:val="20"/>
          <w:szCs w:val="20"/>
          <w:color w:val="auto"/>
        </w:rPr>
      </w:pPr>
    </w:p>
    <w:p>
      <w:pPr>
        <w:ind w:right="640" w:firstLine="3"/>
        <w:spacing w:after="0" w:line="267" w:lineRule="auto"/>
        <w:tabs>
          <w:tab w:leader="none" w:pos="188" w:val="left"/>
        </w:tabs>
        <w:numPr>
          <w:ilvl w:val="0"/>
          <w:numId w:val="59"/>
        </w:numPr>
        <w:rPr>
          <w:rFonts w:ascii="Arial" w:cs="Arial" w:eastAsia="Arial" w:hAnsi="Arial"/>
          <w:sz w:val="15"/>
          <w:szCs w:val="15"/>
          <w:color w:val="auto"/>
        </w:rPr>
      </w:pPr>
      <w:r>
        <w:rPr>
          <w:rFonts w:ascii="Arial" w:cs="Arial" w:eastAsia="Arial" w:hAnsi="Arial"/>
          <w:sz w:val="15"/>
          <w:szCs w:val="15"/>
          <w:color w:val="auto"/>
        </w:rPr>
        <w:t>To attend the annual general meeting, vote your shares and submit questions during the meeting, shareholders and duly appointed proxyholders can visit www.virtualshareholdermeeting.com/CVEO2021.</w:t>
      </w:r>
    </w:p>
    <w:p>
      <w:pPr>
        <w:spacing w:after="0" w:line="78" w:lineRule="exact"/>
        <w:rPr>
          <w:sz w:val="20"/>
          <w:szCs w:val="20"/>
          <w:color w:val="auto"/>
        </w:rPr>
      </w:pPr>
    </w:p>
    <w:p>
      <w:pPr>
        <w:ind w:left="180" w:right="160" w:hanging="177"/>
        <w:spacing w:after="0" w:line="255" w:lineRule="auto"/>
        <w:tabs>
          <w:tab w:leader="none" w:pos="152" w:val="left"/>
        </w:tabs>
        <w:numPr>
          <w:ilvl w:val="0"/>
          <w:numId w:val="60"/>
        </w:numPr>
        <w:rPr>
          <w:rFonts w:ascii="Arial" w:cs="Arial" w:eastAsia="Arial" w:hAnsi="Arial"/>
          <w:sz w:val="15"/>
          <w:szCs w:val="15"/>
          <w:color w:val="006DB6"/>
        </w:rPr>
      </w:pPr>
      <w:r>
        <w:rPr>
          <w:rFonts w:ascii="Arial" w:cs="Arial" w:eastAsia="Arial" w:hAnsi="Arial"/>
          <w:sz w:val="15"/>
          <w:szCs w:val="15"/>
          <w:color w:val="auto"/>
        </w:rPr>
        <w:t xml:space="preserve">Before attending the meeting, you will be directed to the Registration Page. Please complete the registration form with your name and control number included in your voting instruction form or proxy card or otherwise provided to you by your broker, trustee or other nominee, as described below. Your control number is located on the form of proxy or in the email notification you received. Once registration information has been entered, shareholders and duly appointed proxyholders can participate in the meeting by clicking </w:t>
      </w:r>
      <w:r>
        <w:rPr>
          <w:rFonts w:ascii="Arial" w:cs="Arial" w:eastAsia="Arial" w:hAnsi="Arial"/>
          <w:sz w:val="15"/>
          <w:szCs w:val="15"/>
          <w:b w:val="1"/>
          <w:bCs w:val="1"/>
          <w:color w:val="auto"/>
        </w:rPr>
        <w:t>“Register &amp; Join”</w:t>
      </w:r>
      <w:r>
        <w:rPr>
          <w:rFonts w:ascii="Arial" w:cs="Arial" w:eastAsia="Arial" w:hAnsi="Arial"/>
          <w:sz w:val="15"/>
          <w:szCs w:val="15"/>
          <w:color w:val="auto"/>
        </w:rPr>
        <w:t>.</w:t>
      </w:r>
    </w:p>
    <w:p>
      <w:pPr>
        <w:spacing w:after="0" w:line="69" w:lineRule="exact"/>
        <w:rPr>
          <w:rFonts w:ascii="Arial" w:cs="Arial" w:eastAsia="Arial" w:hAnsi="Arial"/>
          <w:sz w:val="15"/>
          <w:szCs w:val="15"/>
          <w:color w:val="006DB6"/>
        </w:rPr>
      </w:pPr>
    </w:p>
    <w:p>
      <w:pPr>
        <w:ind w:left="160" w:hanging="157"/>
        <w:spacing w:after="0"/>
        <w:tabs>
          <w:tab w:leader="none" w:pos="160" w:val="left"/>
        </w:tabs>
        <w:numPr>
          <w:ilvl w:val="0"/>
          <w:numId w:val="60"/>
        </w:numPr>
        <w:rPr>
          <w:rFonts w:ascii="Arial" w:cs="Arial" w:eastAsia="Arial" w:hAnsi="Arial"/>
          <w:sz w:val="15"/>
          <w:szCs w:val="15"/>
          <w:color w:val="006DB6"/>
        </w:rPr>
      </w:pPr>
      <w:r>
        <w:rPr>
          <w:rFonts w:ascii="Arial" w:cs="Arial" w:eastAsia="Arial" w:hAnsi="Arial"/>
          <w:sz w:val="15"/>
          <w:szCs w:val="15"/>
          <w:color w:val="auto"/>
        </w:rPr>
        <w:t xml:space="preserve">Once registration information has been entered, shareholders and duly appointed proxyholders can participate in the meeting by clicking </w:t>
      </w:r>
      <w:r>
        <w:rPr>
          <w:rFonts w:ascii="Arial" w:cs="Arial" w:eastAsia="Arial" w:hAnsi="Arial"/>
          <w:sz w:val="15"/>
          <w:szCs w:val="15"/>
          <w:b w:val="1"/>
          <w:bCs w:val="1"/>
          <w:color w:val="auto"/>
        </w:rPr>
        <w:t>“Register &amp; Join”</w:t>
      </w:r>
      <w:r>
        <w:rPr>
          <w:rFonts w:ascii="Arial" w:cs="Arial" w:eastAsia="Arial" w:hAnsi="Arial"/>
          <w:sz w:val="15"/>
          <w:szCs w:val="15"/>
          <w:color w:val="auto"/>
        </w:rPr>
        <w:t>.</w:t>
      </w:r>
    </w:p>
    <w:p>
      <w:pPr>
        <w:spacing w:after="0" w:line="127" w:lineRule="exact"/>
        <w:rPr>
          <w:rFonts w:ascii="Arial" w:cs="Arial" w:eastAsia="Arial" w:hAnsi="Arial"/>
          <w:sz w:val="15"/>
          <w:szCs w:val="15"/>
          <w:color w:val="006DB6"/>
        </w:rPr>
      </w:pPr>
    </w:p>
    <w:p>
      <w:pPr>
        <w:ind w:left="180" w:right="280" w:hanging="177"/>
        <w:spacing w:after="0" w:line="267" w:lineRule="auto"/>
        <w:tabs>
          <w:tab w:leader="none" w:pos="152" w:val="left"/>
        </w:tabs>
        <w:numPr>
          <w:ilvl w:val="0"/>
          <w:numId w:val="60"/>
        </w:numPr>
        <w:rPr>
          <w:rFonts w:ascii="Arial" w:cs="Arial" w:eastAsia="Arial" w:hAnsi="Arial"/>
          <w:sz w:val="15"/>
          <w:szCs w:val="15"/>
          <w:color w:val="006DB6"/>
        </w:rPr>
      </w:pPr>
      <w:r>
        <w:rPr>
          <w:rFonts w:ascii="Arial" w:cs="Arial" w:eastAsia="Arial" w:hAnsi="Arial"/>
          <w:sz w:val="15"/>
          <w:szCs w:val="15"/>
          <w:color w:val="auto"/>
        </w:rPr>
        <w:t xml:space="preserve">Voting at the meeting will only be available for shareholders and duly appointed proxyholders who have registered on the website. Non-registered shareholders who have not appointed themselves may attend the meeting by clicking </w:t>
      </w:r>
      <w:r>
        <w:rPr>
          <w:rFonts w:ascii="Arial" w:cs="Arial" w:eastAsia="Arial" w:hAnsi="Arial"/>
          <w:sz w:val="15"/>
          <w:szCs w:val="15"/>
          <w:b w:val="1"/>
          <w:bCs w:val="1"/>
          <w:color w:val="auto"/>
        </w:rPr>
        <w:t>“Guest”</w:t>
      </w:r>
      <w:r>
        <w:rPr>
          <w:rFonts w:ascii="Arial" w:cs="Arial" w:eastAsia="Arial" w:hAnsi="Arial"/>
          <w:sz w:val="15"/>
          <w:szCs w:val="15"/>
          <w:color w:val="auto"/>
        </w:rPr>
        <w:t xml:space="preserve"> and completing the online form.</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On the day of the meeting, if you have trouble logging in or need assistance, please call Broadridge support at 844-976-0738 (US) or 303-562-9301 (International).</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How can I appoint my proxy?</w:t>
      </w:r>
    </w:p>
    <w:p>
      <w:pPr>
        <w:spacing w:after="0" w:line="110" w:lineRule="exact"/>
        <w:rPr>
          <w:sz w:val="20"/>
          <w:szCs w:val="20"/>
          <w:color w:val="auto"/>
        </w:rPr>
      </w:pPr>
    </w:p>
    <w:p>
      <w:pPr>
        <w:ind w:firstLine="3"/>
        <w:spacing w:after="0" w:line="263" w:lineRule="auto"/>
        <w:tabs>
          <w:tab w:leader="none" w:pos="188"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Shareholders who wish to appoint a third party proxyholder to represent them at the virtual meeting </w:t>
      </w:r>
      <w:r>
        <w:rPr>
          <w:rFonts w:ascii="Arial" w:cs="Arial" w:eastAsia="Arial" w:hAnsi="Arial"/>
          <w:sz w:val="15"/>
          <w:szCs w:val="15"/>
          <w:b w:val="1"/>
          <w:bCs w:val="1"/>
          <w:color w:val="auto"/>
        </w:rPr>
        <w:t>must submit their proxy or voting instruction form (if</w:t>
      </w:r>
      <w:r>
        <w:rPr>
          <w:rFonts w:ascii="Arial" w:cs="Arial" w:eastAsia="Arial" w:hAnsi="Arial"/>
          <w:sz w:val="15"/>
          <w:szCs w:val="15"/>
          <w:color w:val="auto"/>
        </w:rPr>
        <w:t xml:space="preserve"> </w:t>
      </w:r>
      <w:r>
        <w:rPr>
          <w:rFonts w:ascii="Arial" w:cs="Arial" w:eastAsia="Arial" w:hAnsi="Arial"/>
          <w:sz w:val="15"/>
          <w:szCs w:val="15"/>
          <w:b w:val="1"/>
          <w:bCs w:val="1"/>
          <w:color w:val="auto"/>
        </w:rPr>
        <w:t>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rial" w:cs="Arial" w:eastAsia="Arial" w:hAnsi="Arial"/>
          <w:sz w:val="15"/>
          <w:szCs w:val="15"/>
          <w:color w:val="auto"/>
        </w:rPr>
        <w:t>. To register a</w:t>
      </w:r>
      <w:r>
        <w:rPr>
          <w:rFonts w:ascii="Arial" w:cs="Arial" w:eastAsia="Arial" w:hAnsi="Arial"/>
          <w:sz w:val="15"/>
          <w:szCs w:val="15"/>
          <w:b w:val="1"/>
          <w:bCs w:val="1"/>
          <w:color w:val="auto"/>
        </w:rPr>
        <w:t xml:space="preserve"> </w:t>
      </w:r>
      <w:r>
        <w:rPr>
          <w:rFonts w:ascii="Arial" w:cs="Arial" w:eastAsia="Arial" w:hAnsi="Arial"/>
          <w:sz w:val="15"/>
          <w:szCs w:val="15"/>
          <w:color w:val="auto"/>
        </w:rPr>
        <w:t>proxyholder, shareholders MUST write in the appointee's name on the proxy card enclosed in your packet and return via US mail using the enclosed envelope.</w:t>
      </w:r>
    </w:p>
    <w:p>
      <w:pPr>
        <w:spacing w:after="0" w:line="82"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proxy must be received by Broadridge no later than May 18, 2021 at 11:59 p.m., Eastern Time. If a shareholder who has submitted a proxy attends the meeting via the webcast and has accepted the terms and conditions when entering the meeting online, any votes cast by such shareholder on a ballot will be counted and the submitted proxy will be disregarded.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How can I ask questions at the annual general meeting?</w:t>
      </w:r>
    </w:p>
    <w:p>
      <w:pPr>
        <w:spacing w:after="0" w:line="128" w:lineRule="exact"/>
        <w:rPr>
          <w:sz w:val="20"/>
          <w:szCs w:val="20"/>
          <w:color w:val="auto"/>
        </w:rPr>
      </w:pPr>
    </w:p>
    <w:p>
      <w:pPr>
        <w:ind w:right="80" w:firstLine="3"/>
        <w:spacing w:after="0" w:line="255" w:lineRule="auto"/>
        <w:tabs>
          <w:tab w:leader="none" w:pos="188" w:val="left"/>
        </w:tabs>
        <w:numPr>
          <w:ilvl w:val="0"/>
          <w:numId w:val="62"/>
        </w:numPr>
        <w:rPr>
          <w:rFonts w:ascii="Arial" w:cs="Arial" w:eastAsia="Arial" w:hAnsi="Arial"/>
          <w:sz w:val="15"/>
          <w:szCs w:val="15"/>
          <w:color w:val="auto"/>
        </w:rPr>
      </w:pPr>
      <w:r>
        <w:rPr>
          <w:rFonts w:ascii="Arial" w:cs="Arial" w:eastAsia="Arial" w:hAnsi="Arial"/>
          <w:sz w:val="15"/>
          <w:szCs w:val="15"/>
          <w:color w:val="auto"/>
        </w:rPr>
        <w:t>Shareholders who wish to submit a question may do so at www.virtualshareholdermeeting.com/CVEO2021. Shareholders may submit questions live during the annual general meeting. Civeo is committed to transparency. All questions received during the annual general meeting, and Civeo’s responses, will be posted to our Investor Relations website at http://ir.civeo.com/ 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To submit a question for the Q&amp;A portion of the meeting, a shareholder should complete the following steps:</w:t>
      </w:r>
    </w:p>
    <w:p>
      <w:pPr>
        <w:spacing w:after="0" w:line="110" w:lineRule="exact"/>
        <w:rPr>
          <w:sz w:val="20"/>
          <w:szCs w:val="20"/>
          <w:color w:val="auto"/>
        </w:rPr>
      </w:pPr>
    </w:p>
    <w:p>
      <w:pPr>
        <w:ind w:left="180" w:hanging="177"/>
        <w:spacing w:after="0"/>
        <w:tabs>
          <w:tab w:leader="none" w:pos="1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Click the Q&amp;A button to open the panel;</w:t>
      </w:r>
    </w:p>
    <w:p>
      <w:pPr>
        <w:spacing w:after="0" w:line="109" w:lineRule="exact"/>
        <w:rPr>
          <w:rFonts w:ascii="Arial" w:cs="Arial" w:eastAsia="Arial" w:hAnsi="Arial"/>
          <w:sz w:val="15"/>
          <w:szCs w:val="15"/>
          <w:color w:val="auto"/>
        </w:rPr>
      </w:pPr>
    </w:p>
    <w:p>
      <w:pPr>
        <w:ind w:left="180" w:hanging="177"/>
        <w:spacing w:after="0"/>
        <w:tabs>
          <w:tab w:leader="none" w:pos="1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Enter their question in the field labelled “Submit a question”; and</w:t>
      </w:r>
    </w:p>
    <w:p>
      <w:pPr>
        <w:spacing w:after="0" w:line="109" w:lineRule="exact"/>
        <w:rPr>
          <w:rFonts w:ascii="Arial" w:cs="Arial" w:eastAsia="Arial" w:hAnsi="Arial"/>
          <w:sz w:val="15"/>
          <w:szCs w:val="15"/>
          <w:color w:val="auto"/>
        </w:rPr>
      </w:pPr>
    </w:p>
    <w:p>
      <w:pPr>
        <w:ind w:left="180" w:hanging="177"/>
        <w:spacing w:after="0"/>
        <w:tabs>
          <w:tab w:leader="none" w:pos="1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Click SUBMIT.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Who is entitled to vote during the annual general meeting?</w:t>
      </w:r>
    </w:p>
    <w:p>
      <w:pPr>
        <w:spacing w:after="0" w:line="128" w:lineRule="exact"/>
        <w:rPr>
          <w:sz w:val="20"/>
          <w:szCs w:val="20"/>
          <w:color w:val="auto"/>
        </w:rPr>
      </w:pPr>
    </w:p>
    <w:p>
      <w:pPr>
        <w:ind w:right="60" w:firstLine="3"/>
        <w:spacing w:after="0" w:line="258" w:lineRule="auto"/>
        <w:tabs>
          <w:tab w:leader="none" w:pos="188"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have fixed March 24, 2021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How many votes do I have?</w:t>
      </w:r>
    </w:p>
    <w:p>
      <w:pPr>
        <w:spacing w:after="0" w:line="128" w:lineRule="exact"/>
        <w:rPr>
          <w:sz w:val="20"/>
          <w:szCs w:val="20"/>
          <w:color w:val="auto"/>
        </w:rPr>
      </w:pPr>
    </w:p>
    <w:p>
      <w:pPr>
        <w:ind w:right="460" w:firstLine="3"/>
        <w:spacing w:after="0" w:line="267" w:lineRule="auto"/>
        <w:tabs>
          <w:tab w:leader="none" w:pos="188" w:val="left"/>
        </w:tabs>
        <w:numPr>
          <w:ilvl w:val="0"/>
          <w:numId w:val="65"/>
        </w:numPr>
        <w:rPr>
          <w:rFonts w:ascii="Arial" w:cs="Arial" w:eastAsia="Arial" w:hAnsi="Arial"/>
          <w:sz w:val="15"/>
          <w:szCs w:val="15"/>
          <w:color w:val="auto"/>
        </w:rPr>
      </w:pPr>
      <w:r>
        <w:rPr>
          <w:rFonts w:ascii="Arial" w:cs="Arial" w:eastAsia="Arial" w:hAnsi="Arial"/>
          <w:sz w:val="15"/>
          <w:szCs w:val="15"/>
          <w:color w:val="auto"/>
        </w:rPr>
        <w:t>You are entitled to one vote for each share you owned as of the close of business, U.S. Eastern Time, on the record date. As of the close of business on the record date, there were approximately 14,292,135 Civeo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137795</wp:posOffset>
            </wp:positionV>
            <wp:extent cx="374650" cy="1873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240"/>
          </w:cols>
          <w:pgMar w:left="320" w:top="22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b w:val="1"/>
          <w:bCs w:val="1"/>
          <w:color w:val="006DB6"/>
        </w:rPr>
        <w:t>Additional Information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How do I vote?</w:t>
      </w:r>
    </w:p>
    <w:p>
      <w:pPr>
        <w:spacing w:after="0" w:line="128" w:lineRule="exact"/>
        <w:rPr>
          <w:sz w:val="20"/>
          <w:szCs w:val="20"/>
          <w:color w:val="auto"/>
        </w:rPr>
      </w:pPr>
    </w:p>
    <w:p>
      <w:pPr>
        <w:ind w:right="20" w:firstLine="3"/>
        <w:spacing w:after="0" w:line="258" w:lineRule="auto"/>
        <w:tabs>
          <w:tab w:leader="none" w:pos="188"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you are a registered shareholder of Civeo as of the close of business, U.S. Eastern Time, on March 24, 2021, the record date for the annual general meeting, you may vote online during the annual general meeting (see above regarding how to attend the annual general meeting) or, to ensure your shares are represented at the annual general meeting, you may authorize a proxy to vote by:</w:t>
      </w:r>
    </w:p>
    <w:p>
      <w:pPr>
        <w:spacing w:after="0" w:line="85" w:lineRule="exact"/>
        <w:rPr>
          <w:sz w:val="20"/>
          <w:szCs w:val="20"/>
          <w:color w:val="auto"/>
        </w:rPr>
      </w:pPr>
    </w:p>
    <w:p>
      <w:pPr>
        <w:ind w:left="160" w:hanging="157"/>
        <w:spacing w:after="0"/>
        <w:tabs>
          <w:tab w:leader="none" w:pos="160" w:val="left"/>
        </w:tabs>
        <w:numPr>
          <w:ilvl w:val="0"/>
          <w:numId w:val="67"/>
        </w:numPr>
        <w:rPr>
          <w:rFonts w:ascii="Arial" w:cs="Arial" w:eastAsia="Arial" w:hAnsi="Arial"/>
          <w:sz w:val="15"/>
          <w:szCs w:val="15"/>
          <w:color w:val="006DB6"/>
        </w:rPr>
      </w:pPr>
      <w:r>
        <w:rPr>
          <w:rFonts w:ascii="Arial" w:cs="Arial" w:eastAsia="Arial" w:hAnsi="Arial"/>
          <w:sz w:val="15"/>
          <w:szCs w:val="15"/>
          <w:color w:val="auto"/>
        </w:rPr>
        <w:t>accessing the Internet website specified on your proxy card;</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67"/>
        </w:numPr>
        <w:rPr>
          <w:rFonts w:ascii="Arial" w:cs="Arial" w:eastAsia="Arial" w:hAnsi="Arial"/>
          <w:sz w:val="15"/>
          <w:szCs w:val="15"/>
          <w:color w:val="006DB6"/>
        </w:rPr>
      </w:pPr>
      <w:r>
        <w:rPr>
          <w:rFonts w:ascii="Arial" w:cs="Arial" w:eastAsia="Arial" w:hAnsi="Arial"/>
          <w:sz w:val="15"/>
          <w:szCs w:val="15"/>
          <w:color w:val="auto"/>
        </w:rPr>
        <w:t>calling the toll-free number specified on your proxy card; or</w:t>
      </w:r>
    </w:p>
    <w:p>
      <w:pPr>
        <w:spacing w:after="0" w:line="83" w:lineRule="exact"/>
        <w:rPr>
          <w:rFonts w:ascii="Arial" w:cs="Arial" w:eastAsia="Arial" w:hAnsi="Arial"/>
          <w:sz w:val="15"/>
          <w:szCs w:val="15"/>
          <w:color w:val="006DB6"/>
        </w:rPr>
      </w:pPr>
    </w:p>
    <w:p>
      <w:pPr>
        <w:ind w:left="160" w:hanging="157"/>
        <w:spacing w:after="0"/>
        <w:tabs>
          <w:tab w:leader="none" w:pos="160" w:val="left"/>
        </w:tabs>
        <w:numPr>
          <w:ilvl w:val="0"/>
          <w:numId w:val="67"/>
        </w:numPr>
        <w:rPr>
          <w:rFonts w:ascii="Arial" w:cs="Arial" w:eastAsia="Arial" w:hAnsi="Arial"/>
          <w:sz w:val="15"/>
          <w:szCs w:val="15"/>
          <w:color w:val="006DB6"/>
        </w:rPr>
      </w:pPr>
      <w:r>
        <w:rPr>
          <w:rFonts w:ascii="Arial" w:cs="Arial" w:eastAsia="Arial" w:hAnsi="Arial"/>
          <w:sz w:val="15"/>
          <w:szCs w:val="15"/>
          <w:color w:val="auto"/>
        </w:rPr>
        <w:t>signing and returning your proxy card in the postage-paid envelope provided.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A proxy card is being sent with this proxy statement to each shareholder of record as of the record date for the annual general meeting.</w:t>
      </w:r>
    </w:p>
    <w:p>
      <w:pPr>
        <w:spacing w:after="0" w:line="110" w:lineRule="exact"/>
        <w:rPr>
          <w:sz w:val="20"/>
          <w:szCs w:val="20"/>
          <w:color w:val="auto"/>
        </w:rPr>
      </w:pPr>
    </w:p>
    <w:p>
      <w:pPr>
        <w:ind w:right="360"/>
        <w:spacing w:after="0" w:line="267" w:lineRule="auto"/>
        <w:rPr>
          <w:sz w:val="20"/>
          <w:szCs w:val="20"/>
          <w:color w:val="auto"/>
        </w:rPr>
      </w:pPr>
      <w:r>
        <w:rPr>
          <w:rFonts w:ascii="Arial" w:cs="Arial" w:eastAsia="Arial" w:hAnsi="Arial"/>
          <w:sz w:val="15"/>
          <w:szCs w:val="15"/>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If my shares are held in “street name” by my nominee, when will my nominee vote shares for me?</w:t>
      </w:r>
    </w:p>
    <w:p>
      <w:pPr>
        <w:spacing w:after="0" w:line="128" w:lineRule="exact"/>
        <w:rPr>
          <w:sz w:val="20"/>
          <w:szCs w:val="20"/>
          <w:color w:val="auto"/>
        </w:rPr>
      </w:pPr>
    </w:p>
    <w:p>
      <w:pPr>
        <w:ind w:right="180" w:firstLine="3"/>
        <w:spacing w:after="0" w:line="252" w:lineRule="auto"/>
        <w:tabs>
          <w:tab w:leader="none" w:pos="188" w:val="left"/>
        </w:tabs>
        <w:numPr>
          <w:ilvl w:val="0"/>
          <w:numId w:val="68"/>
        </w:numPr>
        <w:rPr>
          <w:rFonts w:ascii="Arial" w:cs="Arial" w:eastAsia="Arial" w:hAnsi="Arial"/>
          <w:sz w:val="15"/>
          <w:szCs w:val="15"/>
          <w:color w:val="auto"/>
        </w:rPr>
      </w:pPr>
      <w:r>
        <w:rPr>
          <w:rFonts w:ascii="Arial" w:cs="Arial" w:eastAsia="Arial" w:hAnsi="Arial"/>
          <w:sz w:val="15"/>
          <w:szCs w:val="15"/>
          <w:color w:val="auto"/>
        </w:rPr>
        <w:t>For the annual general meeting, if you are a beneficial owner whose shares are held by a bank, broker or other nominee of record, your bank, broker or other nominee of record has discretionary voting authority under NYSE rules to vote your shares on the Auditor Proposal, even if it has not received voting instructions from you. However, such nominee does not have discretionary authority to vote on the Director Proposal, the Say-on-Pay Proposal or the Say-When-on-Pay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 the NYSE. Your nominee can give you directions on how to instruct the voting of your shares. We encourage you to instruct your nominee how to vote your shares.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Are shareholders able to exercise appraisal rights?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A: Appraisal rights are not available to shareholders in connection with any of the proposals.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Can I change my vote after I grant my proxy?</w:t>
      </w:r>
    </w:p>
    <w:p>
      <w:pPr>
        <w:spacing w:after="0" w:line="128" w:lineRule="exact"/>
        <w:rPr>
          <w:sz w:val="20"/>
          <w:szCs w:val="20"/>
          <w:color w:val="auto"/>
        </w:rPr>
      </w:pPr>
    </w:p>
    <w:p>
      <w:pPr>
        <w:ind w:right="240" w:firstLine="3"/>
        <w:spacing w:after="0" w:line="267" w:lineRule="auto"/>
        <w:tabs>
          <w:tab w:leader="none" w:pos="188" w:val="left"/>
        </w:tabs>
        <w:numPr>
          <w:ilvl w:val="0"/>
          <w:numId w:val="69"/>
        </w:numPr>
        <w:rPr>
          <w:rFonts w:ascii="Arial" w:cs="Arial" w:eastAsia="Arial" w:hAnsi="Arial"/>
          <w:sz w:val="15"/>
          <w:szCs w:val="15"/>
          <w:color w:val="auto"/>
        </w:rPr>
      </w:pPr>
      <w:r>
        <w:rPr>
          <w:rFonts w:ascii="Arial" w:cs="Arial" w:eastAsia="Arial" w:hAnsi="Arial"/>
          <w:sz w:val="15"/>
          <w:szCs w:val="15"/>
          <w:color w:val="auto"/>
        </w:rPr>
        <w:t>Yes. You can change your vote at any time before your proxy is voted at the annual general meeting. In addition to revocation in any other manner permitted by law, you can revoke your proxy in one of the following ways:</w:t>
      </w:r>
    </w:p>
    <w:p>
      <w:pPr>
        <w:spacing w:after="0" w:line="78" w:lineRule="exact"/>
        <w:rPr>
          <w:sz w:val="20"/>
          <w:szCs w:val="20"/>
          <w:color w:val="auto"/>
        </w:rPr>
      </w:pPr>
    </w:p>
    <w:p>
      <w:pPr>
        <w:ind w:left="160" w:hanging="157"/>
        <w:spacing w:after="0"/>
        <w:tabs>
          <w:tab w:leader="none" w:pos="160" w:val="left"/>
        </w:tabs>
        <w:numPr>
          <w:ilvl w:val="0"/>
          <w:numId w:val="70"/>
        </w:numPr>
        <w:rPr>
          <w:rFonts w:ascii="Arial" w:cs="Arial" w:eastAsia="Arial" w:hAnsi="Arial"/>
          <w:sz w:val="15"/>
          <w:szCs w:val="15"/>
          <w:color w:val="006DB6"/>
        </w:rPr>
      </w:pPr>
      <w:r>
        <w:rPr>
          <w:rFonts w:ascii="Arial" w:cs="Arial" w:eastAsia="Arial" w:hAnsi="Arial"/>
          <w:sz w:val="15"/>
          <w:szCs w:val="15"/>
          <w:color w:val="auto"/>
        </w:rPr>
        <w:t>filing a written revocation with the Secretary prior to the voting of such proxy;</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70"/>
        </w:numPr>
        <w:rPr>
          <w:rFonts w:ascii="Arial" w:cs="Arial" w:eastAsia="Arial" w:hAnsi="Arial"/>
          <w:sz w:val="15"/>
          <w:szCs w:val="15"/>
          <w:color w:val="006DB6"/>
        </w:rPr>
      </w:pPr>
      <w:r>
        <w:rPr>
          <w:rFonts w:ascii="Arial" w:cs="Arial" w:eastAsia="Arial" w:hAnsi="Arial"/>
          <w:sz w:val="15"/>
          <w:szCs w:val="15"/>
          <w:color w:val="auto"/>
        </w:rPr>
        <w:t>giving a duly executed proxy bearing a later date; or</w:t>
      </w:r>
    </w:p>
    <w:p>
      <w:pPr>
        <w:spacing w:after="0" w:line="71" w:lineRule="exact"/>
        <w:rPr>
          <w:rFonts w:ascii="Arial" w:cs="Arial" w:eastAsia="Arial" w:hAnsi="Arial"/>
          <w:sz w:val="15"/>
          <w:szCs w:val="15"/>
          <w:color w:val="006DB6"/>
        </w:rPr>
      </w:pPr>
    </w:p>
    <w:p>
      <w:pPr>
        <w:ind w:left="160" w:hanging="157"/>
        <w:spacing w:after="0"/>
        <w:tabs>
          <w:tab w:leader="none" w:pos="160" w:val="left"/>
        </w:tabs>
        <w:numPr>
          <w:ilvl w:val="0"/>
          <w:numId w:val="70"/>
        </w:numPr>
        <w:rPr>
          <w:rFonts w:ascii="Arial" w:cs="Arial" w:eastAsia="Arial" w:hAnsi="Arial"/>
          <w:sz w:val="15"/>
          <w:szCs w:val="15"/>
          <w:color w:val="006DB6"/>
        </w:rPr>
      </w:pPr>
      <w:r>
        <w:rPr>
          <w:rFonts w:ascii="Arial" w:cs="Arial" w:eastAsia="Arial" w:hAnsi="Arial"/>
          <w:sz w:val="15"/>
          <w:szCs w:val="15"/>
          <w:color w:val="auto"/>
        </w:rPr>
        <w:t>voting online during the annual general meeting.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Your online attendance during the annual general meeting will not itself revoke your proxy.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If you have instructed a broker to vote your shares, you must follow the procedure provided by your broker to change those instructions.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What will happen if I fail to vote or I abstain from voting?</w:t>
      </w:r>
    </w:p>
    <w:p>
      <w:pPr>
        <w:spacing w:after="0" w:line="128" w:lineRule="exact"/>
        <w:rPr>
          <w:sz w:val="20"/>
          <w:szCs w:val="20"/>
          <w:color w:val="auto"/>
        </w:rPr>
      </w:pPr>
    </w:p>
    <w:p>
      <w:pPr>
        <w:ind w:right="60" w:firstLine="3"/>
        <w:spacing w:after="0" w:line="258" w:lineRule="auto"/>
        <w:tabs>
          <w:tab w:leader="none" w:pos="188" w:val="left"/>
        </w:tabs>
        <w:numPr>
          <w:ilvl w:val="0"/>
          <w:numId w:val="71"/>
        </w:numPr>
        <w:rPr>
          <w:rFonts w:ascii="Arial" w:cs="Arial" w:eastAsia="Arial" w:hAnsi="Arial"/>
          <w:sz w:val="15"/>
          <w:szCs w:val="15"/>
          <w:color w:val="auto"/>
        </w:rPr>
      </w:pPr>
      <w:r>
        <w:rPr>
          <w:rFonts w:ascii="Arial" w:cs="Arial" w:eastAsia="Arial" w:hAnsi="Arial"/>
          <w:sz w:val="15"/>
          <w:szCs w:val="15"/>
          <w:color w:val="auto"/>
        </w:rPr>
        <w:t>Under applicable local law, if you are a shareholder of Civeo and (1) vote online during the annual general meeting or by proxy and mark your proxy or voting instructions to abstain, (2) do not vote online during the annual general meeting and do not respond by proxy or (3) fail to instruct your broker, bank or other nominee to vote, this will have no effect on the Say-on-Pay Proposal or the Say-When-on-Pay Proposal.</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If you are a shareholder of Civeo and vote online during the annual general meeting and mark your proxy or voting instructions to withhold, this will have the effect of a vote withheld from the Director Proposal. If you are a shareholder of Civeo and vote online or by proxy during the annual general meeting and mark your proxy or voting instructions to withhold, this will have no effect on the Auditor Proposal. If you are a shareholder of Civeo and do not vote online during the annual general meeting or respond by proxy, this will have no effect on the Director Proposal or the Auditor Proposal.</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What will happen if I return my proxy card without indicating how to vote?</w:t>
      </w:r>
    </w:p>
    <w:p>
      <w:pPr>
        <w:spacing w:after="0" w:line="128" w:lineRule="exact"/>
        <w:rPr>
          <w:sz w:val="20"/>
          <w:szCs w:val="20"/>
          <w:color w:val="auto"/>
        </w:rPr>
      </w:pPr>
    </w:p>
    <w:p>
      <w:pPr>
        <w:ind w:right="140" w:firstLine="3"/>
        <w:spacing w:after="0" w:line="267" w:lineRule="auto"/>
        <w:tabs>
          <w:tab w:leader="none" w:pos="188" w:val="left"/>
        </w:tabs>
        <w:numPr>
          <w:ilvl w:val="0"/>
          <w:numId w:val="72"/>
        </w:numPr>
        <w:rPr>
          <w:rFonts w:ascii="Arial" w:cs="Arial" w:eastAsia="Arial" w:hAnsi="Arial"/>
          <w:sz w:val="15"/>
          <w:szCs w:val="15"/>
          <w:color w:val="auto"/>
        </w:rPr>
      </w:pPr>
      <w:r>
        <w:rPr>
          <w:rFonts w:ascii="Arial" w:cs="Arial" w:eastAsia="Arial" w:hAnsi="Arial"/>
          <w:sz w:val="15"/>
          <w:szCs w:val="15"/>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What is the quorum requirement for the annual general meeting?</w:t>
      </w:r>
    </w:p>
    <w:p>
      <w:pPr>
        <w:spacing w:after="0" w:line="128" w:lineRule="exact"/>
        <w:rPr>
          <w:sz w:val="20"/>
          <w:szCs w:val="20"/>
          <w:color w:val="auto"/>
        </w:rPr>
      </w:pPr>
    </w:p>
    <w:p>
      <w:pPr>
        <w:ind w:right="140" w:firstLine="3"/>
        <w:spacing w:after="0" w:line="258" w:lineRule="auto"/>
        <w:tabs>
          <w:tab w:leader="none" w:pos="18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presence of shareholders, by voting online during the annual general meeting or by proxy, holding at least a majority of the outstanding common shares, will be required to establish a quorum. The shareholders that vote online during the meeting or by proxy at a duly called meeting at which a quorum is present may continue to transact business until adjournment,</w:t>
      </w:r>
    </w:p>
    <w:p>
      <w:pPr>
        <w:spacing w:after="0" w:line="328"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bl>
    <w:p>
      <w:pPr>
        <w:sectPr>
          <w:pgSz w:w="11900" w:h="16838" w:orient="portrait"/>
          <w:cols w:equalWidth="0" w:num="1">
            <w:col w:w="11240"/>
          </w:cols>
          <w:pgMar w:left="320" w:top="226" w:right="33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color w:val="006DB6"/>
        </w:rPr>
        <w:t>Additional Information</w:t>
      </w:r>
    </w:p>
    <w:p>
      <w:pPr>
        <w:spacing w:after="0" w:line="200" w:lineRule="exact"/>
        <w:rPr>
          <w:sz w:val="20"/>
          <w:szCs w:val="20"/>
          <w:color w:val="auto"/>
        </w:rPr>
      </w:pPr>
    </w:p>
    <w:p>
      <w:pPr>
        <w:spacing w:after="0" w:line="363"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notwithstanding the withdrawal of enough shareholders to leave less than a quorum. Abstentions, withheld votes and broker non-votes will be counted as present for purposes of determining whether there is a quorum.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Who is soliciting my proxy?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A: Proxies are being solicited by our board of directors for use at the annual general meeting and any adjournment or postponement thereof.</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6DB6"/>
        </w:rPr>
        <w:t>Q: Who is paying for the cost of this proxy solicitation?</w:t>
      </w:r>
    </w:p>
    <w:p>
      <w:pPr>
        <w:spacing w:after="0" w:line="128" w:lineRule="exact"/>
        <w:rPr>
          <w:sz w:val="20"/>
          <w:szCs w:val="20"/>
          <w:color w:val="auto"/>
        </w:rPr>
      </w:pPr>
    </w:p>
    <w:p>
      <w:pPr>
        <w:ind w:right="340" w:firstLine="3"/>
        <w:spacing w:after="0" w:line="267" w:lineRule="auto"/>
        <w:tabs>
          <w:tab w:leader="none" w:pos="188"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$9,000. Broadridge will serve as the inspector of election for the annual general meeting.</w:t>
      </w:r>
    </w:p>
    <w:p>
      <w:pPr>
        <w:spacing w:after="0" w:line="25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Future Shareholder Proposals</w:t>
      </w:r>
    </w:p>
    <w:p>
      <w:pPr>
        <w:spacing w:after="0" w:line="141"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To be included in the proxy materials for the 2022 annual general meeting of shareholders under SEC Rule 14a-8, shareholder proposals that are submitted for presentation at that annual general meeting and are otherwise eligible for inclusion in the proxy statement must be received by us no later than December 9, 2021.</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2022 annual general meeting of shareholders, notice will have to be received by us no later than January 19, 2022.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spacing w:after="0" w:line="92"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85"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rial" w:cs="Arial" w:eastAsia="Arial" w:hAnsi="Arial"/>
          <w:sz w:val="15"/>
          <w:szCs w:val="15"/>
          <w:i w:val="1"/>
          <w:iCs w:val="1"/>
          <w:color w:val="auto"/>
        </w:rPr>
        <w:t>usiness Corporations Act</w:t>
      </w:r>
      <w:r>
        <w:rPr>
          <w:rFonts w:ascii="Arial" w:cs="Arial" w:eastAsia="Arial" w:hAnsi="Arial"/>
          <w:sz w:val="15"/>
          <w:szCs w:val="15"/>
          <w:color w:val="auto"/>
        </w:rPr>
        <w:t xml:space="preserve">; and (ii) a requisition of a meeting made pursuant to the provisions of the British Columbia </w:t>
      </w:r>
      <w:r>
        <w:rPr>
          <w:rFonts w:ascii="Arial" w:cs="Arial" w:eastAsia="Arial" w:hAnsi="Arial"/>
          <w:sz w:val="15"/>
          <w:szCs w:val="15"/>
          <w:i w:val="1"/>
          <w:iCs w:val="1"/>
          <w:color w:val="auto"/>
        </w:rPr>
        <w:t>Business Corporations Act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288925</wp:posOffset>
            </wp:positionV>
            <wp:extent cx="374650" cy="1873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240"/>
          </w:cols>
          <w:pgMar w:left="320" w:top="22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5"/>
          <w:szCs w:val="15"/>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Householding</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85"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As a result, if you hold your shares through a broker and you reside at an address at which two or more shareholders reside, you will receive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Texas 77002, (713) 510-2400.</w:t>
      </w:r>
    </w:p>
    <w:p>
      <w:pPr>
        <w:spacing w:after="0" w:line="69"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2020.</w:t>
      </w:r>
    </w:p>
    <w:p>
      <w:pPr>
        <w:spacing w:after="0" w:line="200" w:lineRule="exact"/>
        <w:rPr>
          <w:sz w:val="20"/>
          <w:szCs w:val="20"/>
          <w:color w:val="auto"/>
        </w:rPr>
      </w:pPr>
    </w:p>
    <w:p>
      <w:pPr>
        <w:spacing w:after="0" w:line="32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bl>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Arial" w:cs="Arial" w:eastAsia="Arial" w:hAnsi="Arial"/>
          <w:sz w:val="43"/>
          <w:szCs w:val="43"/>
          <w:b w:val="1"/>
          <w:bCs w:val="1"/>
          <w:color w:val="006DB6"/>
        </w:rPr>
        <w:t>Appendix</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Non-GAAP Reconciliation</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2020 were consistent with past practices; none of these adjustments were related to the COVID-19 pandemic.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92"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millions) (unaudited):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706F6F"/>
              </w:rPr>
              <w:t>12 Months Ended December 31,</w:t>
            </w:r>
          </w:p>
        </w:tc>
        <w:tc>
          <w:tcPr>
            <w:tcW w:w="0" w:type="dxa"/>
            <w:vAlign w:val="bottom"/>
          </w:tcPr>
          <w:p>
            <w:pPr>
              <w:spacing w:after="0"/>
              <w:rPr>
                <w:sz w:val="1"/>
                <w:szCs w:val="1"/>
                <w:color w:val="auto"/>
              </w:rPr>
            </w:pPr>
          </w:p>
        </w:tc>
      </w:tr>
      <w:tr>
        <w:trPr>
          <w:trHeight w:val="308"/>
        </w:trPr>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2020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706F6F"/>
              </w:rPr>
              <w:t>2019</w:t>
            </w:r>
          </w:p>
        </w:tc>
        <w:tc>
          <w:tcPr>
            <w:tcW w:w="3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2018</w:t>
            </w:r>
          </w:p>
        </w:tc>
        <w:tc>
          <w:tcPr>
            <w:tcW w:w="0" w:type="dxa"/>
            <w:vAlign w:val="bottom"/>
          </w:tcPr>
          <w:p>
            <w:pPr>
              <w:spacing w:after="0"/>
              <w:rPr>
                <w:sz w:val="1"/>
                <w:szCs w:val="1"/>
                <w:color w:val="auto"/>
              </w:rPr>
            </w:pPr>
          </w:p>
        </w:tc>
      </w:tr>
      <w:tr>
        <w:trPr>
          <w:trHeight w:val="108"/>
        </w:trPr>
        <w:tc>
          <w:tcPr>
            <w:tcW w:w="5860" w:type="dxa"/>
            <w:vAlign w:val="bottom"/>
          </w:tcPr>
          <w:p>
            <w:pPr>
              <w:spacing w:after="0"/>
              <w:rPr>
                <w:sz w:val="9"/>
                <w:szCs w:val="9"/>
                <w:color w:val="auto"/>
              </w:rPr>
            </w:pPr>
          </w:p>
        </w:tc>
        <w:tc>
          <w:tcPr>
            <w:tcW w:w="320" w:type="dxa"/>
            <w:vAlign w:val="bottom"/>
            <w:tcBorders>
              <w:bottom w:val="single" w:sz="8" w:color="006DB6"/>
            </w:tcBorders>
          </w:tcPr>
          <w:p>
            <w:pPr>
              <w:spacing w:after="0"/>
              <w:rPr>
                <w:sz w:val="9"/>
                <w:szCs w:val="9"/>
                <w:color w:val="auto"/>
              </w:rPr>
            </w:pPr>
          </w:p>
        </w:tc>
        <w:tc>
          <w:tcPr>
            <w:tcW w:w="900" w:type="dxa"/>
            <w:vAlign w:val="bottom"/>
            <w:tcBorders>
              <w:bottom w:val="single" w:sz="8" w:color="006DB6"/>
            </w:tcBorders>
            <w:vMerge w:val="continue"/>
          </w:tcPr>
          <w:p>
            <w:pPr>
              <w:spacing w:after="0"/>
              <w:rPr>
                <w:sz w:val="9"/>
                <w:szCs w:val="9"/>
                <w:color w:val="auto"/>
              </w:rPr>
            </w:pPr>
          </w:p>
        </w:tc>
        <w:tc>
          <w:tcPr>
            <w:tcW w:w="300" w:type="dxa"/>
            <w:vAlign w:val="bottom"/>
            <w:tcBorders>
              <w:bottom w:val="single" w:sz="8" w:color="006DB6"/>
            </w:tcBorders>
          </w:tcPr>
          <w:p>
            <w:pPr>
              <w:spacing w:after="0"/>
              <w:rPr>
                <w:sz w:val="9"/>
                <w:szCs w:val="9"/>
                <w:color w:val="auto"/>
              </w:rPr>
            </w:pPr>
          </w:p>
        </w:tc>
        <w:tc>
          <w:tcPr>
            <w:tcW w:w="860" w:type="dxa"/>
            <w:vAlign w:val="bottom"/>
            <w:tcBorders>
              <w:bottom w:val="single" w:sz="8" w:color="006DB6"/>
            </w:tcBorders>
          </w:tcPr>
          <w:p>
            <w:pPr>
              <w:spacing w:after="0"/>
              <w:rPr>
                <w:sz w:val="9"/>
                <w:szCs w:val="9"/>
                <w:color w:val="auto"/>
              </w:rPr>
            </w:pPr>
          </w:p>
        </w:tc>
        <w:tc>
          <w:tcPr>
            <w:tcW w:w="340" w:type="dxa"/>
            <w:vAlign w:val="bottom"/>
            <w:tcBorders>
              <w:bottom w:val="single" w:sz="8" w:color="006DB6"/>
            </w:tcBorders>
          </w:tcPr>
          <w:p>
            <w:pPr>
              <w:spacing w:after="0"/>
              <w:rPr>
                <w:sz w:val="9"/>
                <w:szCs w:val="9"/>
                <w:color w:val="auto"/>
              </w:rPr>
            </w:pPr>
          </w:p>
        </w:tc>
        <w:tc>
          <w:tcPr>
            <w:tcW w:w="820" w:type="dxa"/>
            <w:vAlign w:val="bottom"/>
            <w:tcBorders>
              <w:bottom w:val="single" w:sz="8" w:color="006DB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860" w:type="dxa"/>
            <w:vAlign w:val="bottom"/>
          </w:tcPr>
          <w:p>
            <w:pPr>
              <w:spacing w:after="0"/>
              <w:rPr>
                <w:sz w:val="20"/>
                <w:szCs w:val="20"/>
                <w:color w:val="auto"/>
              </w:rPr>
            </w:pPr>
            <w:r>
              <w:rPr>
                <w:rFonts w:ascii="Arial" w:cs="Arial" w:eastAsia="Arial" w:hAnsi="Arial"/>
                <w:sz w:val="15"/>
                <w:szCs w:val="15"/>
                <w:color w:val="auto"/>
              </w:rPr>
              <w:t>Net loss attributable to Civeo Corporation</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(134.3)</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(58.5)</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Income tax provision (benefit)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96.5</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125.8</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42"/>
        </w:trPr>
        <w:tc>
          <w:tcPr>
            <w:tcW w:w="5860" w:type="dxa"/>
            <w:vAlign w:val="bottom"/>
          </w:tcPr>
          <w:p>
            <w:pPr>
              <w:ind w:left="20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21"/>
                <w:szCs w:val="21"/>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16.7</w:t>
            </w:r>
          </w:p>
        </w:tc>
        <w:tc>
          <w:tcPr>
            <w:tcW w:w="3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3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20"/>
                <w:szCs w:val="20"/>
                <w:color w:val="auto"/>
              </w:rPr>
            </w:pPr>
            <w:r>
              <w:rPr>
                <w:rFonts w:ascii="Arial" w:cs="Arial" w:eastAsia="Arial" w:hAnsi="Arial"/>
                <w:sz w:val="15"/>
                <w:szCs w:val="15"/>
                <w:color w:val="auto"/>
              </w:rPr>
              <w:t>EBITDA</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w:t>
            </w:r>
          </w:p>
        </w:tc>
        <w:tc>
          <w:tcPr>
            <w:tcW w:w="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200"/>
        </w:trPr>
        <w:tc>
          <w:tcPr>
            <w:tcW w:w="5860" w:type="dxa"/>
            <w:vAlign w:val="bottom"/>
          </w:tcPr>
          <w:p>
            <w:pPr>
              <w:spacing w:after="0"/>
              <w:rPr>
                <w:sz w:val="20"/>
                <w:szCs w:val="20"/>
                <w:color w:val="auto"/>
              </w:rPr>
            </w:pPr>
            <w:r>
              <w:rPr>
                <w:rFonts w:ascii="Arial" w:cs="Arial" w:eastAsia="Arial" w:hAnsi="Arial"/>
                <w:sz w:val="15"/>
                <w:szCs w:val="15"/>
                <w:color w:val="auto"/>
              </w:rPr>
              <w:t>Adjustments to EBITDA</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60" w:type="dxa"/>
            <w:vAlign w:val="bottom"/>
          </w:tcPr>
          <w:p>
            <w:pPr>
              <w:ind w:left="200"/>
              <w:spacing w:after="0"/>
              <w:rPr>
                <w:sz w:val="20"/>
                <w:szCs w:val="20"/>
                <w:color w:val="auto"/>
              </w:rPr>
            </w:pPr>
            <w:r>
              <w:rPr>
                <w:rFonts w:ascii="Arial" w:cs="Arial" w:eastAsia="Arial" w:hAnsi="Arial"/>
                <w:sz w:val="15"/>
                <w:szCs w:val="15"/>
                <w:color w:val="auto"/>
              </w:rPr>
              <w:t xml:space="preserve">Impairment of long-lived assets </w:t>
            </w:r>
            <w:r>
              <w:rPr>
                <w:rFonts w:ascii="Arial" w:cs="Arial" w:eastAsia="Arial" w:hAnsi="Arial"/>
                <w:sz w:val="19"/>
                <w:szCs w:val="19"/>
                <w:color w:val="auto"/>
                <w:vertAlign w:val="superscript"/>
              </w:rPr>
              <w:t>(1)</w:t>
            </w:r>
          </w:p>
        </w:tc>
        <w:tc>
          <w:tcPr>
            <w:tcW w:w="32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50.5</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 xml:space="preserve">Impairment of goodwill </w:t>
            </w:r>
            <w:r>
              <w:rPr>
                <w:rFonts w:ascii="Arial" w:cs="Arial" w:eastAsia="Arial" w:hAnsi="Arial"/>
                <w:sz w:val="19"/>
                <w:szCs w:val="19"/>
                <w:color w:val="auto"/>
                <w:vertAlign w:val="superscript"/>
              </w:rPr>
              <w:t>(2)</w:t>
            </w:r>
          </w:p>
        </w:tc>
        <w:tc>
          <w:tcPr>
            <w:tcW w:w="32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5860" w:type="dxa"/>
            <w:vAlign w:val="bottom"/>
          </w:tcPr>
          <w:p>
            <w:pPr>
              <w:ind w:left="200"/>
              <w:spacing w:after="0"/>
              <w:rPr>
                <w:sz w:val="20"/>
                <w:szCs w:val="20"/>
                <w:color w:val="auto"/>
              </w:rPr>
            </w:pPr>
            <w:r>
              <w:rPr>
                <w:rFonts w:ascii="Arial" w:cs="Arial" w:eastAsia="Arial" w:hAnsi="Arial"/>
                <w:sz w:val="15"/>
                <w:szCs w:val="15"/>
                <w:color w:val="auto"/>
              </w:rPr>
              <w:t xml:space="preserve">Noralta transaction costs </w:t>
            </w:r>
            <w:r>
              <w:rPr>
                <w:rFonts w:ascii="Arial" w:cs="Arial" w:eastAsia="Arial" w:hAnsi="Arial"/>
                <w:sz w:val="19"/>
                <w:szCs w:val="19"/>
                <w:color w:val="auto"/>
                <w:vertAlign w:val="superscript"/>
              </w:rPr>
              <w:t>(3)</w:t>
            </w:r>
          </w:p>
        </w:tc>
        <w:tc>
          <w:tcPr>
            <w:tcW w:w="32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85"/>
        </w:trPr>
        <w:tc>
          <w:tcPr>
            <w:tcW w:w="5860" w:type="dxa"/>
            <w:vAlign w:val="bottom"/>
          </w:tcPr>
          <w:p>
            <w:pPr>
              <w:ind w:left="200"/>
              <w:spacing w:after="0"/>
              <w:rPr>
                <w:sz w:val="20"/>
                <w:szCs w:val="20"/>
                <w:color w:val="auto"/>
              </w:rPr>
            </w:pPr>
            <w:r>
              <w:rPr>
                <w:rFonts w:ascii="Arial" w:cs="Arial" w:eastAsia="Arial" w:hAnsi="Arial"/>
                <w:sz w:val="15"/>
                <w:szCs w:val="15"/>
                <w:color w:val="auto"/>
              </w:rPr>
              <w:t>Unbudgeted changes in foreign exchange rates</w:t>
            </w:r>
          </w:p>
        </w:tc>
        <w:tc>
          <w:tcPr>
            <w:tcW w:w="32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1.7</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31"/>
        </w:trPr>
        <w:tc>
          <w:tcPr>
            <w:tcW w:w="5860" w:type="dxa"/>
            <w:vAlign w:val="bottom"/>
          </w:tcPr>
          <w:p>
            <w:pPr>
              <w:ind w:left="200"/>
              <w:spacing w:after="0"/>
              <w:rPr>
                <w:sz w:val="20"/>
                <w:szCs w:val="20"/>
                <w:color w:val="auto"/>
              </w:rPr>
            </w:pPr>
            <w:r>
              <w:rPr>
                <w:rFonts w:ascii="Arial" w:cs="Arial" w:eastAsia="Arial" w:hAnsi="Arial"/>
                <w:sz w:val="15"/>
                <w:szCs w:val="15"/>
                <w:color w:val="auto"/>
              </w:rPr>
              <w:t>Unbudgeted variability in stock-based compensation expense</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49"/>
        </w:trPr>
        <w:tc>
          <w:tcPr>
            <w:tcW w:w="5860" w:type="dxa"/>
            <w:vAlign w:val="bottom"/>
          </w:tcPr>
          <w:p>
            <w:pPr>
              <w:ind w:left="20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color w:val="auto"/>
                <w:vertAlign w:val="superscript"/>
              </w:rPr>
              <w:t>(4)</w:t>
            </w:r>
          </w:p>
        </w:tc>
        <w:tc>
          <w:tcPr>
            <w:tcW w:w="320" w:type="dxa"/>
            <w:vAlign w:val="bottom"/>
          </w:tcPr>
          <w:p>
            <w:pPr>
              <w:spacing w:after="0"/>
              <w:rPr>
                <w:sz w:val="21"/>
                <w:szCs w:val="21"/>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w:t>
            </w:r>
          </w:p>
        </w:tc>
        <w:tc>
          <w:tcPr>
            <w:tcW w:w="3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3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20"/>
                <w:szCs w:val="20"/>
                <w:color w:val="auto"/>
              </w:rPr>
            </w:pPr>
            <w:r>
              <w:rPr>
                <w:rFonts w:ascii="Arial" w:cs="Arial" w:eastAsia="Arial" w:hAnsi="Arial"/>
                <w:sz w:val="15"/>
                <w:szCs w:val="15"/>
                <w:color w:val="auto"/>
              </w:rPr>
              <w:t>Adjusted EBITDA</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113.3</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114.6</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240" w:right="300" w:hanging="237"/>
        <w:spacing w:after="0" w:line="255" w:lineRule="auto"/>
        <w:tabs>
          <w:tab w:leader="none" w:pos="259"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Relates to asset impairments recorded in 2020, 2019 and 2018. In the first quarter of 2020, we recorded a pre-tax loss related to the impairment of long-lived assets in our Canadian segment of $38.1 million ($38.1 million after-tax, or $2.71 per diluted share) and a pre-tax loss related to the impairment of long-lived assets in our U.S. segment of $12.4 million ($12.4 million after-tax, or $0.89 per diluted share), which is included in Impairment expense on the unaudited statements of operations.</w:t>
      </w:r>
    </w:p>
    <w:p>
      <w:pPr>
        <w:spacing w:after="0" w:line="87" w:lineRule="exact"/>
        <w:rPr>
          <w:rFonts w:ascii="Arial" w:cs="Arial" w:eastAsia="Arial" w:hAnsi="Arial"/>
          <w:sz w:val="15"/>
          <w:szCs w:val="15"/>
          <w:color w:val="auto"/>
        </w:rPr>
      </w:pPr>
    </w:p>
    <w:p>
      <w:pPr>
        <w:ind w:left="240"/>
        <w:spacing w:after="0" w:line="252" w:lineRule="auto"/>
        <w:rPr>
          <w:rFonts w:ascii="Arial" w:cs="Arial" w:eastAsia="Arial" w:hAnsi="Arial"/>
          <w:sz w:val="15"/>
          <w:szCs w:val="15"/>
          <w:color w:val="auto"/>
        </w:rPr>
      </w:pPr>
      <w:r>
        <w:rPr>
          <w:rFonts w:ascii="Arial" w:cs="Arial" w:eastAsia="Arial" w:hAnsi="Arial"/>
          <w:sz w:val="15"/>
          <w:szCs w:val="15"/>
          <w:color w:val="auto"/>
        </w:rPr>
        <w:t>In the fourth quarter 2019, we recorded a pre-tax loss related to the impairment of assets in Canada of $0.7 million ($0.5 million after-tax, or $0.04 per diluted share), which is included in Impairment expense on the unaudited statements of operations. In the second quarter 2019, we recorded a pre-tax loss related to the impairment of assets in Australia of $5.5 million ($5.5 million after-tax, or $0.40 per diluted share), which is included in Impairment expense on the unaudited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154305</wp:posOffset>
            </wp:positionV>
            <wp:extent cx="374650" cy="1873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74650" cy="1873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220"/>
          </w:cols>
          <w:pgMar w:left="320" w:top="917"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b w:val="1"/>
          <w:bCs w:val="1"/>
          <w:color w:val="006DB6"/>
        </w:rPr>
        <w:t>Appendix</w:t>
      </w:r>
    </w:p>
    <w:p>
      <w:pPr>
        <w:spacing w:after="0" w:line="200" w:lineRule="exact"/>
        <w:rPr>
          <w:sz w:val="20"/>
          <w:szCs w:val="20"/>
          <w:color w:val="auto"/>
        </w:rPr>
      </w:pPr>
    </w:p>
    <w:p>
      <w:pPr>
        <w:spacing w:after="0" w:line="363" w:lineRule="exact"/>
        <w:rPr>
          <w:sz w:val="20"/>
          <w:szCs w:val="20"/>
          <w:color w:val="auto"/>
        </w:rPr>
      </w:pPr>
    </w:p>
    <w:p>
      <w:pPr>
        <w:ind w:left="240" w:right="300"/>
        <w:spacing w:after="0" w:line="267" w:lineRule="auto"/>
        <w:rPr>
          <w:sz w:val="20"/>
          <w:szCs w:val="20"/>
          <w:color w:val="auto"/>
        </w:rPr>
      </w:pPr>
      <w:r>
        <w:rPr>
          <w:rFonts w:ascii="Arial" w:cs="Arial" w:eastAsia="Arial" w:hAnsi="Arial"/>
          <w:sz w:val="15"/>
          <w:szCs w:val="15"/>
          <w:color w:val="auto"/>
        </w:rPr>
        <w:t>In the first quarter 2018, we recorded a pre-tax loss related to the impairment of assets in Canada of $28.7 million ($20.9 million after-tax, or $1.91 per diluted share), which is included in Impairment expense on the unaudited statements of operations</w:t>
      </w:r>
      <w:r>
        <w:rPr>
          <w:rFonts w:ascii="Arial" w:cs="Arial" w:eastAsia="Arial" w:hAnsi="Arial"/>
          <w:sz w:val="13"/>
          <w:szCs w:val="13"/>
          <w:color w:val="auto"/>
        </w:rPr>
        <w:t>.</w:t>
      </w:r>
    </w:p>
    <w:p>
      <w:pPr>
        <w:spacing w:after="0" w:line="78" w:lineRule="exact"/>
        <w:rPr>
          <w:sz w:val="20"/>
          <w:szCs w:val="20"/>
          <w:color w:val="auto"/>
        </w:rPr>
      </w:pPr>
    </w:p>
    <w:p>
      <w:pPr>
        <w:ind w:left="240" w:right="80" w:hanging="237"/>
        <w:spacing w:after="0" w:line="267" w:lineRule="auto"/>
        <w:tabs>
          <w:tab w:leader="none" w:pos="259"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Relates to the impairment of goodwill recorded in 2020 and 2019. In the first quarter of 2020, we recorded an $93.6 million impairment ($93.6 million after-tax, or $6.67 per diluted share) which is related to our Canada reporting unit and is included in Impairment expense on the statements of operations.</w:t>
      </w:r>
    </w:p>
    <w:p>
      <w:pPr>
        <w:spacing w:after="0" w:line="77" w:lineRule="exact"/>
        <w:rPr>
          <w:rFonts w:ascii="Arial" w:cs="Arial" w:eastAsia="Arial" w:hAnsi="Arial"/>
          <w:sz w:val="15"/>
          <w:szCs w:val="15"/>
          <w:color w:val="auto"/>
        </w:rPr>
      </w:pPr>
    </w:p>
    <w:p>
      <w:pPr>
        <w:ind w:left="240" w:right="80"/>
        <w:spacing w:after="0" w:line="267" w:lineRule="auto"/>
        <w:rPr>
          <w:rFonts w:ascii="Arial" w:cs="Arial" w:eastAsia="Arial" w:hAnsi="Arial"/>
          <w:sz w:val="15"/>
          <w:szCs w:val="15"/>
          <w:color w:val="auto"/>
        </w:rPr>
      </w:pPr>
      <w:r>
        <w:rPr>
          <w:rFonts w:ascii="Arial" w:cs="Arial" w:eastAsia="Arial" w:hAnsi="Arial"/>
          <w:sz w:val="15"/>
          <w:szCs w:val="15"/>
          <w:color w:val="auto"/>
        </w:rPr>
        <w:t>In the fourth quarter of 2019, we recorded a $19.9 million impairment ($19.9 million after-tax, or $1.42 per diluted share) which is related to our Canada reporting unit and is included in Impairment expense on the statements of operations.</w:t>
      </w:r>
    </w:p>
    <w:p>
      <w:pPr>
        <w:spacing w:after="0" w:line="77" w:lineRule="exact"/>
        <w:rPr>
          <w:rFonts w:ascii="Arial" w:cs="Arial" w:eastAsia="Arial" w:hAnsi="Arial"/>
          <w:sz w:val="15"/>
          <w:szCs w:val="15"/>
          <w:color w:val="auto"/>
        </w:rPr>
      </w:pPr>
    </w:p>
    <w:p>
      <w:pPr>
        <w:ind w:left="240" w:right="40" w:hanging="237"/>
        <w:spacing w:after="0" w:line="252" w:lineRule="auto"/>
        <w:tabs>
          <w:tab w:leader="none" w:pos="259"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Relates to costs incurred associated with Civeo's acquisition of Noralta. For the twelve month period ended December 31, 2018, the $9.1 million of costs in 2018 ($8.0 million after-tax, or $0.61 per diluted share), are reflected in the Canada ($3.5 million) and Corporate and eliminations ($5.6 million) reportable segments and are included in Costs of sales and services ($1.0 million), Selling, general and administrative expenses ($7.2 million) and Other income (expense) ($0.9 million) on the unaudited statements of operations. For the three month period ended December 31, 2018, the $2.1 million of costs in 2018 ($1.7 million after-tax, or $0.13, per diluted share), are reflected in the Canada ($1.2 million) and Corporate and eliminations ($0.9 million) reportable segments and are included in Costs of sales and services ($0.6 million), Selling, general and administrative expenses ($0.6 million) and Other income (expense) ($0.9 million) on the unaudited statements of operations.</w:t>
      </w:r>
    </w:p>
    <w:p>
      <w:pPr>
        <w:spacing w:after="0" w:line="103" w:lineRule="exact"/>
        <w:rPr>
          <w:rFonts w:ascii="Arial" w:cs="Arial" w:eastAsia="Arial" w:hAnsi="Arial"/>
          <w:sz w:val="15"/>
          <w:szCs w:val="15"/>
          <w:color w:val="auto"/>
        </w:rPr>
      </w:pPr>
    </w:p>
    <w:p>
      <w:pPr>
        <w:ind w:left="240" w:right="260" w:hanging="237"/>
        <w:spacing w:after="0" w:line="250" w:lineRule="auto"/>
        <w:tabs>
          <w:tab w:leader="none" w:pos="232" w:val="left"/>
        </w:tabs>
        <w:numPr>
          <w:ilvl w:val="0"/>
          <w:numId w:val="76"/>
        </w:numPr>
        <w:rPr>
          <w:rFonts w:ascii="Arial" w:cs="Arial" w:eastAsia="Arial" w:hAnsi="Arial"/>
          <w:sz w:val="17"/>
          <w:szCs w:val="17"/>
          <w:color w:val="auto"/>
        </w:rPr>
      </w:pPr>
      <w:r>
        <w:rPr>
          <w:rFonts w:ascii="Arial" w:cs="Arial" w:eastAsia="Arial" w:hAnsi="Arial"/>
          <w:sz w:val="15"/>
          <w:szCs w:val="15"/>
          <w:color w:val="auto"/>
        </w:rPr>
        <w:t>Relates to certain other unbudgeted costs (approved by the board of directors). These included costs incurred with potential acquisitions that were not consummated ($0.3 million and $0.3 million in 2019 and 2018, respectively), costs incurred with strategic consultations initiated by the board of directors ($0.4 million, $0.2 million and $3.0 million in 2020, 2019 and 2018, respectively) and other unbudgeted items ($0.8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9360" w:type="dxa"/>
        <w:tblCellMar>
          <w:top w:w="0" w:type="dxa"/>
          <w:left w:w="0" w:type="dxa"/>
          <w:bottom w:w="0" w:type="dxa"/>
          <w:right w:w="0" w:type="dxa"/>
        </w:tblCellMar>
      </w:tblPr>
      <w:tr>
        <w:trPr>
          <w:trHeight w:val="180"/>
        </w:trPr>
        <w:tc>
          <w:tcPr>
            <w:tcW w:w="1520" w:type="dxa"/>
            <w:vAlign w:val="bottom"/>
          </w:tcPr>
          <w:p>
            <w:pPr>
              <w:spacing w:after="0"/>
              <w:rPr>
                <w:sz w:val="20"/>
                <w:szCs w:val="20"/>
                <w:color w:val="auto"/>
              </w:rPr>
            </w:pPr>
            <w:r>
              <w:rPr>
                <w:rFonts w:ascii="Arial" w:cs="Arial" w:eastAsia="Arial" w:hAnsi="Arial"/>
                <w:sz w:val="14"/>
                <w:szCs w:val="14"/>
                <w:color w:val="auto"/>
              </w:rPr>
              <w:t>2021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bl>
    <w:p>
      <w:pPr>
        <w:sectPr>
          <w:pgSz w:w="11900" w:h="16838" w:orient="portrait"/>
          <w:cols w:equalWidth="0" w:num="1">
            <w:col w:w="11240"/>
          </w:cols>
          <w:pgMar w:left="320" w:top="226" w:right="339" w:bottom="1440"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365760</wp:posOffset>
            </wp:positionV>
            <wp:extent cx="6447155" cy="8401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6447155" cy="8401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609600</wp:posOffset>
            </wp:positionV>
            <wp:extent cx="5666105" cy="73507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5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610235</wp:posOffset>
            </wp:positionV>
            <wp:extent cx="5666105" cy="73266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ind w:right="100"/>
        <w:spacing w:after="0" w:line="254" w:lineRule="auto"/>
        <w:rPr>
          <w:sz w:val="20"/>
          <w:szCs w:val="20"/>
          <w:color w:val="auto"/>
        </w:rPr>
      </w:pPr>
      <w:r>
        <w:rPr>
          <w:rFonts w:ascii="Arial" w:cs="Arial" w:eastAsia="Arial" w:hAnsi="Arial"/>
          <w:sz w:val="19"/>
          <w:szCs w:val="19"/>
          <w:color w:val="auto"/>
        </w:rPr>
        <w:t>begin 644 pg3_barchartxtrir2.jpg M_]C_X 02D9)1@ ! @$!+ $L #_[0 L4&amp;AO=&amp;]S:&amp;]P(#,N, X0DE- ^T M ! !+ $ 0$L 0 !_^%/P6AT=' Z+R]N&amp;%P+S$N,"\ /#]X&lt;&amp;%C:V5T(&amp;)E9VEN/2+ON[\B(&amp;ED/2)7-4TP37!#96AI M2'IR95-Z3E1C&gt;FMC.60B/SX*/'@Z&gt;&amp;UP;65T82!X;6QN#IX;7!T:STB061O8F4@6$U0($-O7!E+U)E&amp;UL M;G,Z&amp;%P+S$N,"]S5'EP92]2 M97-O=7)C945V96YT(R(*(" @(" @(" @(" @&gt;&amp;UL;G,Z9&amp;,](FAT=' Z+R]P M=7)L+F]R9R]D8R]E;&amp;5M96YT7!E/2)297-O M=7)C92(^"B @(" @(" @(" @(" @(" @(#QX;7!'26UG.G=I9'1H/C(U-CPO M&gt;&amp;UP1TEM9SIW:61T:#X*(" @(" @(" @(" @(" @(" @/'AM&lt;$=);6&amp;UP1TEM9SIH96EG:'0^"B @(" @(" @(" @(" @(" @(#QX M;7!'26UG.F9OF%'.7=)1$UU34%!-%%K;$Y!*S!!04%!04%" M04%304%!04%%028C&gt;$$[05%"24%!04%!44%"+RLT041K1FMB,DIL04=404%! M04%!9B]B04E104)G445"055%0F=51D)G:T="45E*0W=G1T)G9TQ$06]+0W=O M2R8C&gt;$$[1$)!341!=TU$07=11$$T4$5!.$]$0DU41D)15$5X=V)'&gt;'-C2'@X M9DAX.&amp;9(&gt;#AF2'=%2$)W8TY$03!914)!64=H55)&amp;4F]F2'@X9B8C&gt;$$[2'@X M9DAX.&amp;9(&gt;#AF2'@X9DAX.&amp;9(&gt;#AF2'@X9DAX.&amp;9(&gt;#AF2'@X9DAX.&amp;9(&gt;#AF M2'@X9DAX.&amp;9(&gt;#AF+SA!04519T%H045!07=%4B8C&gt;$$[04%)4D%135)!9B]% M06%)04%!04A!445"05%%04%!04%!04%!04%11D%W24=!44%(0T%K2T-W14%!</w:t>
      </w:r>
    </w:p>
    <w:p>
      <w:pPr>
        <w:spacing w:after="0"/>
        <w:rPr>
          <w:sz w:val="20"/>
          <w:szCs w:val="20"/>
          <w:color w:val="auto"/>
        </w:rPr>
      </w:pPr>
      <w:r>
        <w:rPr>
          <w:rFonts w:ascii="Arial" w:cs="Arial" w:eastAsia="Arial" w:hAnsi="Arial"/>
          <w:sz w:val="21"/>
          <w:szCs w:val="21"/>
          <w:color w:val="auto"/>
        </w:rPr>
        <w:t>M9TE$05%%0D%114%!04%!04%!028C&gt;$$[05%!0T%W449"9V-)0U%O3$5!04-! M44U$06=10T)G8T1"04E'06Y-</w:t>
      </w:r>
    </w:p>
    <w:p>
      <w:pPr>
        <w:spacing w:after="0"/>
        <w:rPr>
          <w:sz w:val="20"/>
          <w:szCs w:val="20"/>
          <w:color w:val="auto"/>
        </w:rPr>
      </w:pPr>
      <w:r>
        <w:rPr>
          <w:rFonts w:ascii="Arial" w:cs="Arial" w:eastAsia="Arial" w:hAnsi="Arial"/>
          <w:sz w:val="19"/>
          <w:szCs w:val="19"/>
          <w:color w:val="auto"/>
        </w:rPr>
        <w:t>0D%G35)"04%&amp;25))&gt;%%614=%,D5I8UE%54UP M1VA"&gt;%=X46E00B8C&gt;$$[571(:$UX6FDX0U)Y9W9%;%%Z4E1K&lt;4MY63-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00TY5 M46YK-D]Z3FAD55I(5$0P=4E)2F]-2D-H9UIH2E)&amp;4G%3,%9T3E9+0G)Y-"]0</w:t>
      </w:r>
    </w:p>
    <w:p>
      <w:pPr>
        <w:spacing w:after="0" w:line="229" w:lineRule="auto"/>
        <w:rPr>
          <w:sz w:val="20"/>
          <w:szCs w:val="20"/>
          <w:color w:val="auto"/>
        </w:rPr>
      </w:pPr>
      <w:r>
        <w:rPr>
          <w:rFonts w:ascii="Arial" w:cs="Arial" w:eastAsia="Arial" w:hAnsi="Arial"/>
          <w:sz w:val="21"/>
          <w:szCs w:val="21"/>
          <w:color w:val="auto"/>
        </w:rPr>
        <w:t>M128C&gt;$$[,4]4,%I85T9L85"&amp;18;#E76C)H&lt;&amp;%M='-B5S5V63-2,61N9#1E M6' W9D@Q*V8S3T5H66%</w:t>
      </w:r>
    </w:p>
    <w:p>
      <w:pPr>
        <w:spacing w:after="0"/>
        <w:rPr>
          <w:sz w:val="20"/>
          <w:szCs w:val="20"/>
          <w:color w:val="auto"/>
        </w:rPr>
      </w:pPr>
      <w:r>
        <w:rPr>
          <w:rFonts w:ascii="Arial" w:cs="Arial" w:eastAsia="Arial" w:hAnsi="Arial"/>
          <w:sz w:val="19"/>
          <w:szCs w:val="19"/>
          <w:color w:val="auto"/>
        </w:rPr>
        <w:t>(:4EM2VDT&gt;4YJ;RM#:S535FQP95EM6B8C&gt;$$[&lt;6)N M2C)E;C5+:G!+5VUP-FEP&lt;7%U28C&gt;$$[;V)(=T9-2%(T4TY# M1E9*:6-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V17I*1%)$9VAA4U5Y5VE9-TQ#0C-04TYE2D5G&gt;&amp;15:W=G2D-H9UI*</w:t>
      </w:r>
    </w:p>
    <w:p>
      <w:pPr>
        <w:spacing w:after="0" w:line="229" w:lineRule="auto"/>
        <w:rPr>
          <w:sz w:val="20"/>
          <w:szCs w:val="20"/>
          <w:color w:val="auto"/>
        </w:rPr>
      </w:pPr>
      <w:r>
        <w:rPr>
          <w:rFonts w:ascii="Arial" w:cs="Arial" w:eastAsia="Arial" w:hAnsi="Arial"/>
          <w:sz w:val="21"/>
          <w:szCs w:val="21"/>
          <w:color w:val="auto"/>
        </w:rPr>
        <w:t>M:EI&amp;1VED:V1&amp;53,X&lt;4]Z=WEG&lt;"8C&gt;$$[,"M0&gt;FA*4VMT3515-5!2;&amp;195U9P</w:t>
      </w:r>
    </w:p>
    <w:p>
      <w:pPr>
        <w:spacing w:after="0" w:line="229" w:lineRule="auto"/>
        <w:rPr>
          <w:sz w:val="20"/>
          <w:szCs w:val="20"/>
          <w:color w:val="auto"/>
        </w:rPr>
      </w:pPr>
      <w:r>
        <w:rPr>
          <w:rFonts w:ascii="Arial" w:cs="Arial" w:eastAsia="Arial" w:hAnsi="Arial"/>
          <w:sz w:val="21"/>
          <w:szCs w:val="21"/>
          <w:color w:val="auto"/>
        </w:rPr>
        <w:t>M8EA&amp;,658,5)L6FUD;V%7&lt;')B1S%U8C)2,61N9#1E6' W9D@Q*V8S3T5H66%(</w:t>
      </w:r>
    </w:p>
    <w:p>
      <w:pPr>
        <w:spacing w:after="0" w:line="230" w:lineRule="auto"/>
        <w:rPr>
          <w:sz w:val="20"/>
          <w:szCs w:val="20"/>
          <w:color w:val="auto"/>
        </w:rPr>
      </w:pPr>
      <w:r>
        <w:rPr>
          <w:rFonts w:ascii="Arial" w:cs="Arial" w:eastAsia="Arial" w:hAnsi="Arial"/>
          <w:sz w:val="21"/>
          <w:szCs w:val="21"/>
          <w:color w:val="auto"/>
        </w:rPr>
        <w:t>M:4EM2VDT&gt;4YJ;R8C&gt;$$[*T1L2E=7;#5I6FUP=6-N6C9F:W%/:W!A86YQ2VUQ</w:t>
      </w:r>
    </w:p>
    <w:p>
      <w:pPr>
        <w:spacing w:after="0"/>
        <w:rPr>
          <w:sz w:val="20"/>
          <w:szCs w:val="20"/>
          <w:color w:val="auto"/>
        </w:rPr>
      </w:pPr>
      <w:r>
        <w:rPr>
          <w:rFonts w:ascii="Arial" w:cs="Arial" w:eastAsia="Arial" w:hAnsi="Arial"/>
          <w:sz w:val="19"/>
          <w:szCs w:val="19"/>
          <w:color w:val="auto"/>
        </w:rPr>
        <w:t>M&lt;39Y=')Q*W8O84%!=T1!44%#15%-4D%$.$$Y03)8-6-E5W)+0U$$[13!B4T9G,&amp;-W2'%X+T5#47)K8W%G.&amp;=E:$$R&gt;7$$[&lt;7$U</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M:T1F8B]!2FHY,C-40C1H87@R='%2+T8PE5P+WDV.'%Z;SAC M='-X9TM,1$9!2$MP1D5Q=6Y#34Q39UI:6$)R528C&gt;$$[-</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S=5;TM%6DI";D1T M:E523F$$[1'5R=3=K4F]V;&amp;I43DAN;6US+U4U M&gt;DE%9C%(-4-G:V57;TAI6&amp;QB17E*83E4$$[#EQ-6]9 M-</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"8C&gt;$$[-#1K0TUB-F0O=T19;W)A+VQB8S)P5T163$DV9F1-1$Q&amp;1&amp;9*-E5Z M;'I)&lt;$QH*U9E8W!0=TU/6$QE=5!'5DAA=6-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%1R]53U)O8F)6-R8C&gt;$$[=5%( M36)D2U5*8D@X;7$I'2'5*0BLY;R\W&lt;#%, M13%!5639D1B8C&gt;$$[-'0O&gt;65N;G5,46%J</w:t>
      </w:r>
    </w:p>
    <w:p>
      <w:pPr>
        <w:spacing w:after="0" w:line="229" w:lineRule="auto"/>
        <w:rPr>
          <w:sz w:val="20"/>
          <w:szCs w:val="20"/>
          <w:color w:val="auto"/>
        </w:rPr>
      </w:pPr>
      <w:r>
        <w:rPr>
          <w:rFonts w:ascii="Arial" w:cs="Arial" w:eastAsia="Arial" w:hAnsi="Arial"/>
          <w:sz w:val="21"/>
          <w:szCs w:val="21"/>
          <w:color w:val="auto"/>
        </w:rPr>
        <w:t>M&lt;#!L&gt;&amp;5+2EHT0G%)6C)795!:*TAR13A8:FMQ3G%%1W5$:DQ%9')A:U8V=G U</w:t>
      </w:r>
    </w:p>
    <w:p>
      <w:pPr>
        <w:spacing w:after="0" w:line="229" w:lineRule="auto"/>
        <w:rPr>
          <w:sz w:val="20"/>
          <w:szCs w:val="20"/>
          <w:color w:val="auto"/>
        </w:rPr>
      </w:pPr>
      <w:r>
        <w:rPr>
          <w:rFonts w:ascii="Arial" w:cs="Arial" w:eastAsia="Arial" w:hAnsi="Arial"/>
          <w:sz w:val="21"/>
          <w:szCs w:val="21"/>
          <w:color w:val="auto"/>
        </w:rPr>
        <w:t>M8D0Y4TQS4'DT.&amp;E065$$[2F(O1$QB6%5D,4Q-1U9V5%!*5UHU M14MU26Q',V)P4W533U=2-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70P=3-.5$EK;5$S+V]X2&amp;8S060U+U-M;&amp;PU2CAT M5U=P,BMP,G1Q628C&gt;$$[%=U4DUZ5D]0:S=4 M&gt;GIX;DA+5GAK8D]W-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DHU:TA!9&amp;ER$$[=3E#,#5,*T=Y5S=T,&amp;5L-'IZ&lt;&amp;)I1TQG&gt;$5H6G=19FI#%4R&gt;79.2"8C&gt;$$[3W-K</w:t>
      </w:r>
    </w:p>
    <w:p>
      <w:pPr>
        <w:spacing w:after="0" w:line="229" w:lineRule="auto"/>
        <w:rPr>
          <w:sz w:val="20"/>
          <w:szCs w:val="20"/>
          <w:color w:val="auto"/>
        </w:rPr>
      </w:pPr>
      <w:r>
        <w:rPr>
          <w:rFonts w:ascii="Arial" w:cs="Arial" w:eastAsia="Arial" w:hAnsi="Arial"/>
          <w:sz w:val="21"/>
          <w:szCs w:val="21"/>
          <w:color w:val="auto"/>
        </w:rPr>
        <w:t>M6E)73&amp;@T4W=O1TQ*.49E*U)Z46Y'&gt;"]&amp;-7-S8V]Y;R]W*U-T&lt;&amp;UP6'0U239G M=VM13GAN-</w:t>
      </w:r>
    </w:p>
    <w:p>
      <w:pPr>
        <w:spacing w:after="0"/>
        <w:rPr>
          <w:sz w:val="20"/>
          <w:szCs w:val="20"/>
          <w:color w:val="auto"/>
        </w:rPr>
      </w:pPr>
      <w:r>
        <w:rPr>
          <w:rFonts w:ascii="Arial" w:cs="Arial" w:eastAsia="Arial" w:hAnsi="Arial"/>
          <w:sz w:val="19"/>
          <w:szCs w:val="19"/>
          <w:color w:val="auto"/>
        </w:rPr>
        <w:t>&amp;AW97)F6G(X$$[579Q."M4;34X14U9 M+VDS-6-K,7IA3T4W1EA9&lt;3=&amp;6%EQ-T9867$W1EA9&lt;3=&amp;6%EQ-T9867%W+U=D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M6"],3S,X&gt;69O=E9)3%)T8VU-528C&gt;$$[:$0R5%-S5VYK:FAI3%-I2C$U339X M:F1Q-T$Y1C)65DY2,')Y5F%845E-.5V513TM!</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M4%-3;FEE;495;"8C&gt;$$[:C%N.&amp;PU-%I,53-V;&amp;A93$U&amp;5$).1F%X&lt;7%34DEV M2D9K9%$P8GA-:6AL&lt;7)$875"5E$$[5GA+0C9"-</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'EL2D%Z:4EC05)5.&amp;1V$$[04-, M8B]M=D973C9V*UEF;&amp;)2CAO M;#56;&amp;]Q35-</w:t>
      </w:r>
    </w:p>
    <w:p>
      <w:pPr>
        <w:spacing w:after="0" w:line="229" w:lineRule="auto"/>
        <w:rPr>
          <w:sz w:val="20"/>
          <w:szCs w:val="20"/>
          <w:color w:val="auto"/>
        </w:rPr>
      </w:pPr>
      <w:r>
        <w:rPr>
          <w:rFonts w:ascii="Arial" w:cs="Arial" w:eastAsia="Arial" w:hAnsi="Arial"/>
          <w:sz w:val="21"/>
          <w:szCs w:val="21"/>
          <w:color w:val="auto"/>
        </w:rPr>
        <w:t>S9DEJ=4U68FPO351Y9$AB;34O&gt;"8C&gt;$$[3G!C:TMQ:VIT1$EK</w:t>
      </w:r>
    </w:p>
    <w:p>
      <w:pPr>
        <w:spacing w:after="0"/>
        <w:rPr>
          <w:sz w:val="20"/>
          <w:szCs w:val="20"/>
          <w:color w:val="auto"/>
        </w:rPr>
      </w:pPr>
      <w:r>
        <w:rPr>
          <w:rFonts w:ascii="Arial" w:cs="Arial" w:eastAsia="Arial" w:hAnsi="Arial"/>
          <w:sz w:val="19"/>
          <w:szCs w:val="19"/>
          <w:color w:val="auto"/>
        </w:rPr>
        <w:t>M,T=+4U991FQC4GEU5FHY5G=R4T@T5C=K67$R=C5G*U5':FML6'I.&lt;%1X=U-R M0F-/$$[0T9,54)05$9745)M-FM26DDU-%A2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M:%985TUK14AU0TI-5E%7=&amp;%X8C9*64YQ3W$S,$9N67AV1VML&gt;DI%+T)$2S9X</w:t>
      </w:r>
    </w:p>
    <w:p>
      <w:pPr>
        <w:spacing w:after="0" w:line="229" w:lineRule="auto"/>
        <w:rPr>
          <w:sz w:val="20"/>
          <w:szCs w:val="20"/>
          <w:color w:val="auto"/>
        </w:rPr>
      </w:pPr>
      <w:r>
        <w:rPr>
          <w:rFonts w:ascii="Arial" w:cs="Arial" w:eastAsia="Arial" w:hAnsi="Arial"/>
          <w:sz w:val="21"/>
          <w:szCs w:val="21"/>
          <w:color w:val="auto"/>
        </w:rPr>
        <w:t>M&lt;5A94#A!0W9*:"8C&gt;$$[5FIS3W!)1TMP5E K679K,D%13DHU;3!V,#=I5EE) M-6MK5C1H2DI'.#!9:VM35FMJ-</w:t>
      </w:r>
    </w:p>
    <w:p>
      <w:pPr>
        <w:spacing w:after="0" w:line="229" w:lineRule="auto"/>
        <w:rPr>
          <w:sz w:val="20"/>
          <w:szCs w:val="20"/>
          <w:color w:val="auto"/>
        </w:rPr>
      </w:pPr>
      <w:r>
        <w:rPr>
          <w:rFonts w:ascii="Arial" w:cs="Arial" w:eastAsia="Arial" w:hAnsi="Arial"/>
          <w:sz w:val="21"/>
          <w:szCs w:val="21"/>
          <w:color w:val="auto"/>
        </w:rPr>
        <w:t>7!'&gt;%5U44$$[,#)396(Q4D8V8D-21V5$:#9K46M347 V&lt;2MO&lt;#E/=DUJ8T-L8U96 M25!0=FQ7-</w:t>
      </w:r>
    </w:p>
    <w:p>
      <w:pPr>
        <w:spacing w:after="0" w:line="230" w:lineRule="auto"/>
        <w:rPr>
          <w:sz w:val="20"/>
          <w:szCs w:val="20"/>
          <w:color w:val="auto"/>
        </w:rPr>
      </w:pPr>
      <w:r>
        <w:rPr>
          <w:rFonts w:ascii="Arial" w:cs="Arial" w:eastAsia="Arial" w:hAnsi="Arial"/>
          <w:sz w:val="21"/>
          <w:szCs w:val="21"/>
          <w:color w:val="auto"/>
        </w:rPr>
        <w:t>'5R83%T=DU7;EA-.311='%K1$-8,4=.3FM+4TU#4B8C&gt;$$[549Q</w:t>
      </w:r>
    </w:p>
    <w:p>
      <w:pPr>
        <w:spacing w:after="0"/>
        <w:rPr>
          <w:sz w:val="20"/>
          <w:szCs w:val="20"/>
          <w:color w:val="auto"/>
        </w:rPr>
      </w:pPr>
      <w:r>
        <w:rPr>
          <w:rFonts w:ascii="Arial" w:cs="Arial" w:eastAsia="Arial" w:hAnsi="Arial"/>
          <w:sz w:val="19"/>
          <w:szCs w:val="19"/>
          <w:color w:val="auto"/>
        </w:rPr>
        <w:t>M9EI"0DY!8U94&gt;31A*VEG:VQ%:U)-87,Q4%1B96=R+W9Z1EAN,S5G6&amp;LQ;C4O M.'57-E@R&lt;%),$$[5&amp;9K-3E7:%!)8EIM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F93:DIJ;D\O;V-04'%V1'E1:%@Q&lt;#DK8E X035,$$[04I,-U%F.$%M150K3T18+T%..4PS</w:t>
      </w:r>
    </w:p>
    <w:p>
      <w:pPr>
        <w:spacing w:after="0" w:line="229" w:lineRule="auto"/>
        <w:rPr>
          <w:sz w:val="20"/>
          <w:szCs w:val="20"/>
          <w:color w:val="auto"/>
        </w:rPr>
      </w:pPr>
      <w:r>
        <w:rPr>
          <w:rFonts w:ascii="Arial" w:cs="Arial" w:eastAsia="Arial" w:hAnsi="Arial"/>
          <w:sz w:val="21"/>
          <w:szCs w:val="21"/>
          <w:color w:val="auto"/>
        </w:rPr>
        <w:t>M&lt;#!0.7A$*W%%4C56+W8Y4R\T&gt;D0Y8EIY=EEN,5IF-C,V,V9D;SAO93$$[&lt;3=&amp;6%EQ-T9867$W1EA9&lt;3=&amp;6%EQ-</w:t>
      </w:r>
    </w:p>
    <w:p>
      <w:pPr>
        <w:spacing w:after="0"/>
        <w:rPr>
          <w:sz w:val="20"/>
          <w:szCs w:val="20"/>
          <w:color w:val="auto"/>
        </w:rPr>
      </w:pPr>
      <w:r>
        <w:rPr>
          <w:rFonts w:ascii="Arial" w:cs="Arial" w:eastAsia="Arial" w:hAnsi="Arial"/>
          <w:sz w:val="19"/>
          <w:szCs w:val="19"/>
          <w:color w:val="auto"/>
        </w:rPr>
        <w:t>T9867%W497,VIF:W-/;S!H;BMZ46HY:T5N M1B8C&gt;$$[571J:#%A,W)B471R,3=C5W9P6'0W87I85VDS3C905&amp;(P-&amp;%1&gt;2MP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M1VEZ*VTW.&amp;QA4#=*-"]&amp;'9*4R8C&gt;$$[-&amp;YS M-4I.3&amp;Y-3'AU,')X3D=93&amp;E.1$=*,41C1W)X0U9/0E4S,&amp;I4;W10=5I,=51Z</w:t>
      </w:r>
    </w:p>
    <w:p>
      <w:pPr>
        <w:spacing w:after="0"/>
        <w:rPr>
          <w:sz w:val="20"/>
          <w:szCs w:val="20"/>
          <w:color w:val="auto"/>
        </w:rPr>
      </w:pPr>
      <w:r>
        <w:rPr>
          <w:rFonts w:ascii="Arial" w:cs="Arial" w:eastAsia="Arial" w:hAnsi="Arial"/>
          <w:sz w:val="19"/>
          <w:szCs w:val="19"/>
          <w:color w:val="auto"/>
        </w:rPr>
        <w:t>M0F0V:D9D2VEW45AC='4P2V5Q-T]H:3E/2TII6"8C&gt;$$[-6-6-4TQ4E%$1E4Y M&gt;%8U,W)%=FY!*V,Y5FLP;V%L2F)7:5=02WIS-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R]3,U=26&amp;5S;D$$[-G)D6%=N4RM:4WE)A14YW035Q0T%75E9,5S0X,5AT,6)88TU/=GE3 M4GE..5=L;G5F3"8C&gt;$$[66EA24-</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K&gt;78Y5T5Z8U,V:%1X57-#0CA3+T9H5FYM M:&amp;%Q9%4P,D\W83)E,&amp;1I&gt;5!"2DIB&gt;7-R&gt;&amp;MQ-$PR,&amp;LX4F]W23)B-3!W2V=V</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M3R8C&gt;$$[,&amp;)0-6-U3TTX='5W:V=):V=U&gt;' W-U1P.$EU1T)#.'5H2#=8,F4K M2W9-=$-B.'=K;#%#2T=$5U4Q5T]'4U-</w:t>
      </w:r>
    </w:p>
    <w:p>
      <w:pPr>
        <w:spacing w:after="0"/>
        <w:rPr>
          <w:sz w:val="20"/>
          <w:szCs w:val="20"/>
          <w:color w:val="auto"/>
        </w:rPr>
      </w:pPr>
      <w:r>
        <w:rPr>
          <w:rFonts w:ascii="Arial" w:cs="Arial" w:eastAsia="Arial" w:hAnsi="Arial"/>
          <w:sz w:val="19"/>
          <w:szCs w:val="19"/>
          <w:color w:val="auto"/>
        </w:rPr>
        <w:t>3,UA8=$LQ4F]7=E1Z:28C&gt;$$[+V-8 M36-A$PT5E1A,&amp;TQ,D\Y=31R52M9=6,Q=VM.=VM&amp;&gt;C5F M;%=+-VAS=S!L62]I5T)P-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FEB:'-R4V)S&lt;4DS&gt;"8C&gt;$$[0E=4*UA,6%9*=&amp;1U M-W4V=7164TLR:V5-5VQZ4' X=&amp;\U9$4S0S)Y*W-</w:t>
      </w:r>
    </w:p>
    <w:p>
      <w:pPr>
        <w:spacing w:after="0" w:line="229" w:lineRule="auto"/>
        <w:rPr>
          <w:sz w:val="20"/>
          <w:szCs w:val="20"/>
          <w:color w:val="auto"/>
        </w:rPr>
      </w:pPr>
      <w:r>
        <w:rPr>
          <w:rFonts w:ascii="Arial" w:cs="Arial" w:eastAsia="Arial" w:hAnsi="Arial"/>
          <w:sz w:val="21"/>
          <w:szCs w:val="21"/>
          <w:color w:val="auto"/>
        </w:rPr>
        <w:t>J&lt;4%$=UEG06LP&lt;4181E=3 M,R\K.$YX+WAI9B]!26EC5F5:9B8C&gt;$$[;6@O-4UR&gt;40O=T%X5&amp;8X04HR3$YV M;U</w:t>
      </w:r>
    </w:p>
    <w:p>
      <w:pPr>
        <w:spacing w:after="0"/>
        <w:rPr>
          <w:sz w:val="20"/>
          <w:szCs w:val="20"/>
          <w:color w:val="auto"/>
        </w:rPr>
      </w:pPr>
      <w:r>
        <w:rPr>
          <w:rFonts w:ascii="Arial" w:cs="Arial" w:eastAsia="Arial" w:hAnsi="Arial"/>
          <w:sz w:val="19"/>
          <w:szCs w:val="19"/>
          <w:color w:val="auto"/>
        </w:rPr>
        <w:t>W:DPW=C%U;S$S*TU99F5F,$UN+TYN+WE85W4O.%E"+WEC6$U4$$[8W$O;&amp;8O-4PW468K65)0-#1.9B]!2#!V96Y1+S-%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M4#9O4DAL6"LO,4PO:DU0,71N2SEI9E9L+W)FF9U$$['1G M8EE80V972FMC=F]R83=%9VQT5FIR2D9'&gt;5129VAI2W Q-</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DXX3B8C&gt;$$[8U99 M-V-A1EE8355A6#)M=TQ&amp;8GAM,TM1955R;$DS:C531F=G5U-A9%!3-'DX94QH M4UA"55!Y05EQ-</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7)#&gt;%=9,C)Q-F9B5&amp;%41&amp;)1&gt;"8C&gt;$$[4C@O2T8P.&amp;IL-#1!</w:t>
      </w:r>
    </w:p>
    <w:p>
      <w:pPr>
        <w:spacing w:after="0" w:line="229" w:lineRule="auto"/>
        <w:rPr>
          <w:sz w:val="20"/>
          <w:szCs w:val="20"/>
          <w:color w:val="auto"/>
        </w:rPr>
      </w:pPr>
      <w:r>
        <w:rPr>
          <w:rFonts w:ascii="Arial" w:cs="Arial" w:eastAsia="Arial" w:hAnsi="Arial"/>
          <w:sz w:val="21"/>
          <w:szCs w:val="21"/>
          <w:color w:val="auto"/>
        </w:rPr>
        <w:t>M;VE%4WEX:4QL2%@P;5%/:DM!=V]O&gt;%9L,VQ,&gt;6YP:5%.92]68D8T8C92-VTU M43922G X&lt;&amp;Y)5D-</w:t>
      </w:r>
    </w:p>
    <w:p>
      <w:pPr>
        <w:spacing w:after="0"/>
        <w:rPr>
          <w:sz w:val="20"/>
          <w:szCs w:val="20"/>
          <w:color w:val="auto"/>
        </w:rPr>
      </w:pPr>
      <w:r>
        <w:rPr>
          <w:rFonts w:ascii="Arial" w:cs="Arial" w:eastAsia="Arial" w:hAnsi="Arial"/>
          <w:sz w:val="19"/>
          <w:szCs w:val="19"/>
          <w:color w:val="auto"/>
        </w:rPr>
        <w:t>Y&gt;%A$;5-.828C&gt;$$[&gt;&amp;LP9%-46#=8:49:9&amp;)7,71A=TIB M,C!345%8U$$[=$%R.')E.&amp;I:9U9:9T$W4$=E2E1J.%!W:VQ5:G8Y M1W-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R-S%:-S)X:6956C1:#AF M=R8C&gt;$$[:%=(241&amp;57ET8D13&lt;#529#9V&lt;&amp;1J95'%Y</w:t>
      </w:r>
    </w:p>
    <w:p>
      <w:pPr>
        <w:spacing w:after="0" w:line="229" w:lineRule="auto"/>
        <w:rPr>
          <w:sz w:val="20"/>
          <w:szCs w:val="20"/>
          <w:color w:val="auto"/>
        </w:rPr>
      </w:pPr>
      <w:r>
        <w:rPr>
          <w:rFonts w:ascii="Arial" w:cs="Arial" w:eastAsia="Arial" w:hAnsi="Arial"/>
          <w:sz w:val="21"/>
          <w:szCs w:val="21"/>
          <w:color w:val="auto"/>
        </w:rPr>
        <w:t>M=$9$3D]%04IN;352;5IA+T4Y0S%A&lt;7%Z:GDU;S-K.7!N,2]39"8C&gt;$$[16DP</w:t>
      </w:r>
    </w:p>
    <w:p>
      <w:pPr>
        <w:spacing w:after="0" w:line="229" w:lineRule="auto"/>
        <w:rPr>
          <w:sz w:val="20"/>
          <w:szCs w:val="20"/>
          <w:color w:val="auto"/>
        </w:rPr>
      </w:pPr>
      <w:r>
        <w:rPr>
          <w:rFonts w:ascii="Arial" w:cs="Arial" w:eastAsia="Arial" w:hAnsi="Arial"/>
          <w:sz w:val="21"/>
          <w:szCs w:val="21"/>
          <w:color w:val="auto"/>
        </w:rPr>
        <w:t>M*RMU*U)N=4AS1%DS5$9I5V8Q1FQJ:6QQ&gt;DAC:V(T1E(S;5!32F18,&amp;U85#!L M:6E%-5%3*W9B&gt;#-</w:t>
      </w:r>
    </w:p>
    <w:p>
      <w:pPr>
        <w:spacing w:after="0" w:line="230" w:lineRule="auto"/>
        <w:rPr>
          <w:sz w:val="20"/>
          <w:szCs w:val="20"/>
          <w:color w:val="auto"/>
        </w:rPr>
      </w:pPr>
      <w:r>
        <w:rPr>
          <w:rFonts w:ascii="Arial" w:cs="Arial" w:eastAsia="Arial" w:hAnsi="Arial"/>
          <w:sz w:val="21"/>
          <w:szCs w:val="21"/>
          <w:color w:val="auto"/>
        </w:rPr>
        <w:t>C5%)H9UA2;UIF9V)K;W!V,"8C&gt;$$[-C1Q&gt;$\T+TLV0U=F M;DIB84)C4GET26QZ-C)I;TI28GEG.#0T6EEP-</w:t>
      </w:r>
    </w:p>
    <w:p>
      <w:pPr>
        <w:spacing w:after="0"/>
        <w:rPr>
          <w:sz w:val="20"/>
          <w:szCs w:val="20"/>
          <w:color w:val="auto"/>
        </w:rPr>
      </w:pPr>
      <w:r>
        <w:rPr>
          <w:rFonts w:ascii="Arial" w:cs="Arial" w:eastAsia="Arial" w:hAnsi="Arial"/>
          <w:sz w:val="19"/>
          <w:szCs w:val="19"/>
          <w:color w:val="auto"/>
        </w:rPr>
        <w:t>&amp;U2;EIN6C)B;%5S4T%/:%94 M-E0X=2]Y+VQ&amp;2F9,3VQ30VE,."8C&gt;$$[9&amp;IB3G1%;D--8G K=VYW'-V3"MG,D4T=4Q(5&amp;)7,75!</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&lt;&amp;I%,$5%8V)H0W-A1F53&lt;414:D)'=%!"1B]L M1TMO:2\O04XT8B8C&gt;$$[:B]J12]W1'A%-'%W8GIL-48X&gt;C9X-70P6%9R2S=T</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M=G%U:F=34F974WEZ975:;%IT;S0K0E0P,#)R=GDY$$[4$=C;WE03U!*3V90;FQZ5W1B.' S*VQA6F1O8GDW5D556&amp;Q&amp;:#0K</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M;W!F:UE9&gt;3EE04Y+9#AR&gt;%I4:FM*1&amp;U'95A'2GA-5'E+$$[=39R M;S-</w:t>
      </w:r>
    </w:p>
    <w:p>
      <w:pPr>
        <w:spacing w:after="0" w:line="229" w:lineRule="auto"/>
        <w:rPr>
          <w:sz w:val="20"/>
          <w:szCs w:val="20"/>
          <w:color w:val="auto"/>
        </w:rPr>
      </w:pPr>
      <w:r>
        <w:rPr>
          <w:rFonts w:ascii="Arial" w:cs="Arial" w:eastAsia="Arial" w:hAnsi="Arial"/>
          <w:sz w:val="21"/>
          <w:szCs w:val="21"/>
          <w:color w:val="auto"/>
        </w:rPr>
        <w:t>L;7HP=3=V46)I,%8T,2MR:&amp;93-$(R.4E6:U%U5'$$[5V5R,# S;7@U,4A'</w:t>
      </w:r>
    </w:p>
    <w:p>
      <w:pPr>
        <w:spacing w:after="0" w:line="229" w:lineRule="auto"/>
        <w:rPr>
          <w:sz w:val="20"/>
          <w:szCs w:val="20"/>
          <w:color w:val="auto"/>
        </w:rPr>
      </w:pPr>
      <w:r>
        <w:rPr>
          <w:rFonts w:ascii="Arial" w:cs="Arial" w:eastAsia="Arial" w:hAnsi="Arial"/>
          <w:sz w:val="21"/>
          <w:szCs w:val="21"/>
          <w:color w:val="auto"/>
        </w:rPr>
        <w:t>M=G)X:F%H878P6F$$[5F1I6)Q0DA$&gt;DEW649943!02#1K2$YI,&amp;DQ M0S$W8BM!=VE6&lt;28C&gt;$$[4E-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65S)Q831Z:4$$[84YB239+0U4K%972'A#&lt;"LQ&gt;"8C&gt;$$[5E1(</w:t>
      </w:r>
    </w:p>
    <w:p>
      <w:pPr>
        <w:sectPr>
          <w:pgSz w:w="11900" w:h="16838" w:orient="portrait"/>
          <w:cols w:equalWidth="0" w:num="1">
            <w:col w:w="11200"/>
          </w:cols>
          <w:pgMar w:left="320" w:top="120" w:right="379" w:bottom="0" w:gutter="0" w:footer="0" w:header="0"/>
        </w:sectPr>
      </w:pPr>
    </w:p>
    <w:bookmarkStart w:id="76" w:name="page77"/>
    <w:bookmarkEnd w:id="76"/>
    <w:p>
      <w:pPr>
        <w:ind w:right="960"/>
        <w:spacing w:after="0" w:line="237" w:lineRule="auto"/>
        <w:rPr>
          <w:sz w:val="20"/>
          <w:szCs w:val="20"/>
          <w:color w:val="auto"/>
        </w:rPr>
      </w:pPr>
      <w:r>
        <w:rPr>
          <w:rFonts w:ascii="Arial" w:cs="Arial" w:eastAsia="Arial" w:hAnsi="Arial"/>
          <w:sz w:val="21"/>
          <w:szCs w:val="21"/>
          <w:color w:val="auto"/>
        </w:rPr>
        <w:t>M4EHU=%%T,VQU=$UV.4ID5S0K:&amp;54&gt;',W52]A53(Q&gt;&amp;-,5#5N1E5416)L6F)I M3DI2-F%304E(4U-19T9&amp;8C=83&amp;9C-45Y05-!-28C&gt;$$[6DQN:DA3,FMC2%IN</w:t>
      </w:r>
    </w:p>
    <w:p>
      <w:pPr>
        <w:spacing w:after="0" w:line="230" w:lineRule="auto"/>
        <w:rPr>
          <w:sz w:val="20"/>
          <w:szCs w:val="20"/>
          <w:color w:val="auto"/>
        </w:rPr>
      </w:pPr>
      <w:r>
        <w:rPr>
          <w:rFonts w:ascii="Arial" w:cs="Arial" w:eastAsia="Arial" w:hAnsi="Arial"/>
          <w:sz w:val="21"/>
          <w:szCs w:val="21"/>
          <w:color w:val="auto"/>
        </w:rPr>
        <w:t>M.55$86=O,4,S46XV8WA"3V4Q46MF.#5I&amp;1D9P.6]58S$S*R8C&gt;$$[;DI'8W)&amp;46QZ,SE1*V8Q9G12=VHK</w:t>
      </w:r>
    </w:p>
    <w:p>
      <w:pPr>
        <w:spacing w:after="0" w:line="229" w:lineRule="auto"/>
        <w:rPr>
          <w:sz w:val="20"/>
          <w:szCs w:val="20"/>
          <w:color w:val="auto"/>
        </w:rPr>
      </w:pPr>
      <w:r>
        <w:rPr>
          <w:rFonts w:ascii="Arial" w:cs="Arial" w:eastAsia="Arial" w:hAnsi="Arial"/>
          <w:sz w:val="21"/>
          <w:szCs w:val="21"/>
          <w:color w:val="auto"/>
        </w:rPr>
        <w:t>M8U!L*WAA6C5Z47):&gt;FQF:4)":U97&lt;71+8D8V56)F978P6DAX2F1)5#8O&gt;$0O M:752+T%4=U(O;B8C&gt;$$[4BM8-</w:t>
      </w:r>
    </w:p>
    <w:p>
      <w:pPr>
        <w:spacing w:after="0" w:line="230" w:lineRule="auto"/>
        <w:rPr>
          <w:sz w:val="20"/>
          <w:szCs w:val="20"/>
          <w:color w:val="auto"/>
        </w:rPr>
      </w:pPr>
      <w:r>
        <w:rPr>
          <w:rFonts w:ascii="Arial" w:cs="Arial" w:eastAsia="Arial" w:hAnsi="Arial"/>
          <w:sz w:val="21"/>
          <w:szCs w:val="21"/>
          <w:color w:val="auto"/>
        </w:rPr>
        <w:t>T8V=DME2DYV2V]054=2864M5,S8U M3TUP1W94269%9CA6.%=*03=X.'8R26HP;#A7+S1*=C8U9G=$&gt;BM:82M)&lt;45N</w:t>
      </w:r>
    </w:p>
    <w:p>
      <w:pPr>
        <w:spacing w:after="0" w:line="229" w:lineRule="auto"/>
        <w:rPr>
          <w:sz w:val="20"/>
          <w:szCs w:val="20"/>
          <w:color w:val="auto"/>
        </w:rPr>
      </w:pPr>
      <w:r>
        <w:rPr>
          <w:rFonts w:ascii="Arial" w:cs="Arial" w:eastAsia="Arial" w:hAnsi="Arial"/>
          <w:sz w:val="21"/>
          <w:szCs w:val="21"/>
          <w:color w:val="auto"/>
        </w:rPr>
        <w:t>M$$[3$M212]%8U%31U(U3S4X1T9-:4-)&gt;7)F-U0S&lt;'%W&lt;#-#,U5K16M: M;5)69%=5=#9%;7=)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&lt;%@W95-/441V*U)2=VQJ.78U;3@T6$5C$$[=#5E M87IK5EI5:'0U2$UV&lt;51$:5EF,VE"5E)(5W134E)4$$[;#!'2EI21U%B&gt;4AK</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M,%IF:C9O-T1I;S5C5'519DAB0G=J=F%2&lt;'1.5RM8978U:#4Q&gt;2]29C9&amp;$$[3E9J*T9F5D$R,UAX,W!V4F]D-E)P M9%</w:t>
      </w:r>
    </w:p>
    <w:p>
      <w:pPr>
        <w:spacing w:after="0" w:line="229" w:lineRule="auto"/>
        <w:rPr>
          <w:sz w:val="20"/>
          <w:szCs w:val="20"/>
          <w:color w:val="auto"/>
        </w:rPr>
      </w:pPr>
      <w:r>
        <w:rPr>
          <w:rFonts w:ascii="Arial" w:cs="Arial" w:eastAsia="Arial" w:hAnsi="Arial"/>
          <w:sz w:val="21"/>
          <w:szCs w:val="21"/>
          <w:color w:val="auto"/>
        </w:rPr>
        <w:t>O04MP&gt;C5B9%!09F(T&lt;&amp;QO97 V:F9W&gt;79F86,K;7E2;$973U)W+TQL1W)T M46=,.6QM2V929R8C&gt;$$[:T%</w:t>
      </w:r>
    </w:p>
    <w:p>
      <w:pPr>
        <w:spacing w:after="0"/>
        <w:rPr>
          <w:sz w:val="20"/>
          <w:szCs w:val="20"/>
          <w:color w:val="auto"/>
        </w:rPr>
      </w:pPr>
      <w:r>
        <w:rPr>
          <w:rFonts w:ascii="Arial" w:cs="Arial" w:eastAsia="Arial" w:hAnsi="Arial"/>
          <w:sz w:val="19"/>
          <w:szCs w:val="19"/>
          <w:color w:val="auto"/>
        </w:rPr>
        <w:t>(1S%70T=-9U%M2B\R:V9B&gt;BM+6EI&amp;&gt;%A9&lt;3=&amp; M6%EQ-T9867$W1EA9&lt;3=&amp;6%EQ-T9867$W1E=/-G8O04UR1"]435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V2"]203!8 M,28C&gt;$$[25!R0G4O7-R85@Q3V-T*SAK4V-L5TU*4U)66D9(2CDK6%A91$EW-28C&gt;$$[;C,O</w:t>
      </w:r>
    </w:p>
    <w:p>
      <w:pPr>
        <w:spacing w:after="0"/>
        <w:rPr>
          <w:sz w:val="20"/>
          <w:szCs w:val="20"/>
          <w:color w:val="auto"/>
        </w:rPr>
      </w:pPr>
      <w:r>
        <w:rPr>
          <w:rFonts w:ascii="Arial" w:cs="Arial" w:eastAsia="Arial" w:hAnsi="Arial"/>
          <w:sz w:val="19"/>
          <w:szCs w:val="19"/>
          <w:color w:val="auto"/>
        </w:rPr>
        <w:t>M;T1+6%)I;'0K6D=O,W-B5'9(-6%V26YL:6ES6E@Q3V4Q04YY:V),1T1C,E9* M9'E4&gt;FI0&gt;$-N=U9Y8D9D8B]M2%IW=$1B6#DQ-</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28C&gt;$$[5D8Q16MA-FA),F]Y M5V-:;4QY&gt;%1F5B]7=&amp;Y$0DI)1U96-6MN&lt;65/,TI6:U!L4'I&amp;;RMT5%A.:S!M</w:t>
      </w:r>
    </w:p>
    <w:p>
      <w:pPr>
        <w:spacing w:after="0"/>
        <w:rPr>
          <w:sz w:val="20"/>
          <w:szCs w:val="20"/>
          <w:color w:val="auto"/>
        </w:rPr>
      </w:pPr>
      <w:r>
        <w:rPr>
          <w:rFonts w:ascii="Arial" w:cs="Arial" w:eastAsia="Arial" w:hAnsi="Arial"/>
          <w:sz w:val="19"/>
          <w:szCs w:val="19"/>
          <w:color w:val="auto"/>
        </w:rPr>
        <w:t>M;'HV:&amp;%F1DQ(&lt;#AJ5%54:UDK528C&gt;$$[:5-24FU).#%)-#%B&gt;')I"\X04%,+U1!39S9DY';S9(6C-(;&amp;U#4F)32C=#3%9*-7)7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%,T;$1+:&amp;M4,"8C&gt;$$[;6IN:F51;V]%8VES4&amp;-K1$953"]!37)7.4XU$$[3%@X&gt;$IM;E,R4UAY=S</w:t>
      </w:r>
    </w:p>
    <w:p>
      <w:pPr>
        <w:spacing w:after="0" w:line="229" w:lineRule="auto"/>
        <w:rPr>
          <w:sz w:val="20"/>
          <w:szCs w:val="20"/>
          <w:color w:val="auto"/>
        </w:rPr>
      </w:pPr>
      <w:r>
        <w:rPr>
          <w:rFonts w:ascii="Arial" w:cs="Arial" w:eastAsia="Arial" w:hAnsi="Arial"/>
          <w:sz w:val="21"/>
          <w:szCs w:val="21"/>
          <w:color w:val="auto"/>
        </w:rPr>
        <w:t>X&amp;=++T]J9$M6&gt;4AH&gt;#=G&gt;31Z,W,O:FI2;S%,&gt;&amp;](24)93#A3,28C&gt;$$[.6E1 M=&amp;9U&gt;#A/4&amp;-&amp;-</w:t>
      </w:r>
    </w:p>
    <w:p>
      <w:pPr>
        <w:spacing w:after="0" w:line="229" w:lineRule="auto"/>
        <w:rPr>
          <w:sz w:val="20"/>
          <w:szCs w:val="20"/>
          <w:color w:val="auto"/>
        </w:rPr>
      </w:pPr>
      <w:r>
        <w:rPr>
          <w:rFonts w:ascii="Arial" w:cs="Arial" w:eastAsia="Arial" w:hAnsi="Arial"/>
          <w:sz w:val="21"/>
          <w:szCs w:val="21"/>
          <w:color w:val="auto"/>
        </w:rPr>
        <w:t>&amp;HS&lt;$PU,#%:.40P0UA5$$[,$@U$$[&lt;3!T-U5L3'5+8E4U1VLT&gt;E)*8S)D M,49,.5=33U-.-$]C:DM"5&amp;IV-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F$$[,CDO4&amp;-80W!%1F0S:D@Q5T5/0W-L0EAI0C%Q,C1" M15%/45%:17,S;2]U6E Y52]Q&gt;4]4-E0W:W$$[&gt;59056Q9279*&gt;49687-</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12W-X04=+=%=6.5I8,7)(9#)6&gt;$AD5W-O M2FEU25A74TYG1%$X6%5K2&amp;-5&gt;%97&gt;%8R2W5X5C)+=7A6,DMU&gt;"8C&gt;$$[5C)+</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M=7A6,DMU&gt;%8R2W5X5C)+=7A6:#-N9S9J.6(P=U=.&gt;'%&amp;=DE*8FE2&gt;G!L,7 X M17)#3S(U56%$55$P331.2V8U0BM)-V(U0U!-</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*R8C&gt;$$[+W=$44=2-DI0&lt;5=P M*UDW95E2&gt;FY8;W!46G1,6E-X6$=H4&amp;1&amp;;6M:</w:t>
      </w:r>
    </w:p>
    <w:p>
      <w:pPr>
        <w:spacing w:after="0" w:line="229" w:lineRule="auto"/>
        <w:rPr>
          <w:sz w:val="20"/>
          <w:szCs w:val="20"/>
          <w:color w:val="auto"/>
        </w:rPr>
      </w:pPr>
      <w:r>
        <w:rPr>
          <w:rFonts w:ascii="Arial" w:cs="Arial" w:eastAsia="Arial" w:hAnsi="Arial"/>
          <w:sz w:val="21"/>
          <w:szCs w:val="21"/>
          <w:color w:val="auto"/>
        </w:rPr>
        <w:t>&lt;&amp;QA&gt;2M'1B]24TY!&amp;EM.70U$$[9$1U9%1J0TY765AM;$=743A),U9: M44I9249K26M9=45004)A:&amp;UQ2VA5&gt;# O=T%Z-</w:t>
      </w:r>
    </w:p>
    <w:p>
      <w:pPr>
        <w:spacing w:after="0" w:line="229" w:lineRule="auto"/>
        <w:rPr>
          <w:sz w:val="20"/>
          <w:szCs w:val="20"/>
          <w:color w:val="auto"/>
        </w:rPr>
      </w:pPr>
      <w:r>
        <w:rPr>
          <w:rFonts w:ascii="Arial" w:cs="Arial" w:eastAsia="Arial" w:hAnsi="Arial"/>
          <w:sz w:val="21"/>
          <w:szCs w:val="21"/>
          <w:color w:val="auto"/>
        </w:rPr>
        <w:t>G1E*W5Q*U@W&lt;4HW5V-7,#1E M83!P&gt;4%6&lt;$=1$$[2S-*44A(1V]"4&amp;-,:7%E,C!S:W-#4WE1=F)U-'$P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M16A1=6@X1TUB3VQF:WAX5C4YD5B5U=P860Y M6"8C&gt;$$[=&amp;YI0FU"1G!D8VUI851J&gt;$Y9;C5J=T&amp;IA,CE'4D9).4IH135B-</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'A8:R8C&gt;$$[.58R M5F(P9CE06#DX.79D-FPU:CE"$$[;'5R9W=E$$[12MO,FEV-75V3$-+,T-I9&amp;18,')5 M6E-X4U)85U,S=4=B:3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P9D(P*S)0:D)!:DLT5E1F,"]W07=6=4=C465::$%S M&lt;6-&amp;4V9Y-TE:228C&gt;$$[1W1G5BM&amp;+U)%56M%,5%Y:FM'-</w:t>
      </w:r>
    </w:p>
    <w:p>
      <w:pPr>
        <w:spacing w:after="0" w:line="229" w:lineRule="auto"/>
        <w:rPr>
          <w:sz w:val="20"/>
          <w:szCs w:val="20"/>
          <w:color w:val="auto"/>
        </w:rPr>
      </w:pPr>
      <w:r>
        <w:rPr>
          <w:rFonts w:ascii="Arial" w:cs="Arial" w:eastAsia="Arial" w:hAnsi="Arial"/>
          <w:sz w:val="21"/>
          <w:szCs w:val="21"/>
          <w:color w:val="auto"/>
        </w:rPr>
        <w:t>W,V:T)1$$[5E4O;2]U6E Y52]Q&gt;4=4-E0W;55/6652+VY&amp;979(-7HX$$[2&amp;QX</w:t>
      </w:r>
    </w:p>
    <w:p>
      <w:pPr>
        <w:spacing w:after="0" w:line="229" w:lineRule="auto"/>
        <w:rPr>
          <w:sz w:val="20"/>
          <w:szCs w:val="20"/>
          <w:color w:val="auto"/>
        </w:rPr>
      </w:pPr>
      <w:r>
        <w:rPr>
          <w:rFonts w:ascii="Arial" w:cs="Arial" w:eastAsia="Arial" w:hAnsi="Arial"/>
          <w:sz w:val="21"/>
          <w:szCs w:val="21"/>
          <w:color w:val="auto"/>
        </w:rPr>
        <w:t>M&gt;&amp;IY:V0O;4=9+VUZ4$IB+VPY&lt;3%X1G@Y84)9&lt;$EM6E9C2S9Z&lt;%)Q3T=&amp;4C)Z M1S!-0E!.15,S0F-</w:t>
      </w:r>
    </w:p>
    <w:p>
      <w:pPr>
        <w:spacing w:after="0" w:line="230" w:lineRule="auto"/>
        <w:rPr>
          <w:sz w:val="20"/>
          <w:szCs w:val="20"/>
          <w:color w:val="auto"/>
        </w:rPr>
      </w:pPr>
      <w:r>
        <w:rPr>
          <w:rFonts w:ascii="Arial" w:cs="Arial" w:eastAsia="Arial" w:hAnsi="Arial"/>
          <w:sz w:val="21"/>
          <w:szCs w:val="21"/>
          <w:color w:val="auto"/>
        </w:rPr>
        <w:t>N5S5$1$1+561I03,K5DI$9B8C&gt;$$[;#5O&gt;G%K8UIE1FY+ M&gt;&amp;]S86-M:UEK.$5#&lt;4MN=T=$6%%%8W-</w:t>
      </w:r>
    </w:p>
    <w:p>
      <w:pPr>
        <w:spacing w:after="0" w:line="229" w:lineRule="auto"/>
        <w:rPr>
          <w:sz w:val="20"/>
          <w:szCs w:val="20"/>
          <w:color w:val="auto"/>
        </w:rPr>
      </w:pPr>
      <w:r>
        <w:rPr>
          <w:rFonts w:ascii="Arial" w:cs="Arial" w:eastAsia="Arial" w:hAnsi="Arial"/>
          <w:sz w:val="21"/>
          <w:szCs w:val="21"/>
          <w:color w:val="auto"/>
        </w:rPr>
        <w:t>H2%E"3VIM6C1O&gt;6QZ251Z4SE493AM M;&amp;I,4FMW9T-124A"-3E$.6]$828C&gt;$$[;T]A5%)A,#5P4VIC9E1Z&lt;2MF&gt;"M,</w:t>
      </w:r>
    </w:p>
    <w:p>
      <w:pPr>
        <w:spacing w:after="0" w:line="229" w:lineRule="auto"/>
        <w:rPr>
          <w:sz w:val="20"/>
          <w:szCs w:val="20"/>
          <w:color w:val="auto"/>
        </w:rPr>
      </w:pPr>
      <w:r>
        <w:rPr>
          <w:rFonts w:ascii="Arial" w:cs="Arial" w:eastAsia="Arial" w:hAnsi="Arial"/>
          <w:sz w:val="21"/>
          <w:szCs w:val="21"/>
          <w:color w:val="auto"/>
        </w:rPr>
        <w:t>M=$Y2&lt;'A!03%8R2W5X5C)+=7A6,DMU&gt;%8R M2W5X5FI(;D1Y;B8C&gt;$$[3#5I4S-J4C=$:&amp;)3411&gt;$A1-&amp;A':%)M</w:t>
      </w:r>
    </w:p>
    <w:p>
      <w:pPr>
        <w:spacing w:after="0" w:line="230" w:lineRule="auto"/>
        <w:rPr>
          <w:sz w:val="20"/>
          <w:szCs w:val="20"/>
          <w:color w:val="auto"/>
        </w:rPr>
      </w:pPr>
      <w:r>
        <w:rPr>
          <w:rFonts w:ascii="Arial" w:cs="Arial" w:eastAsia="Arial" w:hAnsi="Arial"/>
          <w:sz w:val="21"/>
          <w:szCs w:val="21"/>
          <w:color w:val="auto"/>
        </w:rPr>
        <w:t>M6B8C&gt;$$[4W%P8U(W.&amp;A%6$YF,F9H-%9(1U)M0GI+04-6369L-U!"&lt;40V:EIY M95AH94Y$1F)X&gt;5-A3B]D&gt;&amp;]Q2S9*-</w:t>
      </w:r>
    </w:p>
    <w:p>
      <w:pPr>
        <w:spacing w:after="0"/>
        <w:rPr>
          <w:sz w:val="20"/>
          <w:szCs w:val="20"/>
          <w:color w:val="auto"/>
        </w:rPr>
      </w:pPr>
      <w:r>
        <w:rPr>
          <w:rFonts w:ascii="Arial" w:cs="Arial" w:eastAsia="Arial" w:hAnsi="Arial"/>
          <w:sz w:val="19"/>
          <w:szCs w:val="19"/>
          <w:color w:val="auto"/>
        </w:rPr>
        <w:t>E8S1E=0.$%D07AQ,5=8&lt;"8C&gt;$$[&gt;DEW M94I(=D-E13EZ2G1",$Q43DUT4QX5E%2&gt;E!4-DUF16HS$$[65!%:C-H944Y&gt;D,Y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M4SAK6$8W&amp;HK$$[6#AS$%0B8C&gt;$$[16M+;CE$=V]&amp;4TE#3T)O&gt;DIC6$904VEQ07)":#!! M-&amp;ET8D]#6&amp;-74$5/.6Q':5=7;#)3&gt;#-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&amp;-TQP8S)R&lt;6IX=&amp;8R9'5L;U-S:%9N M028C&gt;$$[0FQN8T)I:6QH&gt;F]30FIW4S=L-</w:t>
      </w:r>
    </w:p>
    <w:p>
      <w:pPr>
        <w:spacing w:after="0" w:line="229" w:lineRule="auto"/>
        <w:rPr>
          <w:sz w:val="20"/>
          <w:szCs w:val="20"/>
          <w:color w:val="auto"/>
        </w:rPr>
      </w:pPr>
      <w:r>
        <w:rPr>
          <w:rFonts w:ascii="Arial" w:cs="Arial" w:eastAsia="Arial" w:hAnsi="Arial"/>
          <w:sz w:val="21"/>
          <w:szCs w:val="21"/>
          <w:color w:val="auto"/>
        </w:rPr>
        <w:t>&amp;=M1C5,;TXW1#E8=EAT8FU!$),6F9,,VM#85=#828C&gt;$$[6%1T</w:t>
      </w:r>
    </w:p>
    <w:p>
      <w:pPr>
        <w:spacing w:after="0" w:line="229" w:lineRule="auto"/>
        <w:rPr>
          <w:sz w:val="20"/>
          <w:szCs w:val="20"/>
          <w:color w:val="auto"/>
        </w:rPr>
      </w:pPr>
      <w:r>
        <w:rPr>
          <w:rFonts w:ascii="Arial" w:cs="Arial" w:eastAsia="Arial" w:hAnsi="Arial"/>
          <w:sz w:val="21"/>
          <w:szCs w:val="21"/>
          <w:color w:val="auto"/>
        </w:rPr>
        <w:t>M3&amp;57,FQ-.79)67)F:VMR535/&lt;'!S&gt;&amp;]+;C)'2&amp;=L,TQX0D]F,&amp;QP,R]!0S%1 M+W=$27AF-</w:t>
      </w:r>
    </w:p>
    <w:p>
      <w:pPr>
        <w:spacing w:after="0" w:line="230" w:lineRule="auto"/>
        <w:rPr>
          <w:sz w:val="20"/>
          <w:szCs w:val="20"/>
          <w:color w:val="auto"/>
        </w:rPr>
      </w:pPr>
      <w:r>
        <w:rPr>
          <w:rFonts w:ascii="Arial" w:cs="Arial" w:eastAsia="Arial" w:hAnsi="Arial"/>
          <w:sz w:val="21"/>
          <w:szCs w:val="21"/>
          <w:color w:val="auto"/>
        </w:rPr>
        <w:t>C1/0UAC=D5&amp;.$XQ87IL:$1-:W!3:"8C&gt;$$[64EW66='=$LP4&amp;5H</w:t>
      </w:r>
    </w:p>
    <w:p>
      <w:pPr>
        <w:spacing w:after="0" w:line="229" w:lineRule="auto"/>
        <w:rPr>
          <w:sz w:val="20"/>
          <w:szCs w:val="20"/>
          <w:color w:val="auto"/>
        </w:rPr>
      </w:pPr>
      <w:r>
        <w:rPr>
          <w:rFonts w:ascii="Arial" w:cs="Arial" w:eastAsia="Arial" w:hAnsi="Arial"/>
          <w:sz w:val="21"/>
          <w:szCs w:val="21"/>
          <w:color w:val="auto"/>
        </w:rPr>
        <w:t>M=T=*2$Y1458P,SEZ2B]Q;CE75C50&lt;%!U6G$$[5"LO&gt;&amp;8Q=C!H;78U=R\X06MT=&amp;(O M=T-</w:t>
      </w:r>
    </w:p>
    <w:p>
      <w:pPr>
        <w:spacing w:after="0" w:line="229" w:lineRule="auto"/>
        <w:rPr>
          <w:sz w:val="20"/>
          <w:szCs w:val="20"/>
          <w:color w:val="auto"/>
        </w:rPr>
      </w:pPr>
      <w:r>
        <w:rPr>
          <w:rFonts w:ascii="Arial" w:cs="Arial" w:eastAsia="Arial" w:hAnsi="Arial"/>
          <w:sz w:val="21"/>
          <w:szCs w:val="21"/>
          <w:color w:val="auto"/>
        </w:rPr>
        <w:t>-8V8X07EE5$U$6TO.$%*9&amp;%&amp;+W=!640O M&gt;6-B23EO9C,X=B8C&gt;$$[96Y19C-%4&amp;-</w:t>
      </w:r>
    </w:p>
    <w:p>
      <w:pPr>
        <w:spacing w:after="0" w:line="230" w:lineRule="auto"/>
        <w:rPr>
          <w:sz w:val="20"/>
          <w:szCs w:val="20"/>
          <w:color w:val="auto"/>
        </w:rPr>
      </w:pPr>
      <w:r>
        <w:rPr>
          <w:rFonts w:ascii="Arial" w:cs="Arial" w:eastAsia="Arial" w:hAnsi="Arial"/>
          <w:sz w:val="21"/>
          <w:szCs w:val="21"/>
          <w:color w:val="auto"/>
        </w:rPr>
        <w:t>I9DMV+TA1,4PO6$@O16UZ:BMX4#$$[6%EQ-T9867%T35-%:S=G;G)2:5!B$949FA%+TUK.%92 M&gt;7A*3&amp;)#:#9B-</w:t>
      </w:r>
    </w:p>
    <w:p>
      <w:pPr>
        <w:spacing w:after="0"/>
        <w:rPr>
          <w:sz w:val="20"/>
          <w:szCs w:val="20"/>
          <w:color w:val="auto"/>
        </w:rPr>
      </w:pPr>
      <w:r>
        <w:rPr>
          <w:rFonts w:ascii="Arial" w:cs="Arial" w:eastAsia="Arial" w:hAnsi="Arial"/>
          <w:sz w:val="19"/>
          <w:szCs w:val="19"/>
          <w:color w:val="auto"/>
        </w:rPr>
        <w:t>4AH&lt;5$Y&gt;"]1;3=#440X&gt;2])2G1K=5$$[-4A% M6')3&gt;65K:7,P66Q54T8K26HU25%16'!7;W Q1U=-1U%7;#-A,VQT2&amp;17:S!D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M&gt;&amp;)43'EI;FE93VIQ939S&lt;$E)*U=+&lt;75+=7A64R8C&gt;$$[5TY3.&amp;A*4#)U&gt;D5F M#!7-3!I,G9,=#1),DUK3FYD5SEU M&lt;#518U5%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&lt;3-)2U-,&gt;4\S9&amp;5U+R8C&gt;$$[5$YJ:31,:TI%1#-G;G(U3TAL-&amp;=! M66=N,T5D,VUL,7IA96)$8U4ME1&amp;)5;R8C&gt;$$[5GEY37-</w:t>
      </w:r>
    </w:p>
    <w:p>
      <w:pPr>
        <w:spacing w:after="0" w:line="229" w:lineRule="auto"/>
        <w:rPr>
          <w:sz w:val="20"/>
          <w:szCs w:val="20"/>
          <w:color w:val="auto"/>
        </w:rPr>
      </w:pPr>
      <w:r>
        <w:rPr>
          <w:rFonts w:ascii="Arial" w:cs="Arial" w:eastAsia="Arial" w:hAnsi="Arial"/>
          <w:sz w:val="21"/>
          <w:szCs w:val="21"/>
          <w:color w:val="auto"/>
        </w:rPr>
        <w:t>D1RM#+V1,.&amp;9:&gt;D1635I,0D%N6'9H-2]J M;4YI&gt;6943E7AC5DDT9D9(27I68TXP-#=%</w:t>
      </w:r>
    </w:p>
    <w:p>
      <w:pPr>
        <w:spacing w:after="0"/>
        <w:rPr>
          <w:sz w:val="20"/>
          <w:szCs w:val="20"/>
          <w:color w:val="auto"/>
        </w:rPr>
      </w:pPr>
      <w:r>
        <w:rPr>
          <w:rFonts w:ascii="Arial" w:cs="Arial" w:eastAsia="Arial" w:hAnsi="Arial"/>
          <w:sz w:val="19"/>
          <w:szCs w:val="19"/>
          <w:color w:val="auto"/>
        </w:rPr>
        <w:t>M2"8C&gt;$$[=%%N1FYJ:4)9:T0X+W="5&amp;MW;DEM:D5J-69R5%1+5S$R2V]6541A M;%!5;F%'2&amp;]34#)P9D1$2TYX2'@O46].1EA-</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2T554$EG.5)Y8B8C&gt;$$[*W56 M;D=0=U-Y-&amp;DX5R]/2S5H;2]-2'EI54IR8G9(3$UR2WE-$$[151V.'=Z4#@S-S8S</w:t>
      </w:r>
    </w:p>
    <w:p>
      <w:pPr>
        <w:spacing w:after="0" w:line="229" w:lineRule="auto"/>
        <w:rPr>
          <w:sz w:val="20"/>
          <w:szCs w:val="20"/>
          <w:color w:val="auto"/>
        </w:rPr>
      </w:pPr>
      <w:r>
        <w:rPr>
          <w:rFonts w:ascii="Arial" w:cs="Arial" w:eastAsia="Arial" w:hAnsi="Arial"/>
          <w:sz w:val="21"/>
          <w:szCs w:val="21"/>
          <w:color w:val="auto"/>
        </w:rPr>
        <w:t>M4#5C83!P3'!Y:FE!85-.-#%Q6C!P.%1Q&lt;6HW.'=T0DU2&gt;E)*3D)Z3F1!&gt;G=Y</w:t>
      </w:r>
    </w:p>
    <w:p>
      <w:pPr>
        <w:spacing w:after="0" w:line="229" w:lineRule="auto"/>
        <w:rPr>
          <w:sz w:val="20"/>
          <w:szCs w:val="20"/>
          <w:color w:val="auto"/>
        </w:rPr>
      </w:pPr>
      <w:r>
        <w:rPr>
          <w:rFonts w:ascii="Arial" w:cs="Arial" w:eastAsia="Arial" w:hAnsi="Arial"/>
          <w:sz w:val="21"/>
          <w:szCs w:val="21"/>
          <w:color w:val="auto"/>
        </w:rPr>
        <w:t>M:4YY47%F;%1F,GDO;#=O&gt;59D:B8C&gt;$$[1D4X8VA33C-53VMR&lt;7DX;%5I&lt;6M5 M4&amp;=C9&amp;1-4WI323-&amp;$(U9TYE4W9-</w:t>
      </w:r>
    </w:p>
    <w:p>
      <w:pPr>
        <w:spacing w:after="0" w:line="230" w:lineRule="auto"/>
        <w:rPr>
          <w:sz w:val="20"/>
          <w:szCs w:val="20"/>
          <w:color w:val="auto"/>
        </w:rPr>
      </w:pPr>
      <w:r>
        <w:rPr>
          <w:rFonts w:ascii="Arial" w:cs="Arial" w:eastAsia="Arial" w:hAnsi="Arial"/>
          <w:sz w:val="21"/>
          <w:szCs w:val="21"/>
          <w:color w:val="auto"/>
        </w:rPr>
        <w:t>96E8="]Q2G-R=$QV:V51*W(Q M;#)$1W K04XP-28C&gt;$$[1$]8-THP*U1(;'E'44E"3S-Z3'4Y9&amp;QJ2T5!1&amp;1F M$$[:S!K87-</w:t>
      </w:r>
    </w:p>
    <w:p>
      <w:pPr>
        <w:spacing w:after="0"/>
        <w:rPr>
          <w:sz w:val="20"/>
          <w:szCs w:val="20"/>
          <w:color w:val="auto"/>
        </w:rPr>
      </w:pPr>
      <w:r>
        <w:rPr>
          <w:rFonts w:ascii="Arial" w:cs="Arial" w:eastAsia="Arial" w:hAnsi="Arial"/>
          <w:sz w:val="19"/>
          <w:szCs w:val="19"/>
          <w:color w:val="auto"/>
        </w:rPr>
        <w:t>Z#$$[&gt;GDW M5F]!36UX8U!,3V]X&gt;G$Y=C5H,4-/2G)R-C%D45 Y5VQ74D]#&lt;6)D4SA*84=- M;$LO=7E#2W11:75Y&lt;7EW.'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V:&amp;%1&gt;%$O-&amp;XQ828C&gt;$$[-6IH2$)F6$YK-T=- M2G$$[&lt;%%"5D5*.7%4+UC!+&gt;G-D364T:V=I;FU7839G92]V8G4R53-</w:t>
      </w:r>
    </w:p>
    <w:p>
      <w:pPr>
        <w:spacing w:after="0" w:line="229" w:lineRule="auto"/>
        <w:rPr>
          <w:sz w:val="20"/>
          <w:szCs w:val="20"/>
          <w:color w:val="auto"/>
        </w:rPr>
      </w:pPr>
      <w:r>
        <w:rPr>
          <w:rFonts w:ascii="Arial" w:cs="Arial" w:eastAsia="Arial" w:hAnsi="Arial"/>
          <w:sz w:val="21"/>
          <w:szCs w:val="21"/>
          <w:color w:val="auto"/>
        </w:rPr>
        <w:t>0;TET0D]J.$51 M9T%'33!5:C=)-B8C&gt;$$[-71C17!Y37%V;TYO9S=8,V9P9&amp;9N14EG16YZ,VM2 M=EAF,V58,DI!3E)T&gt;%</w:t>
      </w:r>
    </w:p>
    <w:p>
      <w:pPr>
        <w:spacing w:after="0" w:line="229" w:lineRule="auto"/>
        <w:rPr>
          <w:sz w:val="20"/>
          <w:szCs w:val="20"/>
          <w:color w:val="auto"/>
        </w:rPr>
      </w:pPr>
      <w:r>
        <w:rPr>
          <w:rFonts w:ascii="Arial" w:cs="Arial" w:eastAsia="Arial" w:hAnsi="Arial"/>
          <w:sz w:val="21"/>
          <w:szCs w:val="21"/>
          <w:color w:val="auto"/>
        </w:rPr>
        <w:t>V475.2G15;G0W9&amp;IA$$[5E%&amp;5&amp;9K2S@V-S5K8T)Q-FMA2B]G:B]A4'AS-#-(=4)C4F1F-5-8 M=3(W.79T-</w:t>
      </w:r>
    </w:p>
    <w:p>
      <w:pPr>
        <w:spacing w:after="0" w:line="230" w:lineRule="auto"/>
        <w:rPr>
          <w:sz w:val="20"/>
          <w:szCs w:val="20"/>
          <w:color w:val="auto"/>
        </w:rPr>
      </w:pPr>
      <w:r>
        <w:rPr>
          <w:rFonts w:ascii="Arial" w:cs="Arial" w:eastAsia="Arial" w:hAnsi="Arial"/>
          <w:sz w:val="21"/>
          <w:szCs w:val="21"/>
          <w:color w:val="auto"/>
        </w:rPr>
        <w:t>G%X,4A4=G$P3C%.4&amp;%1,S T5S)N;B]!13=Q8V-5828C&gt;$$[1#%: M6798;7%P8U!U:5-B:71E2EE$:FME0U8P06$U+U)</w:t>
      </w:r>
    </w:p>
    <w:p>
      <w:pPr>
        <w:spacing w:after="0" w:line="229" w:lineRule="auto"/>
        <w:rPr>
          <w:sz w:val="20"/>
          <w:szCs w:val="20"/>
          <w:color w:val="auto"/>
        </w:rPr>
      </w:pPr>
      <w:r>
        <w:rPr>
          <w:rFonts w:ascii="Arial" w:cs="Arial" w:eastAsia="Arial" w:hAnsi="Arial"/>
          <w:sz w:val="21"/>
          <w:szCs w:val="21"/>
          <w:color w:val="auto"/>
        </w:rPr>
        <w:t>(&gt;35$.41)&gt;6IW9VMG2"]H M:W$V,78U.2\S$$[5V0R9S%3+W5R9&amp;U2</w:t>
      </w:r>
    </w:p>
    <w:p>
      <w:pPr>
        <w:spacing w:after="0" w:line="229" w:lineRule="auto"/>
        <w:rPr>
          <w:sz w:val="20"/>
          <w:szCs w:val="20"/>
          <w:color w:val="auto"/>
        </w:rPr>
      </w:pPr>
      <w:r>
        <w:rPr>
          <w:rFonts w:ascii="Arial" w:cs="Arial" w:eastAsia="Arial" w:hAnsi="Arial"/>
          <w:sz w:val="21"/>
          <w:szCs w:val="21"/>
          <w:color w:val="auto"/>
        </w:rPr>
        <w:t>M9S!423AK,WAC47$O1E%F9'1M2&amp;LQ131Y;V)6+U)I1#EZ;%ET4$5X$$[23-)+U=B:6$U655!1D9A9#5'03(V M5GI';FM-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=61F04%F8S5%35EI3G(K2DHK.55J+W=#3VI0.$$X65EF*TI3-$0Y M22](8WDV;VI)&lt;"8C&gt;$$[4W959$XX$$[:BMM=UE(,#-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"0C1T43E.:FEX;S%A1R]32&amp;QR4V=M;B]!1FUY5-89%DV$$[64AN M,TXV5&amp;]</w:t>
      </w:r>
    </w:p>
    <w:p>
      <w:pPr>
        <w:spacing w:after="0" w:line="229" w:lineRule="auto"/>
        <w:rPr>
          <w:sz w:val="20"/>
          <w:szCs w:val="20"/>
          <w:color w:val="auto"/>
        </w:rPr>
      </w:pPr>
      <w:r>
        <w:rPr>
          <w:rFonts w:ascii="Arial" w:cs="Arial" w:eastAsia="Arial" w:hAnsi="Arial"/>
          <w:sz w:val="21"/>
          <w:szCs w:val="21"/>
          <w:color w:val="auto"/>
        </w:rPr>
        <w:t>(;'I405@P:E1B3WA$07%7=$E9;W%I;W%+&gt;'%V9&amp;9W=TY*1F,P&gt;7A1 M-T9867$W1EA9&lt;3=&amp;6%EQ-</w:t>
      </w:r>
    </w:p>
    <w:p>
      <w:pPr>
        <w:spacing w:after="0" w:line="229" w:lineRule="auto"/>
        <w:rPr>
          <w:sz w:val="20"/>
          <w:szCs w:val="20"/>
          <w:color w:val="auto"/>
        </w:rPr>
      </w:pPr>
      <w:r>
        <w:rPr>
          <w:rFonts w:ascii="Arial" w:cs="Arial" w:eastAsia="Arial" w:hAnsi="Arial"/>
          <w:sz w:val="21"/>
          <w:szCs w:val="21"/>
          <w:color w:val="auto"/>
        </w:rPr>
        <w:t>T9867$W1EA9&lt;3=&amp;6"8C&gt;$$[67%K3V\K8F9Q5W12 M-E5.1S%3-DUH:D@Q-C)T=61Q=G%":CA5&lt;%IA8T]</w:t>
      </w:r>
    </w:p>
    <w:p>
      <w:pPr>
        <w:spacing w:after="0" w:line="230" w:lineRule="auto"/>
        <w:rPr>
          <w:sz w:val="20"/>
          <w:szCs w:val="20"/>
          <w:color w:val="auto"/>
        </w:rPr>
      </w:pPr>
      <w:r>
        <w:rPr>
          <w:rFonts w:ascii="Arial" w:cs="Arial" w:eastAsia="Arial" w:hAnsi="Arial"/>
          <w:sz w:val="21"/>
          <w:szCs w:val="21"/>
          <w:color w:val="auto"/>
        </w:rPr>
        <w:t>(&gt;&amp;)D&gt;#-/2W%8;5AZ0D1O M.#!B5%=L-V-X&gt;F-G5W-B86$W2R8C&gt;$$[1D4U1&amp;UK0W4T-</w:t>
      </w:r>
    </w:p>
    <w:p>
      <w:pPr>
        <w:spacing w:after="0"/>
        <w:rPr>
          <w:sz w:val="20"/>
          <w:szCs w:val="20"/>
          <w:color w:val="auto"/>
        </w:rPr>
      </w:pPr>
      <w:r>
        <w:rPr>
          <w:rFonts w:ascii="Arial" w:cs="Arial" w:eastAsia="Arial" w:hAnsi="Arial"/>
          <w:sz w:val="19"/>
          <w:szCs w:val="19"/>
          <w:color w:val="auto"/>
        </w:rPr>
        <w:t>61".%!8&amp;IL1$%Z2%1B=$%H&lt;6]#=6LP4U-$:U=&amp;0T5P,4I) M04IW4VA:=$EL5"8C&gt;$$[9'8U+W1P$$[1G!,04-O0VUP.5-.94@R&lt;6-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8;S-88DAW+TTO6BMP95!Y5$@V&gt;F,O M-SE0,TPO5$AW+TTO6BMP2$@U2DYD96-&amp;=$Y4;'-*-V95455-228C&gt;$$[4S9I</w:t>
      </w:r>
    </w:p>
    <w:p>
      <w:pPr>
        <w:spacing w:after="0" w:line="229" w:lineRule="auto"/>
        <w:rPr>
          <w:sz w:val="20"/>
          <w:szCs w:val="20"/>
          <w:color w:val="auto"/>
        </w:rPr>
      </w:pPr>
      <w:r>
        <w:rPr>
          <w:rFonts w:ascii="Arial" w:cs="Arial" w:eastAsia="Arial" w:hAnsi="Arial"/>
          <w:sz w:val="21"/>
          <w:szCs w:val="21"/>
          <w:color w:val="auto"/>
        </w:rPr>
        <w:t>MCAQ0EI)235A8T](&gt;&amp;QQ0F%I&lt;#-X.%!Z4#)F&lt;51X*U-L4#5U$$[&lt;%%Q0V%';%%#8VY'</w:t>
      </w:r>
    </w:p>
    <w:p>
      <w:pPr>
        <w:spacing w:after="0"/>
        <w:rPr>
          <w:sz w:val="20"/>
          <w:szCs w:val="20"/>
          <w:color w:val="auto"/>
        </w:rPr>
      </w:pPr>
      <w:r>
        <w:rPr>
          <w:rFonts w:ascii="Arial" w:cs="Arial" w:eastAsia="Arial" w:hAnsi="Arial"/>
          <w:sz w:val="19"/>
          <w:szCs w:val="19"/>
          <w:color w:val="auto"/>
        </w:rPr>
        <w:t>M3DU38E=A4G)T$$[0G)U43!)27%S2C-'-% X060T3G4W M-S$S46UQ-FQE,D9O8FIN95A9-4MH9W1965I:1'I93%AJ=TAW:717.7-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',V0Y M-C)E.4DO*U9H,B8C&gt;$$[34QS$$[14I6;%0P%%Y,T9S.$U4;W!*5F]:9E132U%.&gt;G(X3$4K3DU..28C&gt;$$[14IR</w:t>
      </w:r>
    </w:p>
    <w:p>
      <w:pPr>
        <w:spacing w:after="0"/>
        <w:rPr>
          <w:sz w:val="20"/>
          <w:szCs w:val="20"/>
          <w:color w:val="auto"/>
        </w:rPr>
      </w:pPr>
      <w:r>
        <w:rPr>
          <w:rFonts w:ascii="Arial" w:cs="Arial" w:eastAsia="Arial" w:hAnsi="Arial"/>
          <w:sz w:val="19"/>
          <w:szCs w:val="19"/>
          <w:color w:val="auto"/>
        </w:rPr>
        <w:t>M52M/0E5S45P5EEQ='5O-28C&gt;$$[2#1F3'9#269Y1#53 M9&amp;U:$$[93%I5#!R93(U1DDT;S9-0VE"3THT M;FUF=$4K,D1J3$@K57-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W3F$$[1S56-# V-%1-:U8P6$XR;&amp;QY65)I3F-!3CAK.7E$</w:t>
      </w:r>
    </w:p>
    <w:p>
      <w:pPr>
        <w:spacing w:after="0" w:line="229" w:lineRule="auto"/>
        <w:rPr>
          <w:sz w:val="20"/>
          <w:szCs w:val="20"/>
          <w:color w:val="auto"/>
        </w:rPr>
      </w:pPr>
      <w:r>
        <w:rPr>
          <w:rFonts w:ascii="Arial" w:cs="Arial" w:eastAsia="Arial" w:hAnsi="Arial"/>
          <w:sz w:val="21"/>
          <w:szCs w:val="21"/>
          <w:color w:val="auto"/>
        </w:rPr>
        <w:t>M9T]X5C)+=7A6,DMU&gt;%8R2W5X5C)+=7A6,DMU&gt;%8R2W5X5C4Q*V%.&gt;&amp;\X5C5P M4R8C&gt;$$[-</w:t>
      </w:r>
    </w:p>
    <w:p>
      <w:pPr>
        <w:spacing w:after="0"/>
        <w:rPr>
          <w:sz w:val="20"/>
          <w:szCs w:val="20"/>
          <w:color w:val="auto"/>
        </w:rPr>
      </w:pPr>
      <w:r>
        <w:rPr>
          <w:rFonts w:ascii="Arial" w:cs="Arial" w:eastAsia="Arial" w:hAnsi="Arial"/>
          <w:sz w:val="21"/>
          <w:szCs w:val="21"/>
          <w:color w:val="auto"/>
        </w:rPr>
        <w:t>G1C5VQR6GI3&gt;7AY5%A.-60V9DE"-E%:4D1C,G1!:D8Q54YZ27%T M45!$3$)Y64AM&gt;$]#-C!B5'ES3FAE-E)B5W-</w:t>
      </w:r>
    </w:p>
    <w:p>
      <w:pPr>
        <w:sectPr>
          <w:pgSz w:w="11900" w:h="16838" w:orient="portrait"/>
          <w:cols w:equalWidth="0" w:num="1">
            <w:col w:w="11200"/>
          </w:cols>
          <w:pgMar w:left="320" w:top="120" w:right="379" w:bottom="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F;WE83GHK;3E4="8C&gt;$$[;65E M2GER8W%6-7)(0D),&gt;D1Y3CA3;FU!2S152GI.+WEQ5#$W&lt;54K669Q3G@X1#-% M-C8S9#)J37-</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R3E!'+TPV&gt;D=*23)A-%EO4E9.-B8C&gt;$$[1'!12S=P,7 O;$QY M6G%&amp;;4QN5#=I93AS6C58;5=31%9,,E=",DQ(;7$X8FAK35IF-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U59*T-V56)9 M&lt;7EN0V@U1#4V,')13E$X,F%M3B8C&gt;$$[5B]10FQH5WI&amp;E1L M5V-</w:t>
      </w:r>
    </w:p>
    <w:p>
      <w:pPr>
        <w:spacing w:after="0"/>
        <w:rPr>
          <w:sz w:val="20"/>
          <w:szCs w:val="20"/>
          <w:color w:val="auto"/>
        </w:rPr>
      </w:pPr>
      <w:r>
        <w:rPr>
          <w:rFonts w:ascii="Arial" w:cs="Arial" w:eastAsia="Arial" w:hAnsi="Arial"/>
          <w:sz w:val="19"/>
          <w:szCs w:val="19"/>
          <w:color w:val="auto"/>
        </w:rPr>
        <w:t>03D=F5$):3%%E;3!3DQQ$$[1G1$1G5:6DEZ5TE29D5W-G9Y&gt;%96,"]6-&amp;)E1EAL M=3E01G-T&gt;$=:1$YR*V]88V\U4FTV4E-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T,T)B+W955F$$[;TAN3'DK=6Y7161X&lt;3)N*VYC8UE.3G5)'A:,UDX83AI95%#:%4O35EH4$ML&gt;$]Y,FI*8GEW4WEF&lt;"8C&gt;$$[0C=I</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M3S-#4]O;3)T-W)23%A53E!: M-5HU8G9Z1'%I979$2W9P,TAP&gt;6Q11'AA,$-S-28C&gt;$$[6GE#:%IK471U17%6</w:t>
      </w:r>
    </w:p>
    <w:p>
      <w:pPr>
        <w:spacing w:after="0"/>
        <w:rPr>
          <w:sz w:val="20"/>
          <w:szCs w:val="20"/>
          <w:color w:val="auto"/>
        </w:rPr>
      </w:pPr>
      <w:r>
        <w:rPr>
          <w:rFonts w:ascii="Arial" w:cs="Arial" w:eastAsia="Arial" w:hAnsi="Arial"/>
          <w:sz w:val="19"/>
          <w:szCs w:val="19"/>
          <w:color w:val="auto"/>
        </w:rPr>
        <w:t>M&lt;#5I,'1B&gt;59,,C51J&gt;E)Q8T5Y9E=9-#=K&gt;5=J&gt;3=#07!4:5DU M1D1"4U X04EX5VU8*U8W1%-.5B8C&gt;$$[,4=D&amp;Y4;74T-&amp;]O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M&gt;D1(8E-8=#-0028C&gt;$$[&lt;3=D27!P6D5"2$AA9W=Q=TAZ5'(K=E=M9V5A-VDS</w:t>
      </w:r>
    </w:p>
    <w:p>
      <w:pPr>
        <w:spacing w:after="0" w:line="229" w:lineRule="auto"/>
        <w:rPr>
          <w:sz w:val="20"/>
          <w:szCs w:val="20"/>
          <w:color w:val="auto"/>
        </w:rPr>
      </w:pPr>
      <w:r>
        <w:rPr>
          <w:rFonts w:ascii="Arial" w:cs="Arial" w:eastAsia="Arial" w:hAnsi="Arial"/>
          <w:sz w:val="21"/>
          <w:szCs w:val="21"/>
          <w:color w:val="auto"/>
        </w:rPr>
        <w:t>M,4LW:FUS$$[94=5;VUJ=#DW3&amp;9*:RMS6'5I*U$$[,$UA M,7)7.6)G,&amp;)Z:E!&amp;&lt;4XP:W1H5#9M-</w:t>
      </w:r>
    </w:p>
    <w:p>
      <w:pPr>
        <w:spacing w:after="0" w:line="229" w:lineRule="auto"/>
        <w:rPr>
          <w:sz w:val="20"/>
          <w:szCs w:val="20"/>
          <w:color w:val="auto"/>
        </w:rPr>
      </w:pPr>
      <w:r>
        <w:rPr>
          <w:rFonts w:ascii="Arial" w:cs="Arial" w:eastAsia="Arial" w:hAnsi="Arial"/>
          <w:sz w:val="21"/>
          <w:szCs w:val="21"/>
          <w:color w:val="auto"/>
        </w:rPr>
        <w:t>&amp;YL6Q%,%%'4F553#8O=71(.')Z,R8C&gt;$$[1C5C4WDS;'5K;'EZ M5%-(,4=,2&amp;1V:7I2.7,U6EDY9DA(03%!;FLW3'-</w:t>
      </w:r>
    </w:p>
    <w:p>
      <w:pPr>
        <w:spacing w:after="0" w:line="230" w:lineRule="auto"/>
        <w:rPr>
          <w:sz w:val="20"/>
          <w:szCs w:val="20"/>
          <w:color w:val="auto"/>
        </w:rPr>
      </w:pPr>
      <w:r>
        <w:rPr>
          <w:rFonts w:ascii="Arial" w:cs="Arial" w:eastAsia="Arial" w:hAnsi="Arial"/>
          <w:sz w:val="21"/>
          <w:szCs w:val="21"/>
          <w:color w:val="auto"/>
        </w:rPr>
        <w:t>Y27EA5&amp;IL=DMU9G=9-W)7 M=#8S0F\S;D=E3%5B&lt;$IB0VXQ3B8C&gt;$$[&gt;%!,5T]T,$4K2#1V-61S,VUH:$=7</w:t>
      </w:r>
    </w:p>
    <w:p>
      <w:pPr>
        <w:spacing w:after="0"/>
        <w:rPr>
          <w:sz w:val="20"/>
          <w:szCs w:val="20"/>
          <w:color w:val="auto"/>
        </w:rPr>
      </w:pPr>
      <w:r>
        <w:rPr>
          <w:rFonts w:ascii="Arial" w:cs="Arial" w:eastAsia="Arial" w:hAnsi="Arial"/>
          <w:sz w:val="19"/>
          <w:szCs w:val="19"/>
          <w:color w:val="auto"/>
        </w:rPr>
        <w:t>M84E)#AJ4F%P&lt;5!L8GDO&lt;55T,TY,3$I!:VPT.'1X M3E=1,38X9'=C=R8C&gt;$$[93!S1U%A;CDR86A%-VDO,F9P8W)16EEN041095)J</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M&gt;EIP:VMU&gt;%8R2W5X5C)+=7A6,DMU&gt;%8R2W5X5C)+=7A69S-N-&amp;5:1W8W3F1(</w:t>
      </w:r>
    </w:p>
    <w:p>
      <w:pPr>
        <w:spacing w:after="0"/>
        <w:rPr>
          <w:sz w:val="20"/>
          <w:szCs w:val="20"/>
          <w:color w:val="auto"/>
        </w:rPr>
      </w:pPr>
      <w:r>
        <w:rPr>
          <w:rFonts w:ascii="Arial" w:cs="Arial" w:eastAsia="Arial" w:hAnsi="Arial"/>
          <w:sz w:val="19"/>
          <w:szCs w:val="19"/>
          <w:color w:val="auto"/>
        </w:rPr>
        <w:t>M="8C&gt;$$[=%%D06LW5#-7;3-.;$,P8D)5-$DX3CAR&gt;'DK;T]153 K1G5T2SAH M6DAK=U!.23=I2'I)$$[1FQJ M94]-;W@T;%9)</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&lt;3GA/9V$X:#$K,6MJ;FY3,%@Q.41M M.4\S9F=K3'E#&lt;%=6,'(V9S5!$$[*VIW83=C,S!Z,TYZ M&lt;3ET0DA-2G)D-</w:t>
      </w:r>
    </w:p>
    <w:p>
      <w:pPr>
        <w:spacing w:after="0" w:line="229" w:lineRule="auto"/>
        <w:rPr>
          <w:sz w:val="20"/>
          <w:szCs w:val="20"/>
          <w:color w:val="auto"/>
        </w:rPr>
      </w:pPr>
      <w:r>
        <w:rPr>
          <w:rFonts w:ascii="Arial" w:cs="Arial" w:eastAsia="Arial" w:hAnsi="Arial"/>
          <w:sz w:val="21"/>
          <w:szCs w:val="21"/>
          <w:color w:val="auto"/>
        </w:rPr>
        <w:t>VHY1RML3$,V:'91.4]+3#%K5D$$[4TQM8E65G4R8C&gt;$$[:V=53D=R17!134MR:7))=$9S9&amp;1V-#5:3"LW,6EX M-</w:t>
      </w:r>
    </w:p>
    <w:p>
      <w:pPr>
        <w:spacing w:after="0" w:line="229" w:lineRule="auto"/>
        <w:rPr>
          <w:sz w:val="20"/>
          <w:szCs w:val="20"/>
          <w:color w:val="auto"/>
        </w:rPr>
      </w:pPr>
      <w:r>
        <w:rPr>
          <w:rFonts w:ascii="Arial" w:cs="Arial" w:eastAsia="Arial" w:hAnsi="Arial"/>
          <w:sz w:val="21"/>
          <w:szCs w:val="21"/>
          <w:color w:val="auto"/>
        </w:rPr>
        <w:t>&amp;MO$$[9S165E!"4'-R.$E!;U!!8EE52U=Q-F5D47-*8DU833EM6F%5=7)6 M&gt;$A-:%9G=TM-47%9)-79**W)81G%9-</w:t>
      </w:r>
    </w:p>
    <w:p>
      <w:pPr>
        <w:spacing w:after="0" w:line="230" w:lineRule="auto"/>
        <w:rPr>
          <w:sz w:val="20"/>
          <w:szCs w:val="20"/>
          <w:color w:val="auto"/>
        </w:rPr>
      </w:pPr>
      <w:r>
        <w:rPr>
          <w:rFonts w:ascii="Arial" w:cs="Arial" w:eastAsia="Arial" w:hAnsi="Arial"/>
          <w:sz w:val="21"/>
          <w:szCs w:val="21"/>
          <w:color w:val="auto"/>
        </w:rPr>
        <w:t>VYZ5'%4&gt;B8C&gt;$$[.'!# MDE5955087$T$$[,E!G=W%M5VHV9&amp;4R M1G4P5C-Q;'IQ%9(-&amp;]E32MC+RM56C@V</w:t>
      </w:r>
    </w:p>
    <w:p>
      <w:pPr>
        <w:spacing w:after="0" w:line="229" w:lineRule="auto"/>
        <w:rPr>
          <w:sz w:val="20"/>
          <w:szCs w:val="20"/>
          <w:color w:val="auto"/>
        </w:rPr>
      </w:pPr>
      <w:r>
        <w:rPr>
          <w:rFonts w:ascii="Arial" w:cs="Arial" w:eastAsia="Arial" w:hAnsi="Arial"/>
          <w:sz w:val="21"/>
          <w:szCs w:val="21"/>
          <w:color w:val="auto"/>
        </w:rPr>
        <w:t>M9CA!35AB+T%055$$[:CEZ9SER9C1V3#1F94AQ9C58+RM3 M*S!</w:t>
      </w:r>
    </w:p>
    <w:p>
      <w:pPr>
        <w:spacing w:after="0" w:line="229" w:lineRule="auto"/>
        <w:rPr>
          <w:sz w:val="20"/>
          <w:szCs w:val="20"/>
          <w:color w:val="auto"/>
        </w:rPr>
      </w:pPr>
      <w:r>
        <w:rPr>
          <w:rFonts w:ascii="Arial" w:cs="Arial" w:eastAsia="Arial" w:hAnsi="Arial"/>
          <w:sz w:val="21"/>
          <w:szCs w:val="21"/>
          <w:color w:val="auto"/>
        </w:rPr>
        <w:t>(+VU%5"M/62MV+W9P93EY3D0O8U$O&lt;6@U&gt;#5K:650&gt;2\U-S5I;DQI44MI</w:t>
      </w:r>
    </w:p>
    <w:p>
      <w:pPr>
        <w:spacing w:after="0" w:line="230" w:lineRule="auto"/>
        <w:rPr>
          <w:sz w:val="20"/>
          <w:szCs w:val="20"/>
          <w:color w:val="auto"/>
        </w:rPr>
      </w:pPr>
      <w:r>
        <w:rPr>
          <w:rFonts w:ascii="Arial" w:cs="Arial" w:eastAsia="Arial" w:hAnsi="Arial"/>
          <w:sz w:val="21"/>
          <w:szCs w:val="21"/>
          <w:color w:val="auto"/>
        </w:rPr>
        <w:t>M=%!R9S=F5&amp;QN6B8C&gt;$$[,SDO2#AD1TAA4#A!8U0Y&gt;DU024YH8WIE52]+,3%(</w:t>
      </w:r>
    </w:p>
    <w:p>
      <w:pPr>
        <w:spacing w:after="0"/>
        <w:rPr>
          <w:sz w:val="20"/>
          <w:szCs w:val="20"/>
          <w:color w:val="auto"/>
        </w:rPr>
      </w:pPr>
      <w:r>
        <w:rPr>
          <w:rFonts w:ascii="Arial" w:cs="Arial" w:eastAsia="Arial" w:hAnsi="Arial"/>
          <w:sz w:val="19"/>
          <w:szCs w:val="19"/>
          <w:color w:val="auto"/>
        </w:rPr>
        <w:t>M1U=7,W19*UAX2T(Y&lt;71D&gt;EAV;6PW83!S-38T6D%,14IE5'-E&gt;7,P63914DHK M&lt;28C&gt;$$[22LU9')F-6-89'AP;7-7.6YC47EY-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GI15'!-2&amp;E29C,S2MQ M,C%/3DME+W1M,#!U65DX9VME:FDV:D8T:T1(=EI(-4XP93DP8B8C&gt;$$[&gt;3-: M-</w:t>
      </w:r>
    </w:p>
    <w:p>
      <w:pPr>
        <w:spacing w:after="0" w:line="229" w:lineRule="auto"/>
        <w:rPr>
          <w:sz w:val="20"/>
          <w:szCs w:val="20"/>
          <w:color w:val="auto"/>
        </w:rPr>
      </w:pPr>
      <w:r>
        <w:rPr>
          <w:rFonts w:ascii="Arial" w:cs="Arial" w:eastAsia="Arial" w:hAnsi="Arial"/>
          <w:sz w:val="21"/>
          <w:szCs w:val="21"/>
          <w:color w:val="auto"/>
        </w:rPr>
        <w:t>E9D*VM:3$Y7:5)O1UIK35E9*VUA=7%N;'AP6#-Y3W!Y0V-Z2615-F9'65%% M5#</w:t>
      </w:r>
    </w:p>
    <w:p>
      <w:pPr>
        <w:spacing w:after="0" w:line="229" w:lineRule="auto"/>
        <w:rPr>
          <w:sz w:val="20"/>
          <w:szCs w:val="20"/>
          <w:color w:val="auto"/>
        </w:rPr>
      </w:pPr>
      <w:r>
        <w:rPr>
          <w:rFonts w:ascii="Arial" w:cs="Arial" w:eastAsia="Arial" w:hAnsi="Arial"/>
          <w:sz w:val="21"/>
          <w:szCs w:val="21"/>
          <w:color w:val="auto"/>
        </w:rPr>
        <w:t>O051R2T%8R2W5X5C)+=7A6,DMU&gt;"8C&gt;$$[5C)+=7A6,DMT1D5* M&lt;59"4&amp;E2:F%T96Y(+TE0=4=',7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S&lt;'@O&gt;40W:&amp;IA,#'1A9#9C M9CA!2U!U1TYR5'94:B]K2#-$1R8C&gt;$$[,7 S&lt;'@O&gt;40W:&amp;IA,#$$[25!U1TYR5'94:B]K2#-$1S%P-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#,K6G9L61O5$)Q13A$:$5D;F14.5I$1'%I1#ES-7-E&gt;78W.&amp;9(-VY79')F-'9, M-</w:t>
      </w:r>
    </w:p>
    <w:p>
      <w:pPr>
        <w:spacing w:after="0" w:line="229" w:lineRule="auto"/>
        <w:rPr>
          <w:sz w:val="20"/>
          <w:szCs w:val="20"/>
          <w:color w:val="auto"/>
        </w:rPr>
      </w:pPr>
      <w:r>
        <w:rPr>
          <w:rFonts w:ascii="Arial" w:cs="Arial" w:eastAsia="Arial" w:hAnsi="Arial"/>
          <w:sz w:val="21"/>
          <w:szCs w:val="21"/>
          <w:color w:val="auto"/>
        </w:rPr>
        <w:t>"8C&gt;$$[9F5'9F9L9B]!3U,K,$@O;454*T]582\K*VPW,TDP4#EX1"MQ1R]/</w:t>
      </w:r>
    </w:p>
    <w:p>
      <w:pPr>
        <w:spacing w:after="0"/>
        <w:rPr>
          <w:sz w:val="20"/>
          <w:szCs w:val="20"/>
          <w:color w:val="auto"/>
        </w:rPr>
      </w:pPr>
      <w:r>
        <w:rPr>
          <w:rFonts w:ascii="Arial" w:cs="Arial" w:eastAsia="Arial" w:hAnsi="Arial"/>
          <w:sz w:val="19"/>
          <w:szCs w:val="19"/>
          <w:color w:val="auto"/>
        </w:rPr>
        <w:t>M2&amp;Q'2%4O3'0Y&lt;#)M5TYO;'AF0E5K9'HY5TA%3W)S4SA557)%,28C&gt;$$[46)5 M&gt;4=L&gt;6I(:T5J,"](:S)A;D5:-'I%1&amp;XX4#%O-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WED;SDS;W9L;E0Y2W5Z15HW M3U P;4U"6F]Y051X;UA#=# X8T=P&gt;4-E47E(5B8C&gt;$$[3VYX;45"13E!;D]5</w:t>
      </w:r>
    </w:p>
    <w:p>
      <w:pPr>
        <w:spacing w:after="0" w:line="229" w:lineRule="auto"/>
        <w:rPr>
          <w:sz w:val="20"/>
          <w:szCs w:val="20"/>
          <w:color w:val="auto"/>
        </w:rPr>
      </w:pPr>
      <w:r>
        <w:rPr>
          <w:rFonts w:ascii="Arial" w:cs="Arial" w:eastAsia="Arial" w:hAnsi="Arial"/>
          <w:sz w:val="21"/>
          <w:szCs w:val="21"/>
          <w:color w:val="auto"/>
        </w:rPr>
        <w:t>M3GIS5F1I$$[9&amp;ER$$[.#EE5V]O2F1/3B]P;6YA9EIX&gt;"]5.5!H:W9*1U%V M3$MR9C9497@R,W$X,E0T63!J-</w:t>
      </w:r>
    </w:p>
    <w:p>
      <w:pPr>
        <w:spacing w:after="0" w:line="229" w:lineRule="auto"/>
        <w:rPr>
          <w:sz w:val="20"/>
          <w:szCs w:val="20"/>
          <w:color w:val="auto"/>
        </w:rPr>
      </w:pPr>
      <w:r>
        <w:rPr>
          <w:rFonts w:ascii="Arial" w:cs="Arial" w:eastAsia="Arial" w:hAnsi="Arial"/>
          <w:sz w:val="21"/>
          <w:szCs w:val="21"/>
          <w:color w:val="auto"/>
        </w:rPr>
        <w:t>41F5I*5&amp;QX4S5L;&amp;IX&gt;&amp;A%4FIY1$EV M328C&gt;$$[6&amp;UH-#E"='19,$A53DQK$$[5#=.</w:t>
      </w:r>
    </w:p>
    <w:p>
      <w:pPr>
        <w:spacing w:after="0" w:line="230" w:lineRule="auto"/>
        <w:rPr>
          <w:sz w:val="20"/>
          <w:szCs w:val="20"/>
          <w:color w:val="auto"/>
        </w:rPr>
      </w:pPr>
      <w:r>
        <w:rPr>
          <w:rFonts w:ascii="Arial" w:cs="Arial" w:eastAsia="Arial" w:hAnsi="Arial"/>
          <w:sz w:val="21"/>
          <w:szCs w:val="21"/>
          <w:color w:val="auto"/>
        </w:rPr>
        <w:t>M1VEI;'1R93)7.6PT2S=L1VQM=7!O3&amp;%09U=+,"]DF%U&gt;E!09%A,&gt;5-</w:t>
      </w:r>
    </w:p>
    <w:p>
      <w:pPr>
        <w:spacing w:after="0" w:line="229" w:lineRule="auto"/>
        <w:rPr>
          <w:sz w:val="20"/>
          <w:szCs w:val="20"/>
          <w:color w:val="auto"/>
        </w:rPr>
      </w:pPr>
      <w:r>
        <w:rPr>
          <w:rFonts w:ascii="Arial" w:cs="Arial" w:eastAsia="Arial" w:hAnsi="Arial"/>
          <w:sz w:val="21"/>
          <w:szCs w:val="21"/>
          <w:color w:val="auto"/>
        </w:rPr>
        <w:t>13D%%8R8C&gt;$$[5FAE,TQ!$$[1U%O15EP42]%8VM$67-)3WI/.%9D M:7)S5F1I$$[:7)S5F1I$$[&lt;&amp;XVF-V5CE4+U)A97</w:t>
      </w:r>
    </w:p>
    <w:p>
      <w:pPr>
        <w:spacing w:after="0" w:line="229" w:lineRule="auto"/>
        <w:rPr>
          <w:sz w:val="20"/>
          <w:szCs w:val="20"/>
          <w:color w:val="auto"/>
        </w:rPr>
      </w:pPr>
      <w:r>
        <w:rPr>
          <w:rFonts w:ascii="Arial" w:cs="Arial" w:eastAsia="Arial" w:hAnsi="Arial"/>
          <w:sz w:val="21"/>
          <w:szCs w:val="21"/>
          <w:color w:val="auto"/>
        </w:rPr>
        <w:t>V;CDU*S$W.&amp;-66G!C9E9V5% Q:F@V M5E)8,4MC83$R-C=94F920F5D;B]!,T=8.49F-&amp;IP-G1Z&gt;2]2,R8C&gt;$$[-F,Y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M2#%U8W9R8V$O-E!8,65F5&amp;)L5#)X4WDO&gt;3$Y5RMP&gt;BMN*VM/4'%F1BML4%4M5,C9D$$[&amp;UP M.E1H=6UB;F%I;',^"B @("</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@(#QX;7!-33I);G-T86YC94E$/GAM&lt;"YI M:60Z9C(S-V8Q,F$M9&amp;4R8RTV9C0X+6(Y,C4M8S-A.#,S96(Y-#5C/"]X;7!-</w:t>
      </w:r>
    </w:p>
    <w:p>
      <w:pPr>
        <w:spacing w:after="0" w:line="229" w:lineRule="auto"/>
        <w:rPr>
          <w:sz w:val="20"/>
          <w:szCs w:val="20"/>
          <w:color w:val="auto"/>
        </w:rPr>
      </w:pPr>
      <w:r>
        <w:rPr>
          <w:rFonts w:ascii="Arial" w:cs="Arial" w:eastAsia="Arial" w:hAnsi="Arial"/>
          <w:sz w:val="21"/>
          <w:szCs w:val="21"/>
          <w:color w:val="auto"/>
        </w:rPr>
        <w:t>M33I);G-T86YC94E$/@H@(" @(" @(" \&gt;&amp;UP34TZ3W)I9VEN86Q$;V-U;65N M=$E$/GAM&lt;"YD:60Z-V5E-</w:t>
      </w:r>
    </w:p>
    <w:p>
      <w:pPr>
        <w:spacing w:after="0" w:line="229" w:lineRule="auto"/>
        <w:rPr>
          <w:sz w:val="20"/>
          <w:szCs w:val="20"/>
          <w:color w:val="auto"/>
        </w:rPr>
      </w:pPr>
      <w:r>
        <w:rPr>
          <w:rFonts w:ascii="Arial" w:cs="Arial" w:eastAsia="Arial" w:hAnsi="Arial"/>
          <w:sz w:val="21"/>
          <w:szCs w:val="21"/>
          <w:color w:val="auto"/>
        </w:rPr>
        <w:t>#$R834M960T,2TU930V+6%E,CDM9F5D,SDX8S5C M8SAF/"]X;7!-33I/&amp;UP</w:t>
      </w:r>
    </w:p>
    <w:p>
      <w:pPr>
        <w:spacing w:after="0" w:line="230" w:lineRule="auto"/>
        <w:rPr>
          <w:sz w:val="20"/>
          <w:szCs w:val="20"/>
          <w:color w:val="auto"/>
        </w:rPr>
      </w:pPr>
      <w:r>
        <w:rPr>
          <w:rFonts w:ascii="Arial" w:cs="Arial" w:eastAsia="Arial" w:hAnsi="Arial"/>
          <w:sz w:val="21"/>
          <w:szCs w:val="21"/>
          <w:color w:val="auto"/>
        </w:rPr>
        <w:t>M34TZ4F5N9&amp;ET:6]N0VQA&amp;UP+F1I9#HW964T,3)A-2UE9#0Q+35E-#8M864R.2UF M960S.3AC-6-C.&amp;8\+W-</w:t>
      </w:r>
    </w:p>
    <w:p>
      <w:pPr>
        <w:spacing w:after="0" w:line="229" w:lineRule="auto"/>
        <w:rPr>
          <w:sz w:val="20"/>
          <w:szCs w:val="20"/>
          <w:color w:val="auto"/>
        </w:rPr>
      </w:pPr>
      <w:r>
        <w:rPr>
          <w:rFonts w:ascii="Arial" w:cs="Arial" w:eastAsia="Arial" w:hAnsi="Arial"/>
          <w:sz w:val="21"/>
          <w:szCs w:val="21"/>
          <w:color w:val="auto"/>
        </w:rPr>
        <w:t>T4F5F.F]R:6=I;F%L1&amp;]C=6UE;G1)1#X*(" @(" @ M(" @(" @/'-T4F5F.G)E;F1I=&amp;EO;D-L87-</w:t>
      </w:r>
    </w:p>
    <w:p>
      <w:pPr>
        <w:spacing w:after="0"/>
        <w:rPr>
          <w:sz w:val="20"/>
          <w:szCs w:val="20"/>
          <w:color w:val="auto"/>
        </w:rPr>
      </w:pPr>
      <w:r>
        <w:rPr>
          <w:rFonts w:ascii="Arial" w:cs="Arial" w:eastAsia="Arial" w:hAnsi="Arial"/>
          <w:sz w:val="19"/>
          <w:szCs w:val="19"/>
          <w:color w:val="auto"/>
        </w:rPr>
        <w:t>S/G!R;V]F.G!D9CPO&amp;UP34TZ1&amp;5R:79E9$9R;VT^ M"B @(" @(" @(#QX;7!-33I(:7-T;W)Y/@H@(" @(" @(" @(" \7!E/2)297-O</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M=7)C92(^"B @(" @(" @(" @(" @(" @(#QS=$5V=#IA8W1I;VX^8V]N=F5R M=&amp;5D/"]S=$5V=#IA8W1I;VX^"B @(" @(" @("</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 @(" @(#QS=$5V=#IP M87)A;65T97)S/F9R;VT@87!P;&amp;EC871I;VXO&gt;"UI;F1E7!E/2)297-O=7)C M92(^"B @(" @(" @(" @("</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 @(#QS=$5V=#IA8W1I;VX^&amp;UP+FEI9#IF,C,W9C$R82UD93)C+39F-#@M8CDR-2UC,V$X,S-E8CDT M-6,\+W-T179T.FEN'0</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0V]P&gt;7)I9VAT("AC*2 Q.3DX($AE=VQE='0M4&amp;%C:V%R M9"!#;VUP86YY !D97-C !)S4D="($E%0S8Q.38V+3(N,0 M $G-</w:t>
      </w:r>
    </w:p>
    <w:p>
      <w:pPr>
        <w:spacing w:after="0"/>
        <w:rPr>
          <w:sz w:val="20"/>
          <w:szCs w:val="20"/>
          <w:color w:val="auto"/>
        </w:rPr>
      </w:pPr>
      <w:r>
        <w:rPr>
          <w:rFonts w:ascii="Arial" w:cs="Arial" w:eastAsia="Arial" w:hAnsi="Arial"/>
          <w:sz w:val="19"/>
          <w:szCs w:val="19"/>
          <w:color w:val="auto"/>
        </w:rPr>
        <w:t>21T(@245#-C$Y-C8M,BXQ M !865H@ \U$ 0 M $6S%A96B 6%E:( &amp;^B X]0 Y!8 M65H@ 8ID +&gt;% 8VEA96B DH #X0 +;/9&amp;5S8P</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 6245#(&amp;AT=' Z+R]W=W &amp;, : !M M '( =P!\ ($ A@"+ ) E0": )\ I "I *X L@"W +P P0#&amp; ,L T #5 -L MX #E .L \ #V /L! 0$' 0T!$P$9</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1\!)0$K 3(!. $^ 44!3 %2 5D!8 %G M 6X!=0%\ 8,!BP&amp;2 9H!H0&amp;I ;$!N0'! $!Z0'R ?H" P(, A0" M'0(F B\". )! DL"5 )= F&lt;"&lt;0)Z</w:t>
      </w:r>
    </w:p>
    <w:p>
      <w:pPr>
        <w:spacing w:after="0" w:line="229" w:lineRule="auto"/>
        <w:rPr>
          <w:sz w:val="20"/>
          <w:szCs w:val="20"/>
          <w:color w:val="auto"/>
        </w:rPr>
      </w:pPr>
      <w:r>
        <w:rPr>
          <w:rFonts w:ascii="Arial" w:cs="Arial" w:eastAsia="Arial" w:hAnsi="Arial"/>
          <w:sz w:val="21"/>
          <w:szCs w:val="21"/>
          <w:color w:val="auto"/>
        </w:rPr>
        <w:t>H0"C@*8 J("K *V L$"RP+5 N "ZP+U M P #"P,6 R$#+0,X T,#3P-: V8#&lt;@-^ XH#E@.B ZX#N@/' ],#X /L _D$ M!@03!"</w:t>
      </w:r>
    </w:p>
    <w:p>
      <w:pPr>
        <w:spacing w:after="0"/>
        <w:rPr>
          <w:sz w:val="20"/>
          <w:szCs w:val="20"/>
          <w:color w:val="auto"/>
        </w:rPr>
      </w:pPr>
      <w:r>
        <w:rPr>
          <w:rFonts w:ascii="Arial" w:cs="Arial" w:eastAsia="Arial" w:hAnsi="Arial"/>
          <w:sz w:val="19"/>
          <w:szCs w:val="19"/>
          <w:color w:val="auto"/>
        </w:rPr>
        <w:t>$+00[!$@$501C!'$$?@2,!)H$J 2V!,0$TP3A!/ $_@4-!1P%*P4Z M!4D%6 5G!7&lt;%A@66!:8%M07%!=4%Y07V!@8&amp;%@8G!C&lt;&amp;2</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99!FH&amp;&gt;P:,!IT&amp; MKP; !M$&amp;XP;U!P&lt;'&amp;09!ZP'OP?2!^4'^ @+"!\(,@A&amp; M"%H(;@B"")8(J@B^"-((YPC["1 ))0DZ"4\)9 EY"8\)I FZ"</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&lt;\)Y0G["A$* M)PH]"E0*:@J!"I@*K@K%"MP*\PL+"R(+.0M1"VD+@ N8"[ +R OA"_D,$@PJ M#$,,7 QU#(X,IPS #-D,\PT-#28-0</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U:#70-C@VI#&lt;,-W@WX#A,.+@Y)#F0. M?PZ;#K8.T@[N#PD/)0]!#UX/&gt;@^6#[,/SP_L$ D0)A!#$&amp;$0?A";$+D0UQ#U</w:t>
      </w:r>
    </w:p>
    <w:p>
      <w:pPr>
        <w:spacing w:after="0" w:line="229" w:lineRule="auto"/>
        <w:rPr>
          <w:sz w:val="20"/>
          <w:szCs w:val="20"/>
          <w:color w:val="auto"/>
        </w:rPr>
      </w:pPr>
      <w:r>
        <w:rPr>
          <w:rFonts w:ascii="Arial" w:cs="Arial" w:eastAsia="Arial" w:hAnsi="Arial"/>
          <w:sz w:val="21"/>
          <w:szCs w:val="21"/>
          <w:color w:val="auto"/>
        </w:rPr>
        <w:t>M$1,1,1%/$6T1C!&amp;J$)%ZX7TA?W&amp;!L80!AE&amp;(H8KQC5&amp;/H9(!E%&amp;6L9D1FW&amp;=T: M!!HJ&amp;E$:=QJ&gt;&amp;L4:[!L4&amp;SL;8QN*&amp;</w:t>
      </w:r>
    </w:p>
    <w:p>
      <w:pPr>
        <w:spacing w:after="0" w:line="229" w:lineRule="auto"/>
        <w:rPr>
          <w:sz w:val="20"/>
          <w:szCs w:val="20"/>
          <w:color w:val="auto"/>
        </w:rPr>
      </w:pPr>
      <w:r>
        <w:rPr>
          <w:rFonts w:ascii="Arial" w:cs="Arial" w:eastAsia="Arial" w:hAnsi="Arial"/>
          <w:sz w:val="21"/>
          <w:szCs w:val="21"/>
          <w:color w:val="auto"/>
        </w:rPr>
        <w:t>[(;VAP"'"H&lt;4AQ['*,0!YJ'I0&gt;OA[I'Q,?/A]I'Y0?OQ_J(!4@02!L()@@Q"#P(1PA M2"%U(:$ASB'[(B--@U$S5--8Y",$)R0K5"]T,Z</w:t>
      </w:r>
    </w:p>
    <w:p>
      <w:pPr>
        <w:spacing w:after="0" w:line="230" w:lineRule="auto"/>
        <w:rPr>
          <w:sz w:val="20"/>
          <w:szCs w:val="20"/>
          <w:color w:val="auto"/>
        </w:rPr>
      </w:pPr>
      <w:r>
        <w:rPr>
          <w:rFonts w:ascii="Arial" w:cs="Arial" w:eastAsia="Arial" w:hAnsi="Arial"/>
          <w:sz w:val="21"/>
          <w:szCs w:val="21"/>
          <w:color w:val="auto"/>
        </w:rPr>
        <w:t>M0WU#P$0#1$=$BD3.11)%546:1=Y&amp;(D9G1JM&amp;\$25^!8+UA]6,M9&amp;EEI6;A:!UI66J9:]5M%6Y5;Y5PU7(9O5\/7V%?LV</w:t>
      </w:r>
    </w:p>
    <w:p>
      <w:pPr>
        <w:spacing w:after="0" w:line="229" w:lineRule="auto"/>
        <w:rPr>
          <w:sz w:val="20"/>
          <w:szCs w:val="20"/>
          <w:color w:val="auto"/>
        </w:rPr>
      </w:pPr>
      <w:r>
        <w:rPr>
          <w:rFonts w:ascii="Arial" w:cs="Arial" w:eastAsia="Arial" w:hAnsi="Arial"/>
          <w:sz w:val="21"/>
          <w:szCs w:val="21"/>
          <w:color w:val="auto"/>
        </w:rPr>
        <w:t>%8%=@JF#\84]AHF'U8DEBG&amp;+P8T-CEV/K9$!D ME&amp;3I93UEDF7G9CUFDF;H9SUGDV?I:#]HEFCL:4-</w:t>
      </w:r>
    </w:p>
    <w:p>
      <w:pPr>
        <w:spacing w:after="0" w:line="229" w:lineRule="auto"/>
        <w:rPr>
          <w:sz w:val="20"/>
          <w:szCs w:val="20"/>
          <w:color w:val="auto"/>
        </w:rPr>
      </w:pPr>
      <w:r>
        <w:rPr>
          <w:rFonts w:ascii="Arial" w:cs="Arial" w:eastAsia="Arial" w:hAnsi="Arial"/>
          <w:sz w:val="21"/>
          <w:szCs w:val="21"/>
          <w:color w:val="auto"/>
        </w:rPr>
        <w:t>IFFGQ:DAJGVKW:T]KIVO_ M;%=LKVT(;6!MN6X2;FMNQ&amp;\&gt;;WAOT7</w:t>
      </w:r>
    </w:p>
    <w:p>
      <w:pPr>
        <w:spacing w:after="0" w:line="230" w:lineRule="auto"/>
        <w:rPr>
          <w:sz w:val="20"/>
          <w:szCs w:val="20"/>
          <w:color w:val="auto"/>
        </w:rPr>
      </w:pPr>
      <w:r>
        <w:rPr>
          <w:rFonts w:ascii="Arial" w:cs="Arial" w:eastAsia="Arial" w:hAnsi="Arial"/>
          <w:sz w:val="21"/>
          <w:szCs w:val="21"/>
          <w:color w:val="auto"/>
        </w:rPr>
        <w:t>K&lt;(9PX'$Z&lt;95Q\')+%V/G:;=OAW5G&gt;S&gt;!%X;GC,&gt;2IYB7GG&gt;D9ZI7L$&gt;V-[PGPA M?(%\X7U!?:%^ 7YB?L)_(W^$?^6</w:t>
      </w:r>
    </w:p>
    <w:p>
      <w:pPr>
        <w:spacing w:after="0"/>
        <w:rPr>
          <w:sz w:val="20"/>
          <w:szCs w:val="20"/>
          <w:color w:val="auto"/>
        </w:rPr>
      </w:pPr>
      <w:r>
        <w:rPr>
          <w:rFonts w:ascii="Arial" w:cs="Arial" w:eastAsia="Arial" w:hAnsi="Arial"/>
          <w:sz w:val="19"/>
          <w:szCs w:val="19"/>
          <w:color w:val="auto"/>
        </w:rPr>
        <w:t>1X"H@0J!:X'-@C""DH+T@U&gt;#NH0=A("$ MXX5'A:N&amp;#H9RAM&gt;'.X&gt;?B 2(:8C.B3.)F8G^BF2*RHLPBY:+_(QCC,J-,8V8 MC?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^.9H[.CS:/GI &amp;D&amp;Z0UI$_D:B2$9)ZDN.339.VE""4BI3TE5^5R98TEI^7</w:t>
      </w:r>
    </w:p>
    <w:p>
      <w:pPr>
        <w:spacing w:after="0" w:line="229" w:lineRule="auto"/>
        <w:rPr>
          <w:sz w:val="20"/>
          <w:szCs w:val="20"/>
          <w:color w:val="auto"/>
        </w:rPr>
      </w:pPr>
      <w:r>
        <w:rPr>
          <w:rFonts w:ascii="Arial" w:cs="Arial" w:eastAsia="Arial" w:hAnsi="Arial"/>
          <w:sz w:val="21"/>
          <w:szCs w:val="21"/>
          <w:color w:val="auto"/>
        </w:rPr>
        <w:t>M"I=UE^"83)BXF229D)G\FFB:U9M"FZ^&lt;')R)G/&gt;=9)W2GD"&gt;KI\=GXN?^J!I MH-</w:t>
      </w:r>
    </w:p>
    <w:p>
      <w:pPr>
        <w:spacing w:after="0" w:line="229" w:lineRule="auto"/>
        <w:rPr>
          <w:sz w:val="20"/>
          <w:szCs w:val="20"/>
          <w:color w:val="auto"/>
        </w:rPr>
      </w:pPr>
      <w:r>
        <w:rPr>
          <w:rFonts w:ascii="Arial" w:cs="Arial" w:eastAsia="Arial" w:hAnsi="Arial"/>
          <w:sz w:val="21"/>
          <w:szCs w:val="21"/>
          <w:color w:val="auto"/>
        </w:rPr>
        <w:t>BA1Z&amp;VHB:BEJ,&amp;HW:CYJ16I,&gt;E.*6IIAJFBZ;]IVZGX*A2J,2I-ZFIJARJ MCZL"JW6KZ:QK_UP'# [,%GP&gt;/"7\+;PUC#U,11Q,</w:t>
      </w:r>
    </w:p>
    <w:p>
      <w:pPr>
        <w:spacing w:after="0" w:line="230" w:lineRule="auto"/>
        <w:rPr>
          <w:sz w:val="20"/>
          <w:szCs w:val="20"/>
          <w:color w:val="auto"/>
        </w:rPr>
      </w:pPr>
      <w:r>
        <w:rPr>
          <w:rFonts w:ascii="Arial" w:cs="Arial" w:eastAsia="Arial" w:hAnsi="Arial"/>
          <w:sz w:val="21"/>
          <w:szCs w:val="21"/>
          <w:color w:val="auto"/>
        </w:rPr>
        <w:t>[%2\7(QD;&amp;P\=!Q[_(/%$ MXIZ#+HO.E&amp;Z=#J6^KEZW#K^^R&amp;[1'M MG.XH[K3O0._,\%CPY?%R\?_RC/,9\Z?</w:t>
      </w:r>
    </w:p>
    <w:p>
      <w:pPr>
        <w:spacing w:after="0"/>
        <w:rPr>
          <w:sz w:val="20"/>
          <w:szCs w:val="20"/>
          <w:color w:val="auto"/>
        </w:rPr>
      </w:pPr>
      <w:r>
        <w:rPr>
          <w:rFonts w:ascii="Arial" w:cs="Arial" w:eastAsia="Arial" w:hAnsi="Arial"/>
          <w:sz w:val="19"/>
          <w:szCs w:val="19"/>
          <w:color w:val="auto"/>
        </w:rPr>
        <w:t>T-/3"]5#UWO9M]OOWBO@9^*CY./G' M^E?ZY_MW_ ?\F/TI_;K^2_[&lt;_VW____N Y!9&amp;]B90!DP '_VP"$ $! M 0$! 0$! 0$! 0$! 0$!</w:t>
      </w:r>
    </w:p>
    <w:p>
      <w:pPr>
        <w:spacing w:after="0" w:line="12"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0$! 0$! 0$! 0$! 0$! 0$! 0$! 0$! 0$" @(" M @(" @(" @,# P,# P,# P,! 0$! 0$! @$! @(" 0(" P,# P,# P,# P,# M P,# P,# P,# P,# P,# P,# P,# P,# P,# P,# P,# P,# __ !$( J0" M4 ,!$0 "$0$#$0'_Q #3 $ P$! 0$! , !PD*" L&amp;! 4! @,! M 0 " P$! 0$ ("04&amp;!P(!! ,0 $#! $! 0D.! ,&amp;! 0' # M! 4! @8'" D1$A,4MC=WMS@*%;46-G:&amp;A^&lt;8F+@9.6DAUA=8(E6702,DE=59 M,99XV#,E)HA1&lt;3(U)U?7$0$ 0!" 4(" 0$! 4% 0(#!</w:t>
      </w:r>
    </w:p>
    <w:p>
      <w:pPr>
        <w:spacing w:after="0" w:line="1" w:lineRule="exact"/>
        <w:rPr>
          <w:sz w:val="20"/>
          <w:szCs w:val="20"/>
          <w:color w:val="auto"/>
        </w:rPr>
      </w:pPr>
    </w:p>
    <w:p>
      <w:pPr>
        <w:ind w:right="460"/>
        <w:spacing w:after="0" w:line="280" w:lineRule="auto"/>
        <w:rPr>
          <w:sz w:val="20"/>
          <w:szCs w:val="20"/>
          <w:color w:val="auto"/>
        </w:rPr>
      </w:pPr>
      <w:r>
        <w:rPr>
          <w:rFonts w:ascii="Arial" w:cs="Arial" w:eastAsia="Arial" w:hAnsi="Arial"/>
          <w:sz w:val="19"/>
          <w:szCs w:val="19"/>
          <w:color w:val="auto"/>
        </w:rPr>
        <w:t>41$K1U!@MI&amp;,D63BRBC=XP?LU5FKMJN MG6EUBB=]UEU*]M*UH?!_0 ^4S?.\'UEBLQG6R,RQ37V$8\@BYG\QS?(8C%,5 M@VSAT@Q0&lt;3&amp;0SSQA$1B"[UTDC9&gt;LM9;;T MI_.Q]R1_A$33JC?^A]\MIIYHW=FH]SM,;79-LB=:HV1ANQ6T</w:t>
      </w:r>
    </w:p>
    <w:p>
      <w:pPr>
        <w:sectPr>
          <w:pgSz w:w="11900" w:h="16838" w:orient="portrait"/>
          <w:cols w:equalWidth="0" w:num="1">
            <w:col w:w="11340"/>
          </w:cols>
          <w:pgMar w:left="320" w:top="120" w:right="239" w:bottom="0" w:gutter="0" w:footer="0" w:header="0"/>
        </w:sectPr>
      </w:pPr>
    </w:p>
    <w:bookmarkStart w:id="78" w:name="page79"/>
    <w:bookmarkEnd w:id="78"/>
    <w:p>
      <w:pPr>
        <w:spacing w:after="0"/>
        <w:rPr>
          <w:sz w:val="20"/>
          <w:szCs w:val="20"/>
          <w:color w:val="auto"/>
        </w:rPr>
      </w:pPr>
      <w:r>
        <w:rPr>
          <w:rFonts w:ascii="Arial" w:cs="Arial" w:eastAsia="Arial" w:hAnsi="Arial"/>
          <w:sz w:val="21"/>
          <w:szCs w:val="21"/>
          <w:color w:val="auto"/>
        </w:rPr>
        <w:t>YDDW*L_2CQQ'[VWUL/%= :EDV%R7N MI!3V;)2;V5R&amp;,M5MNHE),L=A'3=DX[;?!))XU6[&gt;VREMWJ6&amp;6/3Y!'?'?H0\</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M#]=:EC8'&gt;.IH_D1N/(8_W2VWMS84_ETA.9-FDQ;&lt;\R-Y!*-YUA\'8^R3=+6M M56UJ&lt;@HG2U5RX7&lt;5N5JC/'Z!R[Q3QV&gt;Z5_5-</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BN ..Y?DT]PRYAZ_RC9W'[%L MKEUYBNH]EX^E/3&lt;]C49*/N[7HTO\ 'Y.6 MDWBE)&amp;VE[I^_=**J5I2G;??6HC-'*+#N/W$SC?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Q5:9.QX[Z?Q#4C/-'$4[RE MKB+1PT0FW4(F_1BEWJ:[IQ;CB&gt;-WN;6SC-&lt;_EZUC\,Q!G=VU6I[KS2J?A2J5BM[2/</w:t>
      </w:r>
    </w:p>
    <w:p>
      <w:pPr>
        <w:spacing w:after="0"/>
        <w:rPr>
          <w:sz w:val="20"/>
          <w:szCs w:val="20"/>
          <w:color w:val="auto"/>
        </w:rPr>
      </w:pPr>
      <w:r>
        <w:rPr>
          <w:rFonts w:ascii="Arial" w:cs="Arial" w:eastAsia="Arial" w:hAnsi="Arial"/>
          <w:sz w:val="19"/>
          <w:szCs w:val="19"/>
          <w:color w:val="auto"/>
        </w:rPr>
        <w:t>M3&lt;.JV76(7B$,L&lt;@X3Z,_$;-M2:BS+EER)57FN6_-R:IN/:4K)(W)O\8Q6&lt;7&lt; M3&gt;%8&amp;@@M;9=$]Y:2=7[QHG8BFT62 N=/(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#D3FESMV+A M[2$P_#L=;(2F&lt;["R&gt;]"]PECN(0R[MB@Y=403JHNX&lt;+MF31*E+EEK.ZLI?]A" M,?</w:t>
      </w:r>
    </w:p>
    <w:p>
      <w:pPr>
        <w:spacing w:after="0" w:line="229" w:lineRule="auto"/>
        <w:rPr>
          <w:sz w:val="20"/>
          <w:szCs w:val="20"/>
          <w:color w:val="auto"/>
        </w:rPr>
      </w:pPr>
      <w:r>
        <w:rPr>
          <w:rFonts w:ascii="Arial" w:cs="Arial" w:eastAsia="Arial" w:hAnsi="Arial"/>
          <w:sz w:val="21"/>
          <w:szCs w:val="21"/>
          <w:color w:val="auto"/>
        </w:rPr>
        <w:t>(*KY'K2\G\.@%=M;.Z07*S"^.;5I;-26SDVQ3NK/6;#R9&gt;D7.&lt;=.1&gt;H&gt;5NH&lt;2WCH[+6N8:^S M!JHJQ?))J-9"-</w:t>
      </w:r>
    </w:p>
    <w:p>
      <w:pPr>
        <w:spacing w:after="0" w:line="229" w:lineRule="auto"/>
        <w:rPr>
          <w:sz w:val="20"/>
          <w:szCs w:val="20"/>
          <w:color w:val="auto"/>
        </w:rPr>
      </w:pPr>
      <w:r>
        <w:rPr>
          <w:rFonts w:ascii="Arial" w:cs="Arial" w:eastAsia="Arial" w:hAnsi="Arial"/>
          <w:sz w:val="21"/>
          <w:szCs w:val="21"/>
          <w:color w:val="auto"/>
        </w:rPr>
        <w:t>D&amp;JE4)7'\@BEZ6O(7(85Y;?!5;U(NI'E'!'+.+^N]?\:93DWL7E-DF=8OAF(16RD=&lt;.D9/#+\!;I-&amp; MSE; \YLE7LX]V</w:t>
      </w:r>
    </w:p>
    <w:p>
      <w:pPr>
        <w:spacing w:after="0" w:line="230" w:lineRule="auto"/>
        <w:rPr>
          <w:sz w:val="20"/>
          <w:szCs w:val="20"/>
          <w:color w:val="auto"/>
        </w:rPr>
      </w:pPr>
      <w:r>
        <w:rPr>
          <w:rFonts w:ascii="Arial" w:cs="Arial" w:eastAsia="Arial" w:hAnsi="Arial"/>
          <w:sz w:val="21"/>
          <w:szCs w:val="21"/>
          <w:color w:val="auto"/>
        </w:rPr>
        <w:t>W323NM:VI]ZNNK?=V]E/4(91S9^9[U.O\ L=;&lt;^\] ?_X: M?2E+GK!DB\M4M9H4I8YMMI2[L[J[S'RB:SX*1-</w:t>
      </w:r>
    </w:p>
    <w:p>
      <w:pPr>
        <w:spacing w:after="0"/>
        <w:rPr>
          <w:sz w:val="20"/>
          <w:szCs w:val="20"/>
          <w:color w:val="auto"/>
        </w:rPr>
      </w:pPr>
      <w:r>
        <w:rPr>
          <w:rFonts w:ascii="Arial" w:cs="Arial" w:eastAsia="Arial" w:hAnsi="Arial"/>
          <w:sz w:val="19"/>
          <w:szCs w:val="19"/>
          <w:color w:val="auto"/>
        </w:rPr>
        <w:t>"]:;#N1G4/KPDUSI)Z]U M[()[#5Q#DFXV%&gt;E'9PUUG$9!2&gt;FL:U]77]$I#&amp;'69XE)Q+-^GD%]CA-KX3W- MM:U;V&gt;HRY(91=V&gt;0</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9[.MM19UR1Z,T4_2[[B,AU ,!ID- MJZ%GN=R'8GWRRBJ=%+JTN[W2MGN7R1_X#0F&gt;!GL MZL%%FG4YZ';^#2[9YSN_&lt;4?</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(WMD+';R['*R&gt;ADG=%T*V+539(QDE)755[FG&gt; MK:JJ4NMK9W5ON7_#$:$SP.#NIIQ;S?FGPEW)QEUS-8SCN7;.=ZJ2CYS,%Y)O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MCT6RQ/&lt;^N\ZGG;V^(CI:0453Q[&amp;'7@Z2:%&gt;_NN]IW7I6W7*V?98Y(Y16=;TV</w:t>
      </w:r>
    </w:p>
    <w:p>
      <w:pPr>
        <w:spacing w:after="0"/>
        <w:rPr>
          <w:sz w:val="20"/>
          <w:szCs w:val="20"/>
          <w:color w:val="auto"/>
        </w:rPr>
      </w:pPr>
      <w:r>
        <w:rPr>
          <w:rFonts w:ascii="Arial" w:cs="Arial" w:eastAsia="Arial" w:hAnsi="Arial"/>
          <w:sz w:val="19"/>
          <w:szCs w:val="19"/>
          <w:color w:val="auto"/>
        </w:rPr>
        <w:t>M.K_K77&gt;,W:AZN*4EEVN\6@8##-5S7'[%\7U99'8E$)Q,%CR\ZG(9BB\9I,&amp;* M"'?WN,+WK?QO6[;J=U=ZSI?X#K/I9]0#8O*YIN?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0W)O"F6M&gt;8G%C)&amp;^*[BQN M,;WL8/)8]XXD&amp;41FV/,U7#KP&gt;QPZBU4GB2"JS2E;VSI"^B#U%)/Y-#)TP\@J</w:t>
      </w:r>
    </w:p>
    <w:p>
      <w:pPr>
        <w:spacing w:after="0" w:line="229" w:lineRule="auto"/>
        <w:rPr>
          <w:sz w:val="20"/>
          <w:szCs w:val="20"/>
          <w:color w:val="auto"/>
        </w:rPr>
      </w:pPr>
      <w:r>
        <w:rPr>
          <w:rFonts w:ascii="Arial" w:cs="Arial" w:eastAsia="Arial" w:hAnsi="Arial"/>
          <w:sz w:val="21"/>
          <w:szCs w:val="21"/>
          <w:color w:val="auto"/>
        </w:rPr>
        <w:t>M.ZBLKR@ZG_4M@.'G%2$PR0UOP.E8'/=AS&gt;UK7O\ 1^W;;NYBNK.9XT8HNG62</w:t>
      </w:r>
    </w:p>
    <w:p>
      <w:pPr>
        <w:spacing w:after="0"/>
        <w:rPr>
          <w:sz w:val="20"/>
          <w:szCs w:val="20"/>
          <w:color w:val="auto"/>
        </w:rPr>
      </w:pPr>
      <w:r>
        <w:rPr>
          <w:rFonts w:ascii="Arial" w:cs="Arial" w:eastAsia="Arial" w:hAnsi="Arial"/>
          <w:sz w:val="19"/>
          <w:szCs w:val="19"/>
          <w:color w:val="auto"/>
        </w:rPr>
        <w:t>MM\&gt;L6MAHN&amp;M;+JO5T9&gt;MR:C&amp;]Q=9ZADA+EC]+XZ@W)L;K==/#'WG([&lt;.SM'&lt; M\N/&amp;)*VR^X,,QK7\-JG8.%8FHI:V?2^-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K8OA&gt;/U5AH2KFQ95ZO=,*MDD[E7+ M6C:U5=/Y#-CT0Z(B^[2.XL'Y!:BUSNW6TC?*8+M#$8;,L:=K(W-G=(^9:6.: M-)!K?</w:t>
      </w:r>
    </w:p>
    <w:p>
      <w:pPr>
        <w:spacing w:after="0"/>
        <w:rPr>
          <w:sz w:val="20"/>
          <w:szCs w:val="20"/>
          <w:color w:val="auto"/>
        </w:rPr>
      </w:pPr>
      <w:r>
        <w:rPr>
          <w:rFonts w:ascii="Arial" w:cs="Arial" w:eastAsia="Arial" w:hAnsi="Arial"/>
          <w:sz w:val="19"/>
          <w:szCs w:val="19"/>
          <w:color w:val="auto"/>
        </w:rPr>
        <w:t>VWLY2.6NO;ND;O\2+A*^RO\;3Q'HZ'U*0 M SL;LAF7*[V@?1&amp;I,M01R'7'"KB]([VLQ-[&gt;D M^BK-DY!-M4VF0O&amp;/=*V(NFKW*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&lt;1\1&gt;,,LYB6DO.N&gt;[NL\$QUI**L;\C&gt;5[BMW&gt;6/A"E4Z5 MO[GN*=T&gt;X'&amp;RC5)1U=J'1G&gt;U6^ MW]S3-&amp;KA%U'-</w:t>
      </w:r>
    </w:p>
    <w:p>
      <w:pPr>
        <w:spacing w:after="0" w:line="229" w:lineRule="auto"/>
        <w:rPr>
          <w:sz w:val="20"/>
          <w:szCs w:val="20"/>
          <w:color w:val="auto"/>
        </w:rPr>
      </w:pPr>
      <w:r>
        <w:rPr>
          <w:rFonts w:ascii="Arial" w:cs="Arial" w:eastAsia="Arial" w:hAnsi="Arial"/>
          <w:sz w:val="21"/>
          <w:szCs w:val="21"/>
          <w:color w:val="auto"/>
        </w:rPr>
        <w:t>XC'*N6[%2ER:MZGA*S:^KAG;9=ZEA],?) 5YQFBM?\9&gt;O)T[ M=":MCKHS!-7=-V9QB#25JG&lt;\&gt;U0FN5KF4G)55*Q)-</w:t>
      </w:r>
    </w:p>
    <w:p>
      <w:pPr>
        <w:spacing w:after="0" w:line="229" w:lineRule="auto"/>
        <w:rPr>
          <w:sz w:val="20"/>
          <w:szCs w:val="20"/>
          <w:color w:val="auto"/>
        </w:rPr>
      </w:pPr>
      <w:r>
        <w:rPr>
          <w:rFonts w:ascii="Arial" w:cs="Arial" w:eastAsia="Arial" w:hAnsi="Arial"/>
          <w:sz w:val="21"/>
          <w:szCs w:val="21"/>
          <w:color w:val="auto"/>
        </w:rPr>
        <w:t>S.9),N7$@_6MLMHL]=* MW]S3NNRGW+EEC&amp;/\1I]/ *4&gt;N[H'8&gt;UN'^.;&gt;TY$.IK: M_$+&lt;6&amp;R\C!8G:^:94VCVK6VKA?</w:t>
      </w:r>
    </w:p>
    <w:p>
      <w:pPr>
        <w:spacing w:after="0" w:line="230" w:lineRule="auto"/>
        <w:rPr>
          <w:sz w:val="20"/>
          <w:szCs w:val="20"/>
          <w:color w:val="auto"/>
        </w:rPr>
      </w:pPr>
      <w:r>
        <w:rPr>
          <w:rFonts w:ascii="Arial" w:cs="Arial" w:eastAsia="Arial" w:hAnsi="Arial"/>
          <w:sz w:val="21"/>
          <w:szCs w:val="21"/>
          <w:color w:val="auto"/>
        </w:rPr>
        <w:t>W+;OF\TM8G6BER$/=2SMOK;; M=ZECDB.NN,G4GX?\G=)8_N;'-Y:OQ1%S!LWN&lt;8CFN&gt;XQB^3ZUF_!:J3$%ET9</w:t>
      </w:r>
    </w:p>
    <w:p>
      <w:pPr>
        <w:spacing w:after="0" w:line="229" w:lineRule="auto"/>
        <w:rPr>
          <w:sz w:val="20"/>
          <w:szCs w:val="20"/>
          <w:color w:val="auto"/>
        </w:rPr>
      </w:pPr>
      <w:r>
        <w:rPr>
          <w:rFonts w:ascii="Arial" w:cs="Arial" w:eastAsia="Arial" w:hAnsi="Arial"/>
          <w:sz w:val="21"/>
          <w:szCs w:val="21"/>
          <w:color w:val="auto"/>
        </w:rPr>
        <w:t>M/24:Z86QSI!:U)Y=91F^03\(;J*(W4N/D98PB*G,!V#"]3[K2:]W'IVY7+&gt;* M/3MUQE$?79Z+9S?AN=[JS9M-1=C?</w:t>
      </w:r>
    </w:p>
    <w:p>
      <w:pPr>
        <w:spacing w:after="0"/>
        <w:rPr>
          <w:sz w:val="20"/>
          <w:szCs w:val="20"/>
          <w:color w:val="auto"/>
        </w:rPr>
      </w:pPr>
      <w:r>
        <w:rPr>
          <w:rFonts w:ascii="Arial" w:cs="Arial" w:eastAsia="Arial" w:hAnsi="Arial"/>
          <w:sz w:val="19"/>
          <w:szCs w:val="19"/>
          <w:color w:val="auto"/>
        </w:rPr>
        <w:t>%9)1*U!\DFZE&amp;SIHJG_@YLON;N&amp; MM5/7^&amp;7)'RQ?%X'VQ&gt;,_VF_L;_UYO_ !?@_@W^]/.2.3+]#ZBKGGSTP?I_8'@6S=F: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MUVEF&gt; Y9L*%PC),OP"&amp;CY2!U@RDW32Q?)"</w:t>
      </w:r>
    </w:p>
    <w:p>
      <w:pPr>
        <w:spacing w:after="0" w:line="229" w:lineRule="auto"/>
        <w:rPr>
          <w:sz w:val="20"/>
          <w:szCs w:val="20"/>
          <w:color w:val="auto"/>
        </w:rPr>
      </w:pPr>
      <w:r>
        <w:rPr>
          <w:rFonts w:ascii="Arial" w:cs="Arial" w:eastAsia="Arial" w:hAnsi="Arial"/>
          <w:sz w:val="21"/>
          <w:szCs w:val="21"/>
          <w:color w:val="auto"/>
        </w:rPr>
        <w:t>MUO0451K&gt;A#*/N$N&gt;G"I762&gt;Y+&gt;5.AJ:U4C[)*W)U=G8HBE1.]"B]&amp;*DXK&amp;W-[9&amp;U?_=50HK_@&amp;2/D%1W287?\K.&gt;W4-</w:t>
      </w:r>
    </w:p>
    <w:p>
      <w:pPr>
        <w:spacing w:after="0" w:line="229" w:lineRule="auto"/>
        <w:rPr>
          <w:sz w:val="20"/>
          <w:szCs w:val="20"/>
          <w:color w:val="auto"/>
        </w:rPr>
      </w:pPr>
      <w:r>
        <w:rPr>
          <w:rFonts w:ascii="Arial" w:cs="Arial" w:eastAsia="Arial" w:hAnsi="Arial"/>
          <w:sz w:val="21"/>
          <w:szCs w:val="21"/>
          <w:color w:val="auto"/>
        </w:rPr>
        <w:t>ZF&amp;-8_.8KH;&lt;"N$:5T MS689+15^PF&gt;O87%(*;SBV,&lt;(IKHVU;8#'.*UN_\ AN9ARWNK55NM2WU-T0A+ M]</w:t>
      </w:r>
    </w:p>
    <w:p>
      <w:pPr>
        <w:spacing w:after="0" w:line="230" w:lineRule="auto"/>
        <w:rPr>
          <w:sz w:val="20"/>
          <w:szCs w:val="20"/>
          <w:color w:val="auto"/>
        </w:rPr>
      </w:pPr>
      <w:r>
        <w:rPr>
          <w:rFonts w:ascii="Arial" w:cs="Arial" w:eastAsia="Arial" w:hAnsi="Arial"/>
          <w:sz w:val="21"/>
          <w:szCs w:val="21"/>
          <w:color w:val="auto"/>
        </w:rPr>
        <w:t>(CKB1M[7W3HZJ74;TMRMR")U0PYF;-AN1&gt;A=LYL[0AL+RZ%G,HV/,J8PZR]</w:t>
      </w:r>
    </w:p>
    <w:p>
      <w:pPr>
        <w:spacing w:after="0" w:line="229" w:lineRule="auto"/>
        <w:rPr>
          <w:sz w:val="20"/>
          <w:szCs w:val="20"/>
          <w:color w:val="auto"/>
        </w:rPr>
      </w:pPr>
      <w:r>
        <w:rPr>
          <w:rFonts w:ascii="Arial" w:cs="Arial" w:eastAsia="Arial" w:hAnsi="Arial"/>
          <w:sz w:val="21"/>
          <w:szCs w:val="21"/>
          <w:color w:val="auto"/>
        </w:rPr>
        <w:t>M[5&amp;+C;8U[G:T&gt;S\,4;MT7D4\0N4JHHWHJC#.EA&amp;'T/CNKJG]0KBQI;AYO;$5 MMIZ]V#L[&lt;.H\]UCK;5&amp;</w:t>
      </w:r>
    </w:p>
    <w:p>
      <w:pPr>
        <w:spacing w:after="0" w:line="229" w:lineRule="auto"/>
        <w:rPr>
          <w:sz w:val="20"/>
          <w:szCs w:val="20"/>
          <w:color w:val="auto"/>
        </w:rPr>
      </w:pPr>
      <w:r>
        <w:rPr>
          <w:rFonts w:ascii="Arial" w:cs="Arial" w:eastAsia="Arial" w:hAnsi="Arial"/>
          <w:sz w:val="21"/>
          <w:szCs w:val="21"/>
          <w:color w:val="auto"/>
        </w:rPr>
        <w:t>(9)"9EDN4S&gt;Q,&gt;DL)9O'L%!O'R[7%(M&gt;8NFE?\ )98QB^IUZ4&gt;A&lt;[XR]//B_IG9S9W'Y[CF$RTWD\/(7W7R M&amp;.2.PLTRC8]</w:t>
      </w:r>
    </w:p>
    <w:p>
      <w:pPr>
        <w:spacing w:after="0" w:line="230" w:lineRule="auto"/>
        <w:rPr>
          <w:sz w:val="20"/>
          <w:szCs w:val="20"/>
          <w:color w:val="auto"/>
        </w:rPr>
      </w:pPr>
      <w:r>
        <w:rPr>
          <w:rFonts w:ascii="Arial" w:cs="Arial" w:eastAsia="Arial" w:hAnsi="Arial"/>
          <w:sz w:val="21"/>
          <w:szCs w:val="21"/>
          <w:color w:val="auto"/>
        </w:rPr>
        <w:t>&lt;4D*76V]Y?XFAEMD:LE;W5B*K6Y.VZ^VVEU?DTG#*)Z\]I.VW[N77I M7;VX!1M&lt;.HJG:A:Y4AYW65'5K:</w:t>
      </w:r>
    </w:p>
    <w:p>
      <w:pPr>
        <w:spacing w:after="0" w:line="229" w:lineRule="auto"/>
        <w:rPr>
          <w:sz w:val="20"/>
          <w:szCs w:val="20"/>
          <w:color w:val="auto"/>
        </w:rPr>
      </w:pPr>
      <w:r>
        <w:rPr>
          <w:rFonts w:ascii="Arial" w:cs="Arial" w:eastAsia="Arial" w:hAnsi="Arial"/>
          <w:sz w:val="21"/>
          <w:szCs w:val="21"/>
          <w:color w:val="auto"/>
        </w:rPr>
        <w:t>[OJU7MEJ.FY6ZMW8E6ER=]O&amp;IX].K/?@5'VV7/VSKP&gt;U.^B7&lt;=]4[K[", M8&gt;0&lt;0\Q&gt;BYPAY&amp;ZER2"UUH35&gt;@-</w:t>
      </w:r>
    </w:p>
    <w:p>
      <w:pPr>
        <w:spacing w:after="0"/>
        <w:rPr>
          <w:sz w:val="20"/>
          <w:szCs w:val="20"/>
          <w:color w:val="auto"/>
        </w:rPr>
      </w:pPr>
      <w:r>
        <w:rPr>
          <w:rFonts w:ascii="Arial" w:cs="Arial" w:eastAsia="Arial" w:hAnsi="Arial"/>
          <w:sz w:val="19"/>
          <w:szCs w:val="19"/>
          <w:color w:val="auto"/>
        </w:rPr>
        <w:t>N1\,^=ZOV1IC#(35J\%F+5!=Q!K3\7@S; M'XC)X9:0K8FZ3&gt;HK*V(U[I!1)6Q-2S[":,!^'HJ.T;UU+J7JWTHF MADFR0%27 ;JK\ U-</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\&gt;W,_?[7$.2&amp;Z)M37NJ];*:JW?FG] &gt;-&gt;)+V)XOB$ M?D&amp;'ZSGL6]VLR&lt;(V/9:K!RK8HHWL7NN3&lt;.WB-OJ,LJ9P0R3K&gt;</w:t>
      </w:r>
    </w:p>
    <w:p>
      <w:pPr>
        <w:spacing w:after="0"/>
        <w:rPr>
          <w:sz w:val="20"/>
          <w:szCs w:val="20"/>
          <w:color w:val="auto"/>
        </w:rPr>
      </w:pPr>
      <w:r>
        <w:rPr>
          <w:rFonts w:ascii="Arial" w:cs="Arial" w:eastAsia="Arial" w:hAnsi="Arial"/>
          <w:sz w:val="19"/>
          <w:szCs w:val="19"/>
          <w:color w:val="auto"/>
        </w:rPr>
        <w:t>M&lt;:&gt;7T+O7PWCMK_B)/:OR[8?],=QM_N-A0J&amp;18?D?N3.07 MNO#N;U4T7GN1DD;#SK#N[T;J=[=-4%:=G\;:?P/Y^3H?4D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%9.S^C9TR]PYNZV)G/$K!54^R_NQ[C^Y'P=_\ VSW3^#GNO\'/_EONEX%[</w:t>
      </w:r>
    </w:p>
    <w:p>
      <w:pPr>
        <w:spacing w:after="0" w:line="229" w:lineRule="auto"/>
        <w:rPr>
          <w:sz w:val="20"/>
          <w:szCs w:val="20"/>
          <w:color w:val="auto"/>
        </w:rPr>
      </w:pPr>
      <w:r>
        <w:rPr>
          <w:rFonts w:ascii="Arial" w:cs="Arial" w:eastAsia="Arial" w:hAnsi="Arial"/>
          <w:sz w:val="21"/>
          <w:szCs w:val="21"/>
          <w:color w:val="auto"/>
        </w:rPr>
        <w:t>MH^YW_"]_\'_W9]RQR9/H$YY9B6*YYC4WAN&lt;8W YAB.2Q[B)R'%\GB6$]C\[% MN[.XNY[;&gt;Y[FM:5]9TPL\@,?@&lt;4A</w:t>
      </w:r>
    </w:p>
    <w:p>
      <w:pPr>
        <w:spacing w:after="0" w:line="229" w:lineRule="auto"/>
        <w:rPr>
          <w:sz w:val="20"/>
          <w:szCs w:val="20"/>
          <w:color w:val="auto"/>
        </w:rPr>
      </w:pPr>
      <w:r>
        <w:rPr>
          <w:rFonts w:ascii="Arial" w:cs="Arial" w:eastAsia="Arial" w:hAnsi="Arial"/>
          <w:sz w:val="21"/>
          <w:szCs w:val="21"/>
          <w:color w:val="auto"/>
        </w:rPr>
        <w:t>M8O&amp;\7A(C&amp;\=A&amp;2$;"P$!&amp;LX&gt;%B(YK91)JPBXJ.1;L8]DV3MI:FDDG8G9;3LI M2E#R(&gt;W_ ,8./G*?</w:t>
      </w:r>
    </w:p>
    <w:p>
      <w:pPr>
        <w:spacing w:after="0" w:line="230" w:lineRule="auto"/>
        <w:rPr>
          <w:sz w:val="20"/>
          <w:szCs w:val="20"/>
          <w:color w:val="auto"/>
        </w:rPr>
      </w:pPr>
      <w:r>
        <w:rPr>
          <w:rFonts w:ascii="Arial" w:cs="Arial" w:eastAsia="Arial" w:hAnsi="Arial"/>
          <w:sz w:val="21"/>
          <w:szCs w:val="21"/>
          <w:color w:val="auto"/>
        </w:rPr>
        <w:t>%&amp;V$\A]183MK'&amp;#A=Y$MN4K4'+[&amp;YM"YM.8 MV_S&gt;*=VR</w:t>
      </w:r>
    </w:p>
    <w:p>
      <w:pPr>
        <w:spacing w:after="0" w:line="229" w:lineRule="auto"/>
        <w:rPr>
          <w:sz w:val="20"/>
          <w:szCs w:val="20"/>
          <w:color w:val="auto"/>
        </w:rPr>
      </w:pPr>
      <w:r>
        <w:rPr>
          <w:rFonts w:ascii="Arial" w:cs="Arial" w:eastAsia="Arial" w:hAnsi="Arial"/>
          <w:sz w:val="21"/>
          <w:szCs w:val="21"/>
          <w:color w:val="auto"/>
        </w:rPr>
        <w:t>M$)E&gt;12N:;,GL=D++*)IR&amp;,R&gt;T8/$UW)U@L5R!=!C%;BUU+=_OEM&gt;/))X^C6"#BVU\_211&lt;.6</w:t>
      </w:r>
    </w:p>
    <w:p>
      <w:pPr>
        <w:spacing w:after="0" w:line="229" w:lineRule="auto"/>
        <w:rPr>
          <w:sz w:val="20"/>
          <w:szCs w:val="20"/>
          <w:color w:val="auto"/>
        </w:rPr>
      </w:pPr>
      <w:r>
        <w:rPr>
          <w:rFonts w:ascii="Arial" w:cs="Arial" w:eastAsia="Arial" w:hAnsi="Arial"/>
          <w:sz w:val="21"/>
          <w:szCs w:val="21"/>
          <w:color w:val="auto"/>
        </w:rPr>
        <w:t>M3=TTEWR5SI!6J"EOJ6,/)'R"!IGJM=13)\8&lt;:_UMT=N3&lt;#R(?1MT6WF&lt;]0DV MF@\&gt;R-</w:t>
      </w:r>
    </w:p>
    <w:p>
      <w:pPr>
        <w:spacing w:after="0" w:line="230" w:lineRule="auto"/>
        <w:rPr>
          <w:sz w:val="20"/>
          <w:szCs w:val="20"/>
          <w:color w:val="auto"/>
        </w:rPr>
      </w:pPr>
      <w:r>
        <w:rPr>
          <w:rFonts w:ascii="Arial" w:cs="Arial" w:eastAsia="Arial" w:hAnsi="Arial"/>
          <w:sz w:val="21"/>
          <w:szCs w:val="21"/>
          <w:color w:val="auto"/>
        </w:rPr>
        <w:t>Q9:W2G*9_)8MC&lt;'DL.T&lt;.$U_!5)*,LNM[NR]Y;:E&gt;K7[FR_P &gt;@=D] M*O@KE_"W3F=R^ZLH99WR?</w:t>
      </w:r>
    </w:p>
    <w:p>
      <w:pPr>
        <w:spacing w:after="0" w:line="229" w:lineRule="auto"/>
        <w:rPr>
          <w:sz w:val="20"/>
          <w:szCs w:val="20"/>
          <w:color w:val="auto"/>
        </w:rPr>
      </w:pPr>
      <w:r>
        <w:rPr>
          <w:rFonts w:ascii="Arial" w:cs="Arial" w:eastAsia="Arial" w:hAnsi="Arial"/>
          <w:sz w:val="21"/>
          <w:szCs w:val="21"/>
          <w:color w:val="auto"/>
        </w:rPr>
        <w:t>Y(;"D=R&lt;@\O8*7.6EV42]SAPRQ9E(U3;TE6N/K2 M3UPJYHDG8K(R+NJ5*H=Y/DT2?-G9/-CE?I;=G%:S5G&amp;?5GA']"</w:t>
      </w:r>
    </w:p>
    <w:p>
      <w:pPr>
        <w:spacing w:after="0" w:line="229" w:lineRule="auto"/>
        <w:rPr>
          <w:sz w:val="20"/>
          <w:szCs w:val="20"/>
          <w:color w:val="auto"/>
        </w:rPr>
      </w:pPr>
      <w:r>
        <w:rPr>
          <w:rFonts w:ascii="Arial" w:cs="Arial" w:eastAsia="Arial" w:hAnsi="Arial"/>
          <w:sz w:val="21"/>
          <w:szCs w:val="21"/>
          <w:color w:val="auto"/>
        </w:rPr>
        <w:t>M]VVL&lt;+S%/&lt;=LT^#U&amp;W@+[OKA2V^B,(9, ML/*(.YW2G5&amp;T!R+PWD[Q287ONL^BEKETK62[%PI1!#-C#)'RCG/9/.</w:t>
      </w:r>
    </w:p>
    <w:p>
      <w:pPr>
        <w:spacing w:after="0" w:line="230" w:lineRule="auto"/>
        <w:rPr>
          <w:sz w:val="20"/>
          <w:szCs w:val="20"/>
          <w:color w:val="auto"/>
        </w:rPr>
      </w:pPr>
      <w:r>
        <w:rPr>
          <w:rFonts w:ascii="Arial" w:cs="Arial" w:eastAsia="Arial" w:hAnsi="Arial"/>
          <w:sz w:val="21"/>
          <w:szCs w:val="21"/>
          <w:color w:val="auto"/>
        </w:rPr>
        <w:t>[J&lt;\Q\)F-$&lt;5NFYO3 MB_E&gt;P(IUBV3[]Y/WOM=X]JZ+E6_@&lt;],8LSG,7@'4_)-XYPI1F^:U&lt;.$%NQ1)</w:t>
      </w:r>
    </w:p>
    <w:p>
      <w:pPr>
        <w:spacing w:after="0" w:line="229" w:lineRule="auto"/>
        <w:rPr>
          <w:sz w:val="20"/>
          <w:szCs w:val="20"/>
          <w:color w:val="auto"/>
        </w:rPr>
      </w:pPr>
      <w:r>
        <w:rPr>
          <w:rFonts w:ascii="Arial" w:cs="Arial" w:eastAsia="Arial" w:hAnsi="Arial"/>
          <w:sz w:val="21"/>
          <w:szCs w:val="21"/>
          <w:color w:val="auto"/>
        </w:rPr>
        <w:t>M@NI;2VW[DEATQB+8N!W$#%^$/%'6'&amp;J#&gt;I9%=B&lt;4^=9ED5[&gt;J:&gt;79MD[US,Y</w:t>
      </w:r>
    </w:p>
    <w:p>
      <w:pPr>
        <w:spacing w:after="0" w:line="229" w:lineRule="auto"/>
        <w:rPr>
          <w:sz w:val="20"/>
          <w:szCs w:val="20"/>
          <w:color w:val="auto"/>
        </w:rPr>
      </w:pPr>
      <w:r>
        <w:rPr>
          <w:rFonts w:ascii="Arial" w:cs="Arial" w:eastAsia="Arial" w:hAnsi="Arial"/>
          <w:sz w:val="21"/>
          <w:szCs w:val="21"/>
          <w:color w:val="auto"/>
        </w:rPr>
        <w:t>MA,&gt;"K=U@S14[;DH]%%*^MU;:UKYC'+'*)J_H!H?_ /I/4?\ IOAO M_1AEB*2-N\37#OKR&lt;7,WA.-*SGCC&amp;</w:t>
      </w:r>
    </w:p>
    <w:p>
      <w:pPr>
        <w:spacing w:after="0" w:line="230" w:lineRule="auto"/>
        <w:rPr>
          <w:sz w:val="20"/>
          <w:szCs w:val="20"/>
          <w:color w:val="auto"/>
        </w:rPr>
      </w:pPr>
      <w:r>
        <w:rPr>
          <w:rFonts w:ascii="Arial" w:cs="Arial" w:eastAsia="Arial" w:hAnsi="Arial"/>
          <w:sz w:val="21"/>
          <w:szCs w:val="21"/>
          <w:color w:val="auto"/>
        </w:rPr>
        <w:t>&lt;,\@B,OR^*TU&gt;MI./SQ24Y%7-HS))]I MCEV"-,NO1D(NJ:+I6UY6U=KV6]EZ/;ZR_P OGRC0##PT/CT8SA8"*C8.'CTN M\,</w:t>
      </w:r>
    </w:p>
    <w:p>
      <w:pPr>
        <w:spacing w:after="0"/>
        <w:rPr>
          <w:sz w:val="20"/>
          <w:szCs w:val="20"/>
          <w:color w:val="auto"/>
        </w:rPr>
      </w:pPr>
      <w:r>
        <w:rPr>
          <w:rFonts w:ascii="Arial" w:cs="Arial" w:eastAsia="Arial" w:hAnsi="Arial"/>
          <w:sz w:val="19"/>
          <w:szCs w:val="19"/>
          <w:color w:val="auto"/>
        </w:rPr>
        <w:t>(F'8M8R,8H]U=?WEFP9)(-6R7=WUKW-EEM.VM:_P"T\#^D M 03(Q4KR+T3&amp;2&lt;8[_9K7MGC)ZSC/+":6:6UKQEFEC#+",(P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MDR1A&amp;'3",.B,&amp;#J;3[-4:DU&amp;MB-C+5EFC":6-&gt;E",(PCDC",(SY81A'HC"/3 M"+\GVL^*W]S''[_6;7/\R'O^Q]M?R?%/LE?_</w:t>
      </w:r>
    </w:p>
    <w:p>
      <w:pPr>
        <w:spacing w:after="0" w:line="229" w:lineRule="auto"/>
        <w:rPr>
          <w:sz w:val="20"/>
          <w:szCs w:val="20"/>
          <w:color w:val="auto"/>
        </w:rPr>
      </w:pPr>
      <w:r>
        <w:rPr>
          <w:rFonts w:ascii="Arial" w:cs="Arial" w:eastAsia="Arial" w:hAnsi="Arial"/>
          <w:sz w:val="21"/>
          <w:szCs w:val="21"/>
          <w:color w:val="auto"/>
        </w:rPr>
        <w:t>*;Q_=&gt;RWYEA_P!HH_UGVL^* MW]S''[_6;7/\R#^Q]M?R?%/LE?\ Z9_=&gt;RWYEA_VBC_6?:SXK?W,</w:t>
      </w:r>
    </w:p>
    <w:p>
      <w:pPr>
        <w:spacing w:after="0"/>
        <w:rPr>
          <w:sz w:val="20"/>
          <w:szCs w:val="20"/>
          <w:color w:val="auto"/>
        </w:rPr>
      </w:pPr>
      <w:r>
        <w:rPr>
          <w:rFonts w:ascii="Arial" w:cs="Arial" w:eastAsia="Arial" w:hAnsi="Arial"/>
          <w:sz w:val="19"/>
          <w:szCs w:val="19"/>
          <w:color w:val="auto"/>
        </w:rPr>
        <w:t>[]SW\CA&amp;5066,&amp;+^J*;FC)X\@7[]NV=^#K6*=[O MNMO[BZEW9V5I4Q&amp;(X1BV#U9:.+VMQ:UIY6&gt;$(Y,N2,98QA".2,(Y/+DB^U,</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&lt;_: M M !YD_*7UG.1GGWV]Z0HIJ4MX_$/'M=7NDU4 M$&amp;SM,</w:t>
      </w:r>
    </w:p>
    <w:p>
      <w:pPr>
        <w:spacing w:after="0" w:line="229" w:lineRule="auto"/>
        <w:rPr>
          <w:sz w:val="20"/>
          <w:szCs w:val="20"/>
          <w:color w:val="auto"/>
        </w:rPr>
      </w:pPr>
      <w:r>
        <w:rPr>
          <w:rFonts w:ascii="Arial" w:cs="Arial" w:eastAsia="Arial" w:hAnsi="Arial"/>
          <w:sz w:val="21"/>
          <w:szCs w:val="21"/>
          <w:color w:val="auto"/>
        </w:rPr>
        <w:t>V/^S&lt;&gt;K'OOS[I^C[%"OOF]\9X7JOV]59'R:XDWUR"%+K:K+4:M;NYL[:=U=V4[3]-E:5 MK^\HV-OD]?</w:t>
      </w:r>
    </w:p>
    <w:p>
      <w:pPr>
        <w:spacing w:after="0" w:line="229" w:lineRule="auto"/>
        <w:rPr>
          <w:sz w:val="20"/>
          <w:szCs w:val="20"/>
          <w:color w:val="auto"/>
        </w:rPr>
      </w:pPr>
      <w:r>
        <w:rPr>
          <w:rFonts w:ascii="Arial" w:cs="Arial" w:eastAsia="Arial" w:hAnsi="Arial"/>
          <w:sz w:val="21"/>
          <w:szCs w:val="21"/>
          <w:color w:val="auto"/>
        </w:rPr>
        <w:t>7JRTY:$LN6/T0RQAEB_C&lt;5Z=K;SW-7+ZJG)--')T]$L M(QC_ .D%-GY_G3W_ ,YVY_IDY_ZL2#^5K&gt;M_IV'VB']*/7S4[FO?</w:t>
      </w:r>
    </w:p>
    <w:p>
      <w:pPr>
        <w:spacing w:after="0" w:line="230" w:lineRule="auto"/>
        <w:rPr>
          <w:sz w:val="20"/>
          <w:szCs w:val="20"/>
          <w:color w:val="auto"/>
        </w:rPr>
      </w:pPr>
      <w:r>
        <w:rPr>
          <w:rFonts w:ascii="Arial" w:cs="Arial" w:eastAsia="Arial" w:hAnsi="Arial"/>
          <w:sz w:val="21"/>
          <w:szCs w:val="21"/>
          <w:color w:val="auto"/>
        </w:rPr>
        <w:t>KG[+7_H/ MS_.GO_G.W/\ 3)S_ -6'RM;UO].P^T0_I/FIW-&gt;_7/V6O_0?G^=/?_.=N?Z9 M.?\</w:t>
      </w:r>
    </w:p>
    <w:p>
      <w:pPr>
        <w:spacing w:after="0"/>
        <w:rPr>
          <w:sz w:val="20"/>
          <w:szCs w:val="20"/>
          <w:color w:val="auto"/>
        </w:rPr>
      </w:pPr>
      <w:r>
        <w:rPr>
          <w:rFonts w:ascii="Arial" w:cs="Arial" w:eastAsia="Arial" w:hAnsi="Arial"/>
          <w:sz w:val="19"/>
          <w:szCs w:val="19"/>
          <w:color w:val="auto"/>
        </w:rPr>
        <w:t>JP^5K&gt;M_IV'VB'])\U.YKWZY^RU_Z#\_SI[_ .&lt;[&lt;_TR&lt;_\ 5A\K6];_ M $[#[1#^D^:GM_IV'VB'])\U. MYKWZY^RU_P"@_/\ .GO_</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)SMS_3)S_U8?*UO6_T[#[1#^D^:GM_IV'VB'])\U.YKWZY^RU_Z%HG'7?^O&gt;4&gt;F\</w:t>
      </w:r>
    </w:p>
    <w:p>
      <w:pPr>
        <w:spacing w:after="0" w:line="229" w:lineRule="auto"/>
        <w:rPr>
          <w:sz w:val="20"/>
          <w:szCs w:val="20"/>
          <w:color w:val="auto"/>
        </w:rPr>
      </w:pPr>
      <w:r>
        <w:rPr>
          <w:rFonts w:ascii="Arial" w:cs="Arial" w:eastAsia="Arial" w:hAnsi="Arial"/>
          <w:sz w:val="21"/>
          <w:szCs w:val="21"/>
          <w:color w:val="auto"/>
        </w:rPr>
        <w:t>M.WKJI:7&lt;8%G/P@]P5IZ,NAI6_P"#.4SF'2GA4;&gt;JO:IA%SG^KFFDFDC'U=2&gt;E/EEFA":&amp;2&gt;G-#IATPAEAT1 M38:XV,</w:t>
      </w:r>
    </w:p>
    <w:p>
      <w:pPr>
        <w:spacing w:after="0" w:line="229" w:lineRule="auto"/>
        <w:rPr>
          <w:sz w:val="20"/>
          <w:szCs w:val="20"/>
          <w:color w:val="auto"/>
        </w:rPr>
      </w:pPr>
      <w:r>
        <w:rPr>
          <w:rFonts w:ascii="Arial" w:cs="Arial" w:eastAsia="Arial" w:hAnsi="Arial"/>
          <w:sz w:val="21"/>
          <w:szCs w:val="21"/>
          <w:color w:val="auto"/>
        </w:rPr>
        <w:t>/,GY2^LYR,\^^WO2#D)887.*,@ &amp;_OH MF?IB\9OIF_$%M9/RE]9SD9Y]]O&gt;D'(2Y/8GP9A&amp;J[7J*:E+&gt;/Q#Q[75[I-5!!L[3 M -</w:t>
      </w:r>
    </w:p>
    <w:p>
      <w:pPr>
        <w:spacing w:after="0" w:line="230" w:lineRule="auto"/>
        <w:rPr>
          <w:sz w:val="20"/>
          <w:szCs w:val="20"/>
          <w:color w:val="auto"/>
        </w:rPr>
      </w:pPr>
      <w:r>
        <w:rPr>
          <w:rFonts w:ascii="Arial" w:cs="Arial" w:eastAsia="Arial" w:hAnsi="Arial"/>
          <w:sz w:val="21"/>
          <w:szCs w:val="21"/>
          <w:color w:val="auto"/>
        </w:rPr>
        <w:t>C_LW'JQ[[\^Z?H^Q0K[YO?&amp;&gt;%ZK]O561\FG#S$M=3Z-;-&amp;!$E+T M $1\@/(-NWS1[)\39DSVR MWB?#NWV_6R,9C7X-</w:t>
      </w:r>
    </w:p>
    <w:p>
      <w:pPr>
        <w:spacing w:after="0"/>
        <w:rPr>
          <w:sz w:val="20"/>
          <w:szCs w:val="20"/>
          <w:color w:val="auto"/>
        </w:rPr>
      </w:pPr>
      <w:r>
        <w:rPr>
          <w:rFonts w:ascii="Arial" w:cs="Arial" w:eastAsia="Arial" w:hAnsi="Arial"/>
          <w:sz w:val="19"/>
          <w:szCs w:val="19"/>
          <w:color w:val="auto"/>
        </w:rPr>
        <w:t>=]FJ^A,\PPN&lt;49 -_?1,_3%XS?3-^(+:Y5GS'&lt; M9L9[IH-LMHY9&gt;"&amp;"=\T^Z6J'$7&gt; \R?E+ZSG(SS[[&gt;] M(.0ER&gt;Q/@S"-5VO44U*6\?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B'CVNKW2:J"#9VF ;'_9N/5CWWY]T_1]B MA7WS&gt;^,\+U7[&gt;JLCY-.'F):ZGT:V:,")*7H M (CY</w:t>
      </w:r>
    </w:p>
    <w:p>
      <w:pPr>
        <w:spacing w:after="0" w:line="229" w:lineRule="auto"/>
        <w:rPr>
          <w:sz w:val="20"/>
          <w:szCs w:val="20"/>
          <w:color w:val="auto"/>
        </w:rPr>
      </w:pPr>
      <w:r>
        <w:rPr>
          <w:rFonts w:ascii="Arial" w:cs="Arial" w:eastAsia="Arial" w:hAnsi="Arial"/>
          <w:sz w:val="21"/>
          <w:szCs w:val="21"/>
          <w:color w:val="auto"/>
        </w:rPr>
        <w:t>&gt;0;=OFCV3XFS)GMEO$^'=OM^MD8S&amp;OP:[[- M5]"9YAAHIJ4 MMX_$/'M=7NDU4$&amp;SM, V/\ LW'JQ[[\^Z?H^Q0K[YO?</w:t>
      </w:r>
    </w:p>
    <w:p>
      <w:pPr>
        <w:spacing w:after="0" w:line="229" w:lineRule="auto"/>
        <w:rPr>
          <w:sz w:val="20"/>
          <w:szCs w:val="20"/>
          <w:color w:val="auto"/>
        </w:rPr>
      </w:pPr>
      <w:r>
        <w:rPr>
          <w:rFonts w:ascii="Arial" w:cs="Arial" w:eastAsia="Arial" w:hAnsi="Arial"/>
          <w:sz w:val="21"/>
          <w:szCs w:val="21"/>
          <w:color w:val="auto"/>
        </w:rPr>
        <w:t>&amp;&gt;%ZK]O561\F MG#S$M=3Z-;-&amp;!$E+T ?!9[LS#=:L$7V62MK.KNZ^U@Q02 M4=2+^Y+N&gt;^^"M$:5OJFEW=.</w:t>
      </w:r>
    </w:p>
    <w:p>
      <w:pPr>
        <w:spacing w:after="0" w:line="230" w:lineRule="auto"/>
        <w:rPr>
          <w:sz w:val="20"/>
          <w:szCs w:val="20"/>
          <w:color w:val="auto"/>
        </w:rPr>
      </w:pPr>
      <w:r>
        <w:rPr>
          <w:rFonts w:ascii="Arial" w:cs="Arial" w:eastAsia="Arial" w:hAnsi="Arial"/>
          <w:sz w:val="21"/>
          <w:szCs w:val="21"/>
          <w:color w:val="auto"/>
        </w:rPr>
        <w:t>[4OK8E;6M*5NI6M*5YSO&amp;WK[#;J\.IXAME&gt;0H M1K1C"C2DEC4KUHRY,[U=.7IR2Y89T\T99)C+')')+#+-')&amp;,(9(1R1/CO*</w:t>
      </w:r>
    </w:p>
    <w:p>
      <w:pPr>
        <w:spacing w:after="0" w:line="229" w:lineRule="auto"/>
        <w:rPr>
          <w:sz w:val="20"/>
          <w:szCs w:val="20"/>
          <w:color w:val="auto"/>
        </w:rPr>
      </w:pPr>
      <w:r>
        <w:rPr>
          <w:rFonts w:ascii="Arial" w:cs="Arial" w:eastAsia="Arial" w:hAnsi="Arial"/>
          <w:sz w:val="21"/>
          <w:szCs w:val="21"/>
          <w:color w:val="auto"/>
        </w:rPr>
        <w:t>[4T_(IQRR\YCMR MRMJ*+S((YLA'WWWU[+*WNHZ0D[6J=UW93NUJ)V6]O;=6E.VM.-[,\X^YK:/$</w:t>
      </w:r>
    </w:p>
    <w:p>
      <w:pPr>
        <w:spacing w:after="0" w:line="229" w:lineRule="auto"/>
        <w:rPr>
          <w:sz w:val="20"/>
          <w:szCs w:val="20"/>
          <w:color w:val="auto"/>
        </w:rPr>
      </w:pPr>
      <w:r>
        <w:rPr>
          <w:rFonts w:ascii="Arial" w:cs="Arial" w:eastAsia="Arial" w:hAnsi="Arial"/>
          <w:sz w:val="21"/>
          <w:szCs w:val="21"/>
          <w:color w:val="auto"/>
        </w:rPr>
        <w:t>MY&lt;,KU,0PR:I/"66I&gt;4:REUO;'W&gt;KS*;O=T6.TMF]H*&gt;(W6+5+&gt;%::6 MTIT:D*4LT8PDA5C5N*&amp;;-/DC-</w:t>
      </w:r>
    </w:p>
    <w:p>
      <w:pPr>
        <w:spacing w:after="0" w:line="1" w:lineRule="exact"/>
        <w:rPr>
          <w:sz w:val="20"/>
          <w:szCs w:val="20"/>
          <w:color w:val="auto"/>
        </w:rPr>
      </w:pPr>
    </w:p>
    <w:p>
      <w:pPr>
        <w:ind w:right="2520"/>
        <w:spacing w:after="0" w:line="280" w:lineRule="auto"/>
        <w:rPr>
          <w:sz w:val="20"/>
          <w:szCs w:val="20"/>
          <w:color w:val="auto"/>
        </w:rPr>
      </w:pPr>
      <w:r>
        <w:rPr>
          <w:rFonts w:ascii="Arial" w:cs="Arial" w:eastAsia="Arial" w:hAnsi="Arial"/>
          <w:sz w:val="19"/>
          <w:szCs w:val="19"/>
          <w:color w:val="auto"/>
        </w:rPr>
        <w:t>+++G1S:I+GS0A",V9"2E4RPERPA&amp;,E+Z6WWVTNI7LNK3^)VC9O';3:C9 MVPVFP^6I)88C94+JG+4A+"I+3N*4M62$\)9IY83PEGA":$L\TL)LL(330Z8Z M#BV&amp;U\'Q6YPBZC)-</w:t>
      </w:r>
    </w:p>
    <w:p>
      <w:pPr>
        <w:sectPr>
          <w:pgSz w:w="11900" w:h="16838" w:orient="portrait"/>
          <w:cols w:equalWidth="0" w:num="1">
            <w:col w:w="11240"/>
          </w:cols>
          <w:pgMar w:left="320" w:top="120" w:right="339" w:bottom="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K#L8I=I:D[[YWI.JCZ:CU:K4M3[;NRRMM*5 MI_&amp;M&gt;VE.&amp;;S^9[8#=/M1'9+:&amp;UQ&gt;OB4+&gt;G6C-;4K&gt;&gt;G"6IG9LN=5NJ,V=DER</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MQR21ER1A_-&amp;.6$.B['[H-IMM&lt;'_^;PNM8T[2-6:2$*T]66&gt;,9,F6.22C4ADZ M?/3ND_+MH_L]E\&gt;VGYL*^ MMN/AG1."9G%</w:t>
      </w:r>
    </w:p>
    <w:p>
      <w:pPr>
        <w:spacing w:after="0" w:line="229" w:lineRule="auto"/>
        <w:rPr>
          <w:sz w:val="20"/>
          <w:szCs w:val="20"/>
          <w:color w:val="auto"/>
        </w:rPr>
      </w:pPr>
      <w:r>
        <w:rPr>
          <w:rFonts w:ascii="Arial" w:cs="Arial" w:eastAsia="Arial" w:hAnsi="Arial"/>
          <w:sz w:val="21"/>
          <w:szCs w:val="21"/>
          <w:color w:val="auto"/>
        </w:rPr>
        <w:t>[!Q6*R^&amp;0?MHV7\.\&amp;0E$FZ+ZSP"1&gt;1:W?TFCIZWM[IPROK;W M*MW;96E:]E&gt;VE).;O-</w:t>
      </w:r>
    </w:p>
    <w:p>
      <w:pPr>
        <w:spacing w:after="0"/>
        <w:rPr>
          <w:sz w:val="20"/>
          <w:szCs w:val="20"/>
          <w:color w:val="auto"/>
        </w:rPr>
      </w:pPr>
      <w:r>
        <w:rPr>
          <w:rFonts w:ascii="Arial" w:cs="Arial" w:eastAsia="Arial" w:hAnsi="Arial"/>
          <w:sz w:val="19"/>
          <w:szCs w:val="19"/>
          <w:color w:val="auto"/>
        </w:rPr>
        <w:t>NL(WE['V&gt;VV!4[FEA5[ZW,DKRR2U8&gt;IKU*$V?+3J59 M(99Z4T9E/&gt;V^9G34XS1DCZRG)4AFQ MFEDFCDEGA".66'3ER98=,?</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KC=&amp;O@ !$?(#R#;M\T&gt;R?$V M9,]LMXGP[M]OULC&amp;8U^#7?9JOH3/,,+G%&amp;0 #?WT3/TQ&gt;,WTS?B"VN5</w:t>
      </w:r>
    </w:p>
    <w:p>
      <w:pPr>
        <w:spacing w:after="0" w:line="229" w:lineRule="auto"/>
        <w:rPr>
          <w:sz w:val="20"/>
          <w:szCs w:val="20"/>
          <w:color w:val="auto"/>
        </w:rPr>
      </w:pPr>
      <w:r>
        <w:rPr>
          <w:rFonts w:ascii="Arial" w:cs="Arial" w:eastAsia="Arial" w:hAnsi="Arial"/>
          <w:sz w:val="21"/>
          <w:szCs w:val="21"/>
          <w:color w:val="auto"/>
        </w:rPr>
        <w:t>M9\QW&amp;;&amp;&gt;Z:#;+:.67@A@G?-/NEJAQ%W@ /,GY2^LYR,\ M^^WO2#D)O:FJ@G+25:7J5IV*6^$WW4[+</w:t>
      </w:r>
    </w:p>
    <w:p>
      <w:pPr>
        <w:spacing w:after="0"/>
        <w:rPr>
          <w:sz w:val="20"/>
          <w:szCs w:val="20"/>
          <w:color w:val="auto"/>
        </w:rPr>
      </w:pPr>
      <w:r>
        <w:rPr>
          <w:rFonts w:ascii="Arial" w:cs="Arial" w:eastAsia="Arial" w:hAnsi="Arial"/>
          <w:sz w:val="19"/>
          <w:szCs w:val="19"/>
          <w:color w:val="auto"/>
        </w:rPr>
        <w:t>MJ4[*K*F%PYB.:Z]PG'ZE2;9BPN+BG&amp;2$8R__ (&gt;'S1IRTY/)-)+&lt;5_YIXPR3 MR^OJ30R30ADF;)&gt;1W6[EK&gt;]PR66&amp;+W-*E-":,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(1_S[J$)XSS&gt;6$T:5/HERY9 M8^KEA'+#RS7OW1&amp;"(ZYEI_%[2;'X;;X;C&gt;$485X1H2YDM:C)&amp;$</w:t>
      </w:r>
    </w:p>
    <w:p>
      <w:pPr>
        <w:spacing w:after="0" w:line="229" w:lineRule="auto"/>
        <w:rPr>
          <w:sz w:val="20"/>
          <w:szCs w:val="20"/>
          <w:color w:val="auto"/>
        </w:rPr>
      </w:pPr>
      <w:r>
        <w:rPr>
          <w:rFonts w:ascii="Arial" w:cs="Arial" w:eastAsia="Arial" w:hAnsi="Arial"/>
          <w:sz w:val="21"/>
          <w:szCs w:val="21"/>
          <w:color w:val="auto"/>
        </w:rPr>
        <w:t>M*TE6&amp;7)/&amp;%.,U26I&amp;$:F?)"&amp;=DFFA'FVZG&gt;EM14VPM\)QV[JW&gt;'7T_JXPJ1S</w:t>
      </w:r>
    </w:p>
    <w:p>
      <w:pPr>
        <w:spacing w:after="0"/>
        <w:rPr>
          <w:sz w:val="20"/>
          <w:szCs w:val="20"/>
          <w:color w:val="auto"/>
        </w:rPr>
      </w:pPr>
      <w:r>
        <w:rPr>
          <w:rFonts w:ascii="Arial" w:cs="Arial" w:eastAsia="Arial" w:hAnsi="Arial"/>
          <w:sz w:val="19"/>
          <w:szCs w:val="19"/>
          <w:color w:val="auto"/>
        </w:rPr>
        <w:t>MHR5)H1]7-)')EEAG9)8RPR2YLT8Y,L(/JN*F6N\FU8@S?K*+NL5E'./)JJUK M=??')-VCV-I6_L[FMC9N\\'LIV]M+$*=O^RM=PY/-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L[W:S=!3L&lt;1GFJ7&gt;#W&lt; M]E":;+&amp;,:$LE.K0Z?)DDDJ^IEAY82TI2%2,TTE3H_C--)ZR,?)&amp;,\?.Z5)5.,/C\]S.+U_BDOE+MWA&amp;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[;8Z]VQQJ.6UM*6 M662$80FK59HYM*C)_P"ZI/&amp;$,N2.;+G3S?RRS1AL.RNSE]M9CUO@.'P_SJ\_ M3-DRPDDATSU)O-</w:t>
      </w:r>
    </w:p>
    <w:p>
      <w:pPr>
        <w:spacing w:after="0" w:line="229" w:lineRule="auto"/>
        <w:rPr>
          <w:sz w:val="20"/>
          <w:szCs w:val="20"/>
          <w:color w:val="auto"/>
        </w:rPr>
      </w:pPr>
      <w:r>
        <w:rPr>
          <w:rFonts w:ascii="Arial" w:cs="Arial" w:eastAsia="Arial" w:hAnsi="Arial"/>
          <w:sz w:val="21"/>
          <w:szCs w:val="21"/>
          <w:color w:val="auto"/>
        </w:rPr>
        <w:t>++",?/')+#IC!4=E3#)LAB7&amp;V_XTM;8X=M9M-@U7?-M//E_P#F&lt;8JT M9(QAD]9-))&amp;&gt;K-)#_EHT?</w:t>
      </w:r>
    </w:p>
    <w:p>
      <w:pPr>
        <w:spacing w:after="0"/>
        <w:rPr>
          <w:sz w:val="20"/>
          <w:szCs w:val="20"/>
          <w:color w:val="auto"/>
        </w:rPr>
      </w:pPr>
      <w:r>
        <w:rPr>
          <w:rFonts w:ascii="Arial" w:cs="Arial" w:eastAsia="Arial" w:hAnsi="Arial"/>
          <w:sz w:val="19"/>
          <w:szCs w:val="19"/>
          <w:color w:val="auto"/>
        </w:rPr>
        <w:t>Y*%*$,L/Y9I(9/5=,_L"NL$PB_DV!P&gt;7)_L+&amp;2&gt; M:&amp;7_ 0FFA+)";^-2?\ FJ3QCDCTPFZ&lt;_HMDU7Y+];_(+#_%Z.+EMS_"39;_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/7,-T*B@5MUXWQG6MWI%1POOY&gt;(;6-&gt;%2GFS9]/U4)L^3-FSI5T7!9+Q2R1\G'14?K"YXLI:BBD_P M=C"T65OKV6)</w:t>
      </w:r>
    </w:p>
    <w:p>
      <w:pPr>
        <w:spacing w:after="0"/>
        <w:rPr>
          <w:sz w:val="20"/>
          <w:szCs w:val="20"/>
          <w:color w:val="auto"/>
        </w:rPr>
      </w:pPr>
      <w:r>
        <w:rPr>
          <w:rFonts w:ascii="Arial" w:cs="Arial" w:eastAsia="Arial" w:hAnsi="Arial"/>
          <w:sz w:val="19"/>
          <w:szCs w:val="19"/>
          <w:color w:val="auto"/>
        </w:rPr>
        <w:t>(JS,!'HK**75[+;;;JUNK7LIVU)/;/;5#VVR4;Z&gt; M:$LLM;"J5KG31Z(2RS75G1EFFC'HEA+-&amp;,T&gt;B&amp;6+C^*8+OWP:VC&gt;7];&amp;X6\L</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M,L8T[V&gt;MDA#RQC"C7J1A"'EC&amp;,(0A#IBZ+BXJ+A&amp;*$7#1K"(C6O??!HZ+9MV M#%OWY91PMWAHT32;I=]</w:t>
      </w:r>
    </w:p>
    <w:p>
      <w:pPr>
        <w:spacing w:after="0" w:line="229" w:lineRule="auto"/>
        <w:rPr>
          <w:sz w:val="20"/>
          <w:szCs w:val="20"/>
          <w:color w:val="auto"/>
        </w:rPr>
      </w:pPr>
      <w:r>
        <w:rPr>
          <w:rFonts w:ascii="Arial" w:cs="Arial" w:eastAsia="Arial" w:hAnsi="Arial"/>
          <w:sz w:val="21"/>
          <w:szCs w:val="21"/>
          <w:color w:val="auto"/>
        </w:rPr>
        <w:t>&lt;*WWW=S;3NK[JW5_C6M23^$X/A&amp; 8?3PG K6VLL*I M9V91H4I*-*3.FC/-F4Z887.*,@ &amp;_ MOHF?</w:t>
      </w:r>
    </w:p>
    <w:p>
      <w:pPr>
        <w:spacing w:after="0" w:line="229" w:lineRule="auto"/>
        <w:rPr>
          <w:sz w:val="20"/>
          <w:szCs w:val="20"/>
          <w:color w:val="auto"/>
        </w:rPr>
      </w:pPr>
      <w:r>
        <w:rPr>
          <w:rFonts w:ascii="Arial" w:cs="Arial" w:eastAsia="Arial" w:hAnsi="Arial"/>
          <w:sz w:val="21"/>
          <w:szCs w:val="21"/>
          <w:color w:val="auto"/>
        </w:rPr>
        <w:t>IB\9OIF_$%M9/RE]9SD9Y]]O&gt;D'(2Y/8GP9A&amp;J[7J*:E+&gt;/Q#Q[75[I-5!!L[3 M -C_LW'JQ[[\^Z?H^Q0K[YO?</w:t>
      </w:r>
    </w:p>
    <w:p>
      <w:pPr>
        <w:spacing w:after="0" w:line="230" w:lineRule="auto"/>
        <w:rPr>
          <w:sz w:val="20"/>
          <w:szCs w:val="20"/>
          <w:color w:val="auto"/>
        </w:rPr>
      </w:pPr>
      <w:r>
        <w:rPr>
          <w:rFonts w:ascii="Arial" w:cs="Arial" w:eastAsia="Arial" w:hAnsi="Arial"/>
          <w:sz w:val="21"/>
          <w:szCs w:val="21"/>
          <w:color w:val="auto"/>
        </w:rPr>
        <w:t>&amp;&gt;%ZK]O561\FG#S$M=3Z-;-&amp;!$E+T M 5V&lt;&lt;+[8SD1G\&gt;[[4W*S+-8RRRO\ AKX6VRJ,=*V5M4[A3MM1</w:t>
      </w:r>
    </w:p>
    <w:p>
      <w:pPr>
        <w:spacing w:after="0" w:line="229" w:lineRule="auto"/>
        <w:rPr>
          <w:sz w:val="20"/>
          <w:szCs w:val="20"/>
          <w:color w:val="auto"/>
        </w:rPr>
      </w:pPr>
      <w:r>
        <w:rPr>
          <w:rFonts w:ascii="Arial" w:cs="Arial" w:eastAsia="Arial" w:hAnsi="Arial"/>
          <w:sz w:val="21"/>
          <w:szCs w:val="21"/>
          <w:color w:val="auto"/>
        </w:rPr>
        <w:t>M8*5[.SNJ=G\:4_CV5CTF&amp;7O\MW/0Q2A"'D_S*&gt;(4*DT,DV2/1+1 MGCDR9&gt;CIA#IR2]WQ2QO=T.$W=OTT9:EG4C'_ -</w:t>
      </w:r>
    </w:p>
    <w:p>
      <w:pPr>
        <w:spacing w:after="0" w:line="229" w:lineRule="auto"/>
        <w:rPr>
          <w:sz w:val="20"/>
          <w:szCs w:val="20"/>
          <w:color w:val="auto"/>
        </w:rPr>
      </w:pPr>
      <w:r>
        <w:rPr>
          <w:rFonts w:ascii="Arial" w:cs="Arial" w:eastAsia="Arial" w:hAnsi="Arial"/>
          <w:sz w:val="21"/>
          <w:szCs w:val="21"/>
          <w:color w:val="auto"/>
        </w:rPr>
        <w:t>LUK4EA'HRP\L\OTY.GR^3+ MV;M]VBRU5L59&gt;[N;+\+R-I;7MMI_OG\4Z8MK?\5UM/\ $XO&lt;1R4YL!O:T* MESMU@].E#+-</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#$K&gt;;_P )*LL\W_E++&amp;/_ -'T(1_P R6QC-'_A-5FA# MS^62/_ET?3D[-)THY*Y^0F:4V7M")UHAG2Y!O9?=;51;OE+*U[[85?\RVW&lt;-ZN]RRW1T+ZAANR&gt;&amp;7GJKBY MN:DE&amp;A"YR1_W%&gt;I-5FDDS;:GG4J,LT98SU?60DC'ULB8.Z39N.Q&gt;Q%QMQ4MZ MEWC5W0SZ5*E)-4J&gt;J_\ M4Y820FFRU9\D]2,(1A+)F1FA#,F?KY-2&gt; 4U_KW M&amp;,%R'&amp;Y9GCS]1LFSA)N+E5VS1*, [S8X=VQ[A6^E[A7MNO5NI3OBMU:U_C6I^ MWFPQ;=O+NVV:V2W&gt;8GA=[8X9M1JTI9IXU,L99/62PADEAT0EA M&amp;.;+"$/)!UIIO)\:E2,=&gt;WA8YJXM?,6[A1R MTN0&lt;_P"[OHI;;6U3_#7LK_ F;N-VMV5QG=QL]@F$8GA]UC5IL[A\*]O1N*-6 MO1C):T:&lt;\*M*2&gt;:I3C)4_DFA/+#-G_ECDCT.";Q&lt;$QJPVKQ3$;ZSNJ.'U\4N MHTZM2E4DIU(35JDTL9)YI82SYTO\T,V,VEJ3SYWJI)YXQGC",12K]U(,'L?55)%S5)226PMYMMN_DK6-UATLM2K;S5JE:C5HYTLL^;-7FGJR5)(1]9"/K)I9 MH0FDS,Z:6,O7]UV^;:/%MHZ&amp;SVT\U.YHW&lt;8R2584Y: &lt;\E3)&amp;,N6%.$LDTLV3 M-C_)",(QA-G9(1A&amp;8^+N7266ZK:UE5U'3O')9[C5':UU;UG#5FUCWS*JM]U: MUON;M)*Q&amp;E:_QK:E3M[:]M:]QY1MM,5VSW/T8XQ4FK7F%WM6QA4FC&amp;,T].E3 MHU:6=&amp;/EC)3KRTH1\L820RY8Y8QYWOPV?LL VZJ?["6$E"\MY+G-AT0EFGFJ M23Y(?1G3TXSY/XS1R9(9(0Z*).N0 !$? (#R#;M\T&gt;R?$ MV9,]LMXGP[M]OULC&amp;8U^#7?9JOH3/,,+G%&amp;0 #?WT3/TQ&gt;,WTS?B"VN M59\QW&amp;;&amp;&gt;Z:#;+:.67@A@G? -/NEJAQ%W@ /,GY2^LYR, M\^^WO2#D)K2O\+U5 M+:ULKWNMU;N_O=MM_NQWLR[\MVEO5N+*K6A7K0I4YJOJ*\9?</w:t>
      </w:r>
    </w:p>
    <w:p>
      <w:pPr>
        <w:spacing w:after="0" w:line="234" w:lineRule="auto"/>
        <w:rPr>
          <w:sz w:val="20"/>
          <w:szCs w:val="20"/>
          <w:color w:val="auto"/>
        </w:rPr>
      </w:pPr>
      <w:r>
        <w:rPr>
          <w:rFonts w:ascii="Arial" w:cs="Arial" w:eastAsia="Arial" w:hAnsi="Arial"/>
          <w:sz w:val="21"/>
          <w:szCs w:val="21"/>
          <w:color w:val="auto"/>
        </w:rPr>
        <w:t>5W$M:G)_-&amp;VN MI8QC-4A'HFJ5)9HTX^KFFE?NTVLV9VOV)CNZVMJR4KB2GZN2,\T)/64X1SJ4 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&lt;\W1"K1C"$(2_PEDC"$T,^$/B,QW3LW?$:C@6.8;&gt;U2&gt;.6WNNC#^&amp;/E'JC= M2U5))XZ621;Q&lt;:DX3HK?12O\*IVUN4[FE:5T';C?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OO7YB&lt;*I[NME\"FHT:]6 M3_0LHK(33E'_P"$O+OJT4==ZNK;95K6]&gt;KERFFWKWVMW M?*J]W9V4IV$&lt;=R^_/?-</w:t>
      </w:r>
    </w:p>
    <w:p>
      <w:pPr>
        <w:spacing w:after="0" w:line="229" w:lineRule="auto"/>
        <w:rPr>
          <w:sz w:val="20"/>
          <w:szCs w:val="20"/>
          <w:color w:val="auto"/>
        </w:rPr>
      </w:pPr>
      <w:r>
        <w:rPr>
          <w:rFonts w:ascii="Arial" w:cs="Arial" w:eastAsia="Arial" w:hAnsi="Arial"/>
          <w:sz w:val="21"/>
          <w:szCs w:val="21"/>
          <w:color w:val="auto"/>
        </w:rPr>
        <w:t>MIOHN]C=JL.DI8#3_ -QZ^G"WFIS8?ZN6:-+.JY[/;'::^VJQ.^QVGB&amp;(752O4E MI5K26G+/4FC--"2$]E/-</w:t>
      </w:r>
    </w:p>
    <w:p>
      <w:pPr>
        <w:spacing w:after="0" w:line="229" w:lineRule="auto"/>
        <w:rPr>
          <w:sz w:val="20"/>
          <w:szCs w:val="20"/>
          <w:color w:val="auto"/>
        </w:rPr>
      </w:pPr>
      <w:r>
        <w:rPr>
          <w:rFonts w:ascii="Arial" w:cs="Arial" w:eastAsia="Arial" w:hAnsi="Arial"/>
          <w:sz w:val="21"/>
          <w:szCs w:val="21"/>
          <w:color w:val="auto"/>
        </w:rPr>
        <w:t>"6$8]$)IYHY/+&amp;+7&lt;$W[;78#A%M@UG;8;-:VM&amp;6G M)&amp;&gt;G6C/&amp;66&amp;2$9HRW$L(Q_CDEA#S.7N0FB\2U-</w:t>
      </w:r>
    </w:p>
    <w:p>
      <w:pPr>
        <w:spacing w:after="0" w:line="230" w:lineRule="auto"/>
        <w:rPr>
          <w:sz w:val="20"/>
          <w:szCs w:val="20"/>
          <w:color w:val="auto"/>
        </w:rPr>
      </w:pPr>
      <w:r>
        <w:rPr>
          <w:rFonts w:ascii="Arial" w:cs="Arial" w:eastAsia="Arial" w:hAnsi="Arial"/>
          <w:sz w:val="21"/>
          <w:szCs w:val="21"/>
          <w:color w:val="auto"/>
        </w:rPr>
        <w:t>"8_)8Y(Y&amp;]7EI1PQ&lt;633N, M3T MIX752A/+"66GGPC+"E;4(PFR^6,8S0R?1]+M^Z3&gt;AC^WN)7=GC%&amp;SITJ%"6&gt; M6-</w:t>
      </w:r>
    </w:p>
    <w:p>
      <w:pPr>
        <w:spacing w:after="0" w:line="229" w:lineRule="auto"/>
        <w:rPr>
          <w:sz w:val="20"/>
          <w:szCs w:val="20"/>
          <w:color w:val="auto"/>
        </w:rPr>
      </w:pPr>
      <w:r>
        <w:rPr>
          <w:rFonts w:ascii="Arial" w:cs="Arial" w:eastAsia="Arial" w:hAnsi="Arial"/>
          <w:sz w:val="21"/>
          <w:szCs w:val="21"/>
          <w:color w:val="auto"/>
        </w:rPr>
        <w:t>&amp;2I+&amp;,8SYLVO^(F!RU;DME=A-G\/WA81&lt;8A M4QK&amp;\ M)Z\E:I1FH21N*="YG]5+)0IU)80J=$N?4J9).B,9H_P SA&gt;]K&gt;%C6</w:t>
      </w:r>
    </w:p>
    <w:p>
      <w:pPr>
        <w:spacing w:after="0"/>
        <w:rPr>
          <w:sz w:val="20"/>
          <w:szCs w:val="20"/>
          <w:color w:val="auto"/>
        </w:rPr>
      </w:pPr>
      <w:r>
        <w:rPr>
          <w:rFonts w:ascii="Arial" w:cs="Arial" w:eastAsia="Arial" w:hAnsi="Arial"/>
          <w:sz w:val="19"/>
          <w:szCs w:val="19"/>
          <w:color w:val="auto"/>
        </w:rPr>
        <w:t>MTF)W6R]]2M9,/P_$Z\M.:G+4A4FA2GJ49&lt;^,U2:6.67ICFR2_P W3#)#H0?L MZ8WOJ?9:V5V2,[E&amp;'7.W:\78O1P[QWW*&gt;*=\4AI-</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FQL3;1KYI;V66+=PG??1 M.E]EU:=U92/^]G'.8C[&amp;2X#-1M;':*%.26K&amp;7-DN/6R0R0K M4YYXQFJ23],8R99H0SHRS0A'-</w:t>
      </w:r>
    </w:p>
    <w:p>
      <w:pPr>
        <w:spacing w:after="0"/>
        <w:rPr>
          <w:sz w:val="20"/>
          <w:szCs w:val="20"/>
          <w:color w:val="auto"/>
        </w:rPr>
      </w:pPr>
      <w:r>
        <w:rPr>
          <w:rFonts w:ascii="Arial" w:cs="Arial" w:eastAsia="Arial" w:hAnsi="Arial"/>
          <w:sz w:val="19"/>
          <w:szCs w:val="19"/>
          <w:color w:val="auto"/>
        </w:rPr>
        <w:t>FC\ME6Z=I;XBO@-BN$W-FDDJA;+5B/"WZCF MQ!9):Q)S)KIMF45'4&lt;66W*5OK3M[*6W*=S6ZV[4=L-_&amp;][F)P?\ _GVQ^ 1I</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M65U/)"XC;&gt;LK1GA)-+-"6I7FEDI6]'/A+-/&amp;?)ER0EFJ9L9I9LY@6[;8?=9? M_P!SX[B&lt;)[BC+-</w:t>
      </w:r>
    </w:p>
    <w:p>
      <w:pPr>
        <w:spacing w:after="0" w:line="229" w:lineRule="auto"/>
        <w:rPr>
          <w:sz w:val="20"/>
          <w:szCs w:val="20"/>
          <w:color w:val="auto"/>
        </w:rPr>
      </w:pPr>
      <w:r>
        <w:rPr>
          <w:rFonts w:ascii="Arial" w:cs="Arial" w:eastAsia="Arial" w:hAnsi="Arial"/>
          <w:sz w:val="21"/>
          <w:szCs w:val="21"/>
          <w:color w:val="auto"/>
        </w:rPr>
        <w:t>ZKUN93A+&amp;:$81C+3A&amp;:&gt;K4S8QA+FYR?$V9,]LMXGP[M]OULC&amp;8U^ M#7?9JOH3/,,+G%&amp;0 #?WT3/TQ&gt;,WTS?</w:t>
      </w:r>
    </w:p>
    <w:p>
      <w:pPr>
        <w:spacing w:after="0" w:line="229" w:lineRule="auto"/>
        <w:rPr>
          <w:sz w:val="20"/>
          <w:szCs w:val="20"/>
          <w:color w:val="auto"/>
        </w:rPr>
      </w:pPr>
      <w:r>
        <w:rPr>
          <w:rFonts w:ascii="Arial" w:cs="Arial" w:eastAsia="Arial" w:hAnsi="Arial"/>
          <w:sz w:val="21"/>
          <w:szCs w:val="21"/>
          <w:color w:val="auto"/>
        </w:rPr>
        <w:t>B"VN59\QW&amp;;&amp;&gt;Z:#;+:.67@A M@G?-/NEJAQ%W@ /,GY2^LYR,\^^WO2#D)887.*,@ M &amp;_OHF?</w:t>
      </w:r>
    </w:p>
    <w:p>
      <w:pPr>
        <w:spacing w:after="0" w:line="230" w:lineRule="auto"/>
        <w:rPr>
          <w:sz w:val="20"/>
          <w:szCs w:val="20"/>
          <w:color w:val="auto"/>
        </w:rPr>
      </w:pPr>
      <w:r>
        <w:rPr>
          <w:rFonts w:ascii="Arial" w:cs="Arial" w:eastAsia="Arial" w:hAnsi="Arial"/>
          <w:sz w:val="21"/>
          <w:szCs w:val="21"/>
          <w:color w:val="auto"/>
        </w:rPr>
        <w:t>IB\9OIF_$%M9/RE]9SD9Y]]O&gt;D'(2Y/8GP9A&amp;J[7J*:E+&gt;/Q#Q[75[I-5!! ML[3 -C_ +-</w:t>
      </w:r>
    </w:p>
    <w:p>
      <w:pPr>
        <w:spacing w:after="0"/>
        <w:rPr>
          <w:sz w:val="20"/>
          <w:szCs w:val="20"/>
          <w:color w:val="auto"/>
        </w:rPr>
      </w:pPr>
      <w:r>
        <w:rPr>
          <w:rFonts w:ascii="Arial" w:cs="Arial" w:eastAsia="Arial" w:hAnsi="Arial"/>
          <w:sz w:val="19"/>
          <w:szCs w:val="19"/>
          <w:color w:val="auto"/>
        </w:rPr>
        <w:t>QZL&gt;^_/NGZ/L4*^^;WQGA&gt;J_;U5D?)IP\Q+74^C6S1@1) M2] #G;.^3.!Z^RJ5Q"9B9.+NY;O;*7=TE;V7TK2G;3LK6,&gt;\/FNW=[M-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L+S8G';+&amp;JN*V7JL^&gt; MA1MIJ4?74*=&gt;7,FJ7E*&gt;.22K+";+3ER30C"&amp;6&amp;2,&gt;O[+[E=J=K&lt;"H;08;&lt;8? M)97&amp;?</w:t>
      </w:r>
    </w:p>
    <w:p>
      <w:pPr>
        <w:spacing w:after="0"/>
        <w:rPr>
          <w:sz w:val="20"/>
          <w:szCs w:val="20"/>
          <w:color w:val="auto"/>
        </w:rPr>
      </w:pPr>
      <w:r>
        <w:rPr>
          <w:rFonts w:ascii="Arial" w:cs="Arial" w:eastAsia="Arial" w:hAnsi="Arial"/>
          <w:sz w:val="19"/>
          <w:szCs w:val="19"/>
          <w:color w:val="auto"/>
        </w:rPr>
        <w:t>FRU)ZT)X&gt;KJ3TXYT):$\L,LTD8PR31Z,F7)'HA\C]LS5_\ D.&gt;_\KQ[ M^:#2_GIW2?EVT?V&gt;R^/9_P"7+;?WK"OK;CX8^V9J_P#R'/?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^5X]_- ^&gt;G=)^ M7;1_9[+X\^7+;?WK"OK;CX8^V9J__(&lt;]_P"5X]_- ^&gt;G=)^7;1_9[+X\^7+; M?WK"OK;CX8^V9J__ "'/?^5X]_-</w:t>
      </w:r>
    </w:p>
    <w:p>
      <w:pPr>
        <w:spacing w:after="0" w:line="229" w:lineRule="auto"/>
        <w:rPr>
          <w:sz w:val="20"/>
          <w:szCs w:val="20"/>
          <w:color w:val="auto"/>
        </w:rPr>
      </w:pPr>
      <w:r>
        <w:rPr>
          <w:rFonts w:ascii="Arial" w:cs="Arial" w:eastAsia="Arial" w:hAnsi="Arial"/>
          <w:sz w:val="21"/>
          <w:szCs w:val="21"/>
          <w:color w:val="auto"/>
        </w:rPr>
        <w:t>^&gt;G=)^7;1_9[+X\^7+;?WK"OK;CX8^V9 MJ_\ R'/?^5X]_- ^&gt;G=)^7;1_9[+X\^7+;?WK"OK;CX8^V9J_P#R'/?^5X]_ M-</w:t>
      </w:r>
    </w:p>
    <w:p>
      <w:pPr>
        <w:spacing w:after="0" w:line="229" w:lineRule="auto"/>
        <w:rPr>
          <w:sz w:val="20"/>
          <w:szCs w:val="20"/>
          <w:color w:val="auto"/>
        </w:rPr>
      </w:pPr>
      <w:r>
        <w:rPr>
          <w:rFonts w:ascii="Arial" w:cs="Arial" w:eastAsia="Arial" w:hAnsi="Arial"/>
          <w:sz w:val="21"/>
          <w:szCs w:val="21"/>
          <w:color w:val="auto"/>
        </w:rPr>
        <w:t>^&gt;G=)^7;1_9[+X\^7+;?WK"OK;CX9)6L=\XAM&gt;7?PV.QN2,G4='5DUU)IG M%MV]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[&gt;CENU[A*YC,2*ERW?'%M&gt;RMEMOB.F;;;J]H=@\/I8EB M]:RJ4*U;U4L*,]6::$V;--EC"&gt;C3ADR2Q\D8QRY.A-IWMS0 M $1\@/(-</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NWS1[)\39DSVRWB?#NWV_6R,9C7X-=]FJ^A,\PPN&lt;49 M -_?1,_3%XS?3-^(+:Y5GS'&lt;9L9[IH-LMHY9&gt;"&amp;"=\T^Z6J'$7&gt; M \R?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E+ZSG(SS[[&gt;](.0ER&gt;Q/@S"-5VO44U*6\?B'CVNKW2:J"#9 MVF ;'_9N/5CWWY]T_1]BA7WS&gt;^,\+U7[&gt;JLCY-.'F):ZGT:V:,")*7H M</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5)YLOW 8_P!Q_3;-/S0;=OFCV3XFS)GMEO$^'=OM^MD8S&amp;OP:[[- M5]"9YAAHIJ4 MMX_$/'M=7NDU4$&amp;SM, V/\ LW'JQ[[\^Z?</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H^Q0K[YO?&amp;&gt;%ZK]O561\F MG#S$M=3Z-;-&amp;!$E+T *DN3GEQS?YM&gt;*$ 4O-+KH%(Z.J =B\+_C[E/R1O]^8LG)R(\0L8U-]YH([\</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MQ_A6QUA#J:JR(M(0W !$?(#R#;M\T&gt;R?$V9,]LMXGP[ MM]OULC&amp;8U^#7?9JOH3/,,+G%&amp;0 #?WT3/TQ&gt;,WTS?</w:t>
      </w:r>
    </w:p>
    <w:p>
      <w:pPr>
        <w:spacing w:after="0"/>
        <w:rPr>
          <w:sz w:val="20"/>
          <w:szCs w:val="20"/>
          <w:color w:val="auto"/>
        </w:rPr>
      </w:pPr>
      <w:r>
        <w:rPr>
          <w:rFonts w:ascii="Arial" w:cs="Arial" w:eastAsia="Arial" w:hAnsi="Arial"/>
          <w:sz w:val="19"/>
          <w:szCs w:val="19"/>
          <w:color w:val="auto"/>
        </w:rPr>
        <w:t>B"VN59\QW&amp;;&amp;&gt;Z M:#;+:.67@A@G?-/NEJAQ%W@ /,GY2^LYR,\^^WO2#D)&lt; MGL3X,PC5=KU%-2EO'XAX]KJ]TFJ@@V=I@</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&amp;Q_P!FX]6/??GW3]'V*%?? M-[XSPO5?MZJR/DTX&gt;8EKJ?1K9HP(DI&gt;@ !4ER&lt;\N.;_-K MQ0@"E[FR_0;=OF</w:t>
      </w:r>
    </w:p>
    <w:p>
      <w:pPr>
        <w:spacing w:after="0"/>
        <w:rPr>
          <w:sz w:val="20"/>
          <w:szCs w:val="20"/>
          <w:color w:val="auto"/>
        </w:rPr>
      </w:pPr>
      <w:r>
        <w:rPr>
          <w:rFonts w:ascii="Arial" w:cs="Arial" w:eastAsia="Arial" w:hAnsi="Arial"/>
          <w:sz w:val="19"/>
          <w:szCs w:val="19"/>
          <w:color w:val="auto"/>
        </w:rPr>
        <w:t>MCV3XFS)GMEO$^'=OM^MD8S&amp;OP:[[-5]"9YAAHIJ4MX_$/'M=7NDU4$&amp;SM, V/^S&lt;&gt;K M'OOS[I^C[%"OOF]\9X7JOV]59'R:7'-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_FUXH0!2]S9?N Q_N/Z;9I^;D^&amp;.&amp;=XTNN@4CHZH !V+PO M^/N4_)&amp;_WYBR"&amp;"=\T^Z6J'$7&gt; M \R?E+ZSG(SS[[&gt;]</w:t>
      </w:r>
    </w:p>
    <w:p>
      <w:pPr>
        <w:spacing w:after="0"/>
        <w:rPr>
          <w:sz w:val="20"/>
          <w:szCs w:val="20"/>
          <w:color w:val="auto"/>
        </w:rPr>
      </w:pPr>
      <w:r>
        <w:rPr>
          <w:rFonts w:ascii="Arial" w:cs="Arial" w:eastAsia="Arial" w:hAnsi="Arial"/>
          <w:sz w:val="19"/>
          <w:szCs w:val="19"/>
          <w:color w:val="auto"/>
        </w:rPr>
        <w:t>(.0ER&gt;Q/@S"-5VO44U*6\?B'CVNKW2:J"#9VF M ;'_9N/5CWWY]T_1]BA7WS&gt;^,\+U7[&gt;JLCY-.'F):ZGT:V:,")*7H M 5)YLOW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8_W']-LT_-R?#'#.\:770*1 MT=4 [%X7_'W*?DC?[\Q9.3D1XA8QJ;[S01WYC_"MCK"'4U5D1:0AN M "</w:t>
      </w:r>
    </w:p>
    <w:p>
      <w:pPr>
        <w:spacing w:after="0" w:line="229" w:lineRule="auto"/>
        <w:rPr>
          <w:sz w:val="20"/>
          <w:szCs w:val="20"/>
          <w:color w:val="auto"/>
        </w:rPr>
      </w:pPr>
      <w:r>
        <w:rPr>
          <w:rFonts w:ascii="Arial" w:cs="Arial" w:eastAsia="Arial" w:hAnsi="Arial"/>
          <w:sz w:val="21"/>
          <w:szCs w:val="21"/>
          <w:color w:val="auto"/>
        </w:rPr>
        <w:t>(^0'D&amp;W;YH]D^)LR9[9;Q/AW;[?K9&amp;,QK\&amp;N^S5?0F&gt; M887.*,@ &amp;_OHF?</w:t>
      </w:r>
    </w:p>
    <w:p>
      <w:pPr>
        <w:spacing w:after="0" w:line="229" w:lineRule="auto"/>
        <w:rPr>
          <w:sz w:val="20"/>
          <w:szCs w:val="20"/>
          <w:color w:val="auto"/>
        </w:rPr>
      </w:pPr>
      <w:r>
        <w:rPr>
          <w:rFonts w:ascii="Arial" w:cs="Arial" w:eastAsia="Arial" w:hAnsi="Arial"/>
          <w:sz w:val="21"/>
          <w:szCs w:val="21"/>
          <w:color w:val="auto"/>
        </w:rPr>
        <w:t>IB\9OIF_$%M9/RE]9SD9Y]]O&gt;D'(2Y/8GP9A&amp;J[7J*:E+&gt;/Q# MQ[75[I-5!!L[3 -C_LW'JQ[[\^Z?H^Q0K[YO?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&amp;&gt;%ZK]O561\FG#S$M= M3Z-;-&amp;!$E+T *DN3GEQS?YM&gt;*$ 4O-+KH%(Z.J =B\+_C[E/R1O\ ?F+)R</w:t>
      </w:r>
      <w:r>
        <w:rPr>
          <w:rFonts w:ascii="Arial" w:cs="Arial" w:eastAsia="Arial" w:hAnsi="Arial"/>
          <w:sz w:val="19"/>
          <w:szCs w:val="19"/>
          <w:b w:val="1"/>
          <w:bCs w:val="1"/>
          <w:color w:val="auto"/>
        </w:rPr>
        <w:t>:"._,?X5L M=80ZFJLB+2$-P</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1'R \@V[?-'LGQ-F3/;+&gt;)\.[?;]; M(QF-?@UWV:KZ$SS#"YQ1D W]]$S],7C-],WX@MKE6?,=QFQGNF@VRV</w:t>
      </w:r>
    </w:p>
    <w:p>
      <w:pPr>
        <w:sectPr>
          <w:pgSz w:w="11900" w:h="16838" w:orient="portrait"/>
          <w:cols w:equalWidth="0" w:num="1">
            <w:col w:w="11240"/>
          </w:cols>
          <w:pgMar w:left="320" w:top="120" w:right="339" w:bottom="0" w:gutter="0" w:footer="0" w:header="0"/>
        </w:sectPr>
      </w:pPr>
    </w:p>
    <w:bookmarkStart w:id="80" w:name="page81"/>
    <w:bookmarkEnd w:id="80"/>
    <w:p>
      <w:pPr>
        <w:ind w:right="20"/>
        <w:spacing w:after="0" w:line="257" w:lineRule="auto"/>
        <w:rPr>
          <w:sz w:val="20"/>
          <w:szCs w:val="20"/>
          <w:color w:val="auto"/>
        </w:rPr>
      </w:pPr>
      <w:r>
        <w:rPr>
          <w:rFonts w:ascii="Arial" w:cs="Arial" w:eastAsia="Arial" w:hAnsi="Arial"/>
          <w:sz w:val="19"/>
          <w:szCs w:val="19"/>
          <w:b w:val="1"/>
          <w:bCs w:val="1"/>
          <w:color w:val="auto"/>
        </w:rPr>
        <w:t>MCEEX(8)WS3[I:H&lt;1=X #S)^4OK./:ZO=)JH(-G:8 !L?]FX]6/??GW3]'V*%??-[XSPO M5?MZJR/DTX&gt;8EKJ?1K9HP(DI&gt;@ !4ER&lt;\N.;_ #:\4( I M&gt;YLOW 8_W']-LT_-R?#'#.\:770*1T=4 [%X7_'W*?DC?[\Q9.3D1XA M8QJ;[S01WYC_ K8ZPAU-59$6D(;@ B/D!Y!MV^:/9/ MB;,F&gt;V6\3X=V^WZV1C,:_!KOLU7T)GF&amp;%SBC( !O[Z)GZ8O&amp;;Z9OQ!; M7*L^8[C-C/=-!MEM'++P0P3OFGW2U0XB[P 'F3\I?6??;WI!R$N3V)\&amp;81JNUZBFI2WC\0\&gt;UU&gt;Z3500;.TP #8_[-QZL&gt;^_ M/NGZ/L4*^^;WQGA&gt;J_;U5D?)IP\Q+74^C6S1@1)2] "I M+DYY&lt;"&amp;"=\T^Z6J'$7&gt; M \R?E+ZSG(SS[[&gt;] (.0ER&gt;Q/@S"-5VO44U*6\?B'CVNKW2:J"#9VF M ;'_9N/5CWWY]T_1]BA7WS&gt;^,\+U7[&gt;JLCY-.'F):ZGT:V:,")*7H M</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5)YLOW 8_P!Q_3;-/S%_P ?0;=OFCV3XFS)GMEO$^'=OM^MD8S&amp;OP:[[-5]"9 MYAAHIJ4MX_$ M/'M=7NDU4$&amp;SM, V/\</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LW'JQ[[\^Z?H^Q0K[YO?&amp;&gt;%ZK]O561\FG#S$ MM=3Z-;-&amp;!$E+T *DN3GEQS?YM&gt;*$ 4O-+KH%(Z.J</w:t>
      </w:r>
    </w:p>
    <w:p>
      <w:pPr>
        <w:spacing w:after="0" w:line="229" w:lineRule="auto"/>
        <w:rPr>
          <w:sz w:val="20"/>
          <w:szCs w:val="20"/>
          <w:color w:val="auto"/>
        </w:rPr>
      </w:pPr>
      <w:r>
        <w:rPr>
          <w:rFonts w:ascii="Arial" w:cs="Arial" w:eastAsia="Arial" w:hAnsi="Arial"/>
          <w:sz w:val="21"/>
          <w:szCs w:val="21"/>
          <w:b w:val="1"/>
          <w:bCs w:val="1"/>
          <w:color w:val="auto"/>
        </w:rPr>
        <w:t>=B\+_C[E/R1O]^8LG)R(\0L8U-]YH([\Q_A6 MQUA#J:JR(M(0W !$?(#R#;M\T&gt;R?$V9,]LMXGP[M]OU MLC&amp;8U^#7?</w:t>
      </w:r>
    </w:p>
    <w:p>
      <w:pPr>
        <w:spacing w:after="0"/>
        <w:rPr>
          <w:sz w:val="20"/>
          <w:szCs w:val="20"/>
          <w:color w:val="auto"/>
        </w:rPr>
      </w:pPr>
      <w:r>
        <w:rPr>
          <w:rFonts w:ascii="Arial" w:cs="Arial" w:eastAsia="Arial" w:hAnsi="Arial"/>
          <w:sz w:val="19"/>
          <w:szCs w:val="19"/>
          <w:b w:val="1"/>
          <w:bCs w:val="1"/>
          <w:color w:val="auto"/>
        </w:rPr>
        <w:t>9JOH3/,,+G%&amp;0 #?WT3/TQ&gt;,WTS?B"VN59\QW&amp;;&amp;&gt;Z:#;+ M:.67@A@G?-/NEJAQ%W@ /,GY2^LYR,\^^WO2#D)8EKJ?</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1K9HP(DI&gt;@ !4ER&lt;\N.;_-KQ0@" ME[FR_0;=OFCV3X MFS)GMEO$^'=OM^MD8S&amp;OP:</w:t>
      </w:r>
    </w:p>
    <w:p>
      <w:pPr>
        <w:spacing w:after="0" w:line="229" w:lineRule="auto"/>
        <w:rPr>
          <w:sz w:val="20"/>
          <w:szCs w:val="20"/>
          <w:color w:val="auto"/>
        </w:rPr>
      </w:pPr>
      <w:r>
        <w:rPr>
          <w:rFonts w:ascii="Arial" w:cs="Arial" w:eastAsia="Arial" w:hAnsi="Arial"/>
          <w:sz w:val="21"/>
          <w:szCs w:val="21"/>
          <w:b w:val="1"/>
          <w:bCs w:val="1"/>
          <w:color w:val="auto"/>
        </w:rPr>
        <w:t>[[-5]"9YAAHIJ4MX_$/'M=7NDU4$&amp;SM, V/^S&lt;&gt;K'OOS M[I^C[%"OOF]\9X7JOV]59'R:7'-_FUXH0!2]S9?N</w:t>
      </w:r>
    </w:p>
    <w:p>
      <w:pPr>
        <w:spacing w:after="0" w:line="229" w:lineRule="auto"/>
        <w:rPr>
          <w:sz w:val="20"/>
          <w:szCs w:val="20"/>
          <w:color w:val="auto"/>
        </w:rPr>
      </w:pPr>
      <w:r>
        <w:rPr>
          <w:rFonts w:ascii="Arial" w:cs="Arial" w:eastAsia="Arial" w:hAnsi="Arial"/>
          <w:sz w:val="21"/>
          <w:szCs w:val="21"/>
          <w:b w:val="1"/>
          <w:bCs w:val="1"/>
          <w:color w:val="auto"/>
        </w:rPr>
        <w:t>Q_N/Z;9I^;D^&amp;.&amp;=XTNN@4CHZH !V+PO^/N4 M_)&amp;_WYBR"&amp;"=\T^Z6J'$7&gt; M \R?E+ZSG(SS[[&gt;]</w:t>
      </w:r>
    </w:p>
    <w:p>
      <w:pPr>
        <w:spacing w:after="0" w:line="230" w:lineRule="auto"/>
        <w:rPr>
          <w:sz w:val="20"/>
          <w:szCs w:val="20"/>
          <w:color w:val="auto"/>
        </w:rPr>
      </w:pPr>
      <w:r>
        <w:rPr>
          <w:rFonts w:ascii="Arial" w:cs="Arial" w:eastAsia="Arial" w:hAnsi="Arial"/>
          <w:sz w:val="21"/>
          <w:szCs w:val="21"/>
          <w:b w:val="1"/>
          <w:bCs w:val="1"/>
          <w:color w:val="auto"/>
        </w:rPr>
        <w:t>(.0ER&gt;Q/@S"-5VO44U*6\?B'CVNKW2:J"#9VF M ;'_9N/5CWWY]T_1]BA7WS&gt;^,\+U7[&gt;JLCY-.'F):ZGT:V:,")*7H M</w:t>
      </w:r>
    </w:p>
    <w:p>
      <w:pPr>
        <w:spacing w:after="0" w:line="229" w:lineRule="auto"/>
        <w:rPr>
          <w:sz w:val="20"/>
          <w:szCs w:val="20"/>
          <w:color w:val="auto"/>
        </w:rPr>
      </w:pPr>
      <w:r>
        <w:rPr>
          <w:rFonts w:ascii="Arial" w:cs="Arial" w:eastAsia="Arial" w:hAnsi="Arial"/>
          <w:sz w:val="21"/>
          <w:szCs w:val="21"/>
          <w:b w:val="1"/>
          <w:bCs w:val="1"/>
          <w:color w:val="auto"/>
        </w:rPr>
        <w:t>5)YLOW 8_W']-LT_-R?#'#.\:770*1T=4 M [%X7_'W*?DC?[\Q9.3D1XA8QJ;[S01WYC_"MCK"'4U5D1:0AN M "</w:t>
      </w:r>
    </w:p>
    <w:p>
      <w:pPr>
        <w:spacing w:after="0" w:line="229" w:lineRule="auto"/>
        <w:rPr>
          <w:sz w:val="20"/>
          <w:szCs w:val="20"/>
          <w:color w:val="auto"/>
        </w:rPr>
      </w:pPr>
      <w:r>
        <w:rPr>
          <w:rFonts w:ascii="Arial" w:cs="Arial" w:eastAsia="Arial" w:hAnsi="Arial"/>
          <w:sz w:val="21"/>
          <w:szCs w:val="21"/>
          <w:b w:val="1"/>
          <w:bCs w:val="1"/>
          <w:color w:val="auto"/>
        </w:rPr>
        <w:t>(^0'D&amp;W;YH]D^)LR9[9;Q/AW;[?K9&amp;,QK\&amp;N^S5?0F&gt;887. M*,@ &amp;_OHF?</w:t>
      </w:r>
    </w:p>
    <w:p>
      <w:pPr>
        <w:spacing w:after="0" w:line="230" w:lineRule="auto"/>
        <w:rPr>
          <w:sz w:val="20"/>
          <w:szCs w:val="20"/>
          <w:color w:val="auto"/>
        </w:rPr>
      </w:pPr>
      <w:r>
        <w:rPr>
          <w:rFonts w:ascii="Arial" w:cs="Arial" w:eastAsia="Arial" w:hAnsi="Arial"/>
          <w:sz w:val="21"/>
          <w:szCs w:val="21"/>
          <w:b w:val="1"/>
          <w:bCs w:val="1"/>
          <w:color w:val="auto"/>
        </w:rPr>
        <w:t>IB\9OIF_$%M9/RE]9SD9Y]]O&gt;D'(2Y/8GP9A&amp;J[7J*:E+&gt;/Q#Q[75 M[I-5!!L[3 -C_LW'JQ[[\^Z?H^Q0K[YO?</w:t>
      </w:r>
    </w:p>
    <w:p>
      <w:pPr>
        <w:spacing w:after="0" w:line="229" w:lineRule="auto"/>
        <w:rPr>
          <w:sz w:val="20"/>
          <w:szCs w:val="20"/>
          <w:color w:val="auto"/>
        </w:rPr>
      </w:pPr>
      <w:r>
        <w:rPr>
          <w:rFonts w:ascii="Arial" w:cs="Arial" w:eastAsia="Arial" w:hAnsi="Arial"/>
          <w:sz w:val="21"/>
          <w:szCs w:val="21"/>
          <w:b w:val="1"/>
          <w:bCs w:val="1"/>
          <w:color w:val="auto"/>
        </w:rPr>
        <w:t>&amp;&gt;%ZK]O561\FG#S$M=3Z-; M-&amp;!$E+T *DN3GEQS?YM&gt;*$ 4O-+KH%(Z.J =B\+_C[E/R1O\ ?F+)R:"._,?X5L=80Z</w:t>
      </w:r>
    </w:p>
    <w:p>
      <w:pPr>
        <w:spacing w:after="0" w:line="229" w:lineRule="auto"/>
        <w:rPr>
          <w:sz w:val="20"/>
          <w:szCs w:val="20"/>
          <w:color w:val="auto"/>
        </w:rPr>
      </w:pPr>
      <w:r>
        <w:rPr>
          <w:rFonts w:ascii="Arial" w:cs="Arial" w:eastAsia="Arial" w:hAnsi="Arial"/>
          <w:sz w:val="21"/>
          <w:szCs w:val="21"/>
          <w:b w:val="1"/>
          <w:bCs w:val="1"/>
          <w:color w:val="auto"/>
        </w:rPr>
        <w:t>MFJLB+2$-P 1'R \@V[?-'LGQ-F3/;+&gt;)\.[?;];(QF- M?@UWV:KZ$SS#"YQ1D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W]]$S],7C-],WX@MKE6?,=QFQGNF@VRVCEEX M(8)WS3[I:H&lt;1=X #S)^4OK./:ZO=)JH(-G:8 !L?]FX]6/??GW3]'V*%??-</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[XSPO5?MZ MJR/DTX&gt;8EKJ?1K9HP(DI&gt;@ !4ER&lt;\N.;_ #:\4( I&gt;YLO MW 8_W']-LT_-R?#'#.\:770*1T=4 [%X7_'W*?DC?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[\Q9.3D1XA8QJ; M[S01WYC_ K8ZPAU-59$6D(;@ B/D!Y!MV^:/9/B;,F M&gt;V6\3X=V^WZV1C,:_!KOLU7T)GF&amp;%SBC(</w:t>
      </w:r>
    </w:p>
    <w:p>
      <w:pPr>
        <w:spacing w:after="0" w:line="229" w:lineRule="auto"/>
        <w:rPr>
          <w:sz w:val="20"/>
          <w:szCs w:val="20"/>
          <w:color w:val="auto"/>
        </w:rPr>
      </w:pPr>
      <w:r>
        <w:rPr>
          <w:rFonts w:ascii="Arial" w:cs="Arial" w:eastAsia="Arial" w:hAnsi="Arial"/>
          <w:sz w:val="21"/>
          <w:szCs w:val="21"/>
          <w:b w:val="1"/>
          <w:bCs w:val="1"/>
          <w:color w:val="auto"/>
        </w:rPr>
        <w:t>!O[Z)GZ8O&amp;;Z9OQ!;7*L^ M8[C-C/=-!MEM'++P0P3OFGW2U0XB[P 'F3\I?6??</w:t>
      </w:r>
    </w:p>
    <w:p>
      <w:pPr>
        <w:spacing w:after="0"/>
        <w:rPr>
          <w:sz w:val="20"/>
          <w:szCs w:val="20"/>
          <w:color w:val="auto"/>
        </w:rPr>
      </w:pPr>
      <w:r>
        <w:rPr>
          <w:rFonts w:ascii="Arial" w:cs="Arial" w:eastAsia="Arial" w:hAnsi="Arial"/>
          <w:sz w:val="19"/>
          <w:szCs w:val="19"/>
          <w:b w:val="1"/>
          <w:bCs w:val="1"/>
          <w:color w:val="auto"/>
        </w:rPr>
        <w:t>M;WI!R$N3V)\&amp;81JNUZBFI2WC\0\&gt;UU&gt;Z3500;.TP #8_[-QZL&gt;^_/NGZ M/L4*^^;WQGA&gt;J_;U5D?)IP\Q+74^C6S1@1)2]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"I+DYY M&lt;"&amp;"=\T^Z6J'$7&gt; M \R?E+ZSG(SS[[&gt;](.0ER&gt;Q/@S"-5VO44U*6\?B'CVNKW2:J"#9VF</w:t>
      </w:r>
    </w:p>
    <w:p>
      <w:pPr>
        <w:spacing w:after="0" w:line="229" w:lineRule="auto"/>
        <w:rPr>
          <w:sz w:val="20"/>
          <w:szCs w:val="20"/>
          <w:color w:val="auto"/>
        </w:rPr>
      </w:pPr>
      <w:r>
        <w:rPr>
          <w:rFonts w:ascii="Arial" w:cs="Arial" w:eastAsia="Arial" w:hAnsi="Arial"/>
          <w:sz w:val="21"/>
          <w:szCs w:val="21"/>
          <w:b w:val="1"/>
          <w:bCs w:val="1"/>
          <w:color w:val="auto"/>
        </w:rPr>
        <w:t>M;'_9N/5CWWY]T_1]BA7WS&gt;^,\+U7[&gt;JLCY-.'F):ZGT:V:,")*7H M 5)YLOW 8_P!Q_3;-/S%_P ?</w:t>
      </w:r>
    </w:p>
    <w:p>
      <w:pPr>
        <w:spacing w:after="0"/>
        <w:rPr>
          <w:sz w:val="20"/>
          <w:szCs w:val="20"/>
          <w:color w:val="auto"/>
        </w:rPr>
      </w:pPr>
      <w:r>
        <w:rPr>
          <w:rFonts w:ascii="Arial" w:cs="Arial" w:eastAsia="Arial" w:hAnsi="Arial"/>
          <w:sz w:val="19"/>
          <w:szCs w:val="19"/>
          <w:b w:val="1"/>
          <w:bCs w:val="1"/>
          <w:color w:val="auto"/>
        </w:rPr>
        <w:t>0;=OFCV3XFS)GMEO$^'=OM^MD8S&amp;OP:[[-5]"9YAA&lt; MXHR ;^^B9^F+QF^F;\06URK/F.XS8SW30;9;1RR\$,$[YI]TM4.</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 M !YD_*7UG.1GGWV]Z0HIJ4MX_$/'M= M7NDU4$&amp;SM, V/\ LW'JQ[[\^Z?H^Q0K[YO?&amp;&gt;%ZK]O561\FG#S$M=3Z</w:t>
      </w:r>
    </w:p>
    <w:p>
      <w:pPr>
        <w:spacing w:after="0" w:line="229" w:lineRule="auto"/>
        <w:rPr>
          <w:sz w:val="20"/>
          <w:szCs w:val="20"/>
          <w:color w:val="auto"/>
        </w:rPr>
      </w:pPr>
      <w:r>
        <w:rPr>
          <w:rFonts w:ascii="Arial" w:cs="Arial" w:eastAsia="Arial" w:hAnsi="Arial"/>
          <w:sz w:val="21"/>
          <w:szCs w:val="21"/>
          <w:b w:val="1"/>
          <w:bCs w:val="1"/>
          <w:color w:val="auto"/>
        </w:rPr>
        <w:t>M-;-&amp;!$E+T *DN3GEQS?YM&gt;*$ 4O-+KH%(Z.J =B\+_C[E/R1O]^8LG)R(\0L8U-]YH([\Q_A6QUA# MJ:JR(M(0W !$?</w:t>
      </w:r>
    </w:p>
    <w:p>
      <w:pPr>
        <w:spacing w:after="0" w:line="229" w:lineRule="auto"/>
        <w:rPr>
          <w:sz w:val="20"/>
          <w:szCs w:val="20"/>
          <w:color w:val="auto"/>
        </w:rPr>
      </w:pPr>
      <w:r>
        <w:rPr>
          <w:rFonts w:ascii="Arial" w:cs="Arial" w:eastAsia="Arial" w:hAnsi="Arial"/>
          <w:sz w:val="21"/>
          <w:szCs w:val="21"/>
          <w:b w:val="1"/>
          <w:bCs w:val="1"/>
          <w:color w:val="auto"/>
        </w:rPr>
        <w:t>(#R#;M\T&gt;R?$V9,]LMXGP[M]OULC&amp;8 MU^#7?9JOH3/,,+G%&amp;0 #?WT3/TQ&gt;,WTS?B"VN59\QW&amp;;&amp;&gt;Z:#;+:.67</w:t>
      </w:r>
    </w:p>
    <w:p>
      <w:pPr>
        <w:spacing w:after="0" w:line="230" w:lineRule="auto"/>
        <w:rPr>
          <w:sz w:val="20"/>
          <w:szCs w:val="20"/>
          <w:color w:val="auto"/>
        </w:rPr>
      </w:pPr>
      <w:r>
        <w:rPr>
          <w:rFonts w:ascii="Arial" w:cs="Arial" w:eastAsia="Arial" w:hAnsi="Arial"/>
          <w:sz w:val="21"/>
          <w:szCs w:val="21"/>
          <w:b w:val="1"/>
          <w:bCs w:val="1"/>
          <w:color w:val="auto"/>
        </w:rPr>
        <w:t>M@A@G?-/NEJAQ%W@ /,GY2^LYR,\^^WO2#D)8EKJ?1K9HP(DI&gt;@ !4ER&lt;\N.;_-KQ0@"E[FR M_0;=OFCV3XFS)G</w:t>
      </w:r>
    </w:p>
    <w:p>
      <w:pPr>
        <w:spacing w:after="0"/>
        <w:rPr>
          <w:sz w:val="20"/>
          <w:szCs w:val="20"/>
          <w:color w:val="auto"/>
        </w:rPr>
      </w:pPr>
      <w:r>
        <w:rPr>
          <w:rFonts w:ascii="Arial" w:cs="Arial" w:eastAsia="Arial" w:hAnsi="Arial"/>
          <w:sz w:val="19"/>
          <w:szCs w:val="19"/>
          <w:b w:val="1"/>
          <w:bCs w:val="1"/>
          <w:color w:val="auto"/>
        </w:rPr>
        <w:t>MMEO$^'=OM^MD8S&amp;OP:[[-5]"9YAAHIJ4MX_$/'M=7NDU4$&amp;SM, V/^S&lt;&gt;K'OOS[I^C M[%"OOF]\9X7JOV]59'R:7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_FUXH0!2]S9?N Q_N/Z;9I^;D^&amp;.&amp;=XTNN@4CHZH !V+PO^/N4_)&amp;_ MWYBR"&amp;"=\T^Z6J'$7&gt; M\R?E+ZSG(SS[[&gt;]</w:t>
      </w:r>
    </w:p>
    <w:p>
      <w:pPr>
        <w:spacing w:after="0" w:line="229" w:lineRule="auto"/>
        <w:rPr>
          <w:sz w:val="20"/>
          <w:szCs w:val="20"/>
          <w:color w:val="auto"/>
        </w:rPr>
      </w:pPr>
      <w:r>
        <w:rPr>
          <w:rFonts w:ascii="Arial" w:cs="Arial" w:eastAsia="Arial" w:hAnsi="Arial"/>
          <w:sz w:val="21"/>
          <w:szCs w:val="21"/>
          <w:b w:val="1"/>
          <w:bCs w:val="1"/>
          <w:color w:val="auto"/>
        </w:rPr>
        <w:t>(.0ER&gt;Q/@S"-5VO44U*6\?B'CVNKW2:J"#9VF ;' M_9N/5CWWY]T_1]BA7WS&gt;^,\+U7[&gt;JLCY-.'F):ZGT:V:,")*7H M</w:t>
      </w:r>
    </w:p>
    <w:p>
      <w:pPr>
        <w:spacing w:after="0" w:line="229" w:lineRule="auto"/>
        <w:rPr>
          <w:sz w:val="20"/>
          <w:szCs w:val="20"/>
          <w:color w:val="auto"/>
        </w:rPr>
      </w:pPr>
      <w:r>
        <w:rPr>
          <w:rFonts w:ascii="Arial" w:cs="Arial" w:eastAsia="Arial" w:hAnsi="Arial"/>
          <w:sz w:val="21"/>
          <w:szCs w:val="21"/>
          <w:b w:val="1"/>
          <w:bCs w:val="1"/>
          <w:color w:val="auto"/>
        </w:rPr>
        <w:t>5)YLOW 8_W']-LT_-R?#'#.\:770*1T=4 M [%X7_'W*?DC?[\Q9.3D1XA8QJ;[S01WYC_"MCK"'4U5D1:0AN M "</w:t>
      </w:r>
    </w:p>
    <w:p>
      <w:pPr>
        <w:spacing w:after="0" w:line="230" w:lineRule="auto"/>
        <w:rPr>
          <w:sz w:val="20"/>
          <w:szCs w:val="20"/>
          <w:color w:val="auto"/>
        </w:rPr>
      </w:pPr>
      <w:r>
        <w:rPr>
          <w:rFonts w:ascii="Arial" w:cs="Arial" w:eastAsia="Arial" w:hAnsi="Arial"/>
          <w:sz w:val="21"/>
          <w:szCs w:val="21"/>
          <w:b w:val="1"/>
          <w:bCs w:val="1"/>
          <w:color w:val="auto"/>
        </w:rPr>
        <w:t>(^0'D&amp;W;YH]D^)LR9[9;Q/AW;[?K9&amp;,QK\&amp;N^S5?0F&gt;887.*,@ M &amp;_OHF?</w:t>
      </w:r>
    </w:p>
    <w:p>
      <w:pPr>
        <w:spacing w:after="0" w:line="229" w:lineRule="auto"/>
        <w:rPr>
          <w:sz w:val="20"/>
          <w:szCs w:val="20"/>
          <w:color w:val="auto"/>
        </w:rPr>
      </w:pPr>
      <w:r>
        <w:rPr>
          <w:rFonts w:ascii="Arial" w:cs="Arial" w:eastAsia="Arial" w:hAnsi="Arial"/>
          <w:sz w:val="21"/>
          <w:szCs w:val="21"/>
          <w:b w:val="1"/>
          <w:bCs w:val="1"/>
          <w:color w:val="auto"/>
        </w:rPr>
        <w:t>IB\9OIF_$%M9/RE]9SD9Y]]O&gt;D'(2Y/8GP9A&amp;J[7J*:E+&gt;/Q#Q[75[I-5 M!!L[3 -C_LW'JQ[[\^Z?H^Q0K[YO?</w:t>
      </w:r>
    </w:p>
    <w:p>
      <w:pPr>
        <w:spacing w:after="0"/>
        <w:rPr>
          <w:sz w:val="20"/>
          <w:szCs w:val="20"/>
          <w:color w:val="auto"/>
        </w:rPr>
      </w:pPr>
      <w:r>
        <w:rPr>
          <w:rFonts w:ascii="Arial" w:cs="Arial" w:eastAsia="Arial" w:hAnsi="Arial"/>
          <w:sz w:val="19"/>
          <w:szCs w:val="19"/>
          <w:b w:val="1"/>
          <w:bCs w:val="1"/>
          <w:color w:val="auto"/>
        </w:rPr>
        <w:t>&amp;&gt;%ZK]O561\FG#S$M=3Z-;-&amp;!$ ME+T *DN3GEQS?YM&gt;*$ 4O- M+KH%(Z.J =B\+_C[E/R1O\ ?F+)R:"._,?X5L=80ZFJLB</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M+2$-P 1'R \@V[?-'LGQ-F3/;+&gt;)\.[?;];(QF-?@UW MV:KZ$SS#"YQ1D</w:t>
      </w:r>
    </w:p>
    <w:p>
      <w:pPr>
        <w:spacing w:after="0"/>
        <w:rPr>
          <w:sz w:val="20"/>
          <w:szCs w:val="20"/>
          <w:color w:val="auto"/>
        </w:rPr>
      </w:pPr>
      <w:r>
        <w:rPr>
          <w:rFonts w:ascii="Arial" w:cs="Arial" w:eastAsia="Arial" w:hAnsi="Arial"/>
          <w:sz w:val="19"/>
          <w:szCs w:val="19"/>
          <w:b w:val="1"/>
          <w:bCs w:val="1"/>
          <w:color w:val="auto"/>
        </w:rPr>
        <w:t>W]]$S],7C-],WX@MKE6?,=QFQGNF@VRVCEEX(8)W MS3[I:H&lt;1=X #S)^4OK./:ZO=)JH(-G:8 !L?]FX]6/??GW3]'V*%??-</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[XSPO5?MZJR/D MTX&gt;8EKJ?1K9HP(DI&gt;@ !4ER&lt;\N.;_ #:\4( I&gt;YLOW 8_ MW']-LT_-R?#'#.\:770*1T=4 [%X7_'W*?DC?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[\Q9.3D1XA8QJ;[S01 MWYC_ K8ZPAU-59$6D(;@ B/D!Y!MV^:/9/B;,F&gt;V6\ M3X=V^WZV1C,:_!KOLU7T)GF&amp;%SBC(</w:t>
      </w:r>
    </w:p>
    <w:p>
      <w:pPr>
        <w:spacing w:after="0" w:line="229" w:lineRule="auto"/>
        <w:rPr>
          <w:sz w:val="20"/>
          <w:szCs w:val="20"/>
          <w:color w:val="auto"/>
        </w:rPr>
      </w:pPr>
      <w:r>
        <w:rPr>
          <w:rFonts w:ascii="Arial" w:cs="Arial" w:eastAsia="Arial" w:hAnsi="Arial"/>
          <w:sz w:val="21"/>
          <w:szCs w:val="21"/>
          <w:b w:val="1"/>
          <w:bCs w:val="1"/>
          <w:color w:val="auto"/>
        </w:rPr>
        <w:t>!O[Z)GZ8O&amp;;Z9OQ!;7*L^8[C- MC/=-!MEM'++P0P3OFGW2U0XB[P 'F3\I?6??;WI!</w:t>
      </w:r>
    </w:p>
    <w:p>
      <w:pPr>
        <w:spacing w:after="0" w:line="229" w:lineRule="auto"/>
        <w:rPr>
          <w:sz w:val="20"/>
          <w:szCs w:val="20"/>
          <w:color w:val="auto"/>
        </w:rPr>
      </w:pPr>
      <w:r>
        <w:rPr>
          <w:rFonts w:ascii="Arial" w:cs="Arial" w:eastAsia="Arial" w:hAnsi="Arial"/>
          <w:sz w:val="21"/>
          <w:szCs w:val="21"/>
          <w:b w:val="1"/>
          <w:bCs w:val="1"/>
          <w:color w:val="auto"/>
        </w:rPr>
        <w:t>MR$N3V)\&amp;81JNUZBFI2WC\0\&gt;UU&gt;Z3500;.TP #8_[-QZL&gt;^_/NGZ/L4* M^^;WQGA&gt;J_;U5D?)IP\Q+74^C6S1@1)2]</w:t>
      </w:r>
    </w:p>
    <w:p>
      <w:pPr>
        <w:spacing w:after="0" w:line="230" w:lineRule="auto"/>
        <w:rPr>
          <w:sz w:val="20"/>
          <w:szCs w:val="20"/>
          <w:color w:val="auto"/>
        </w:rPr>
      </w:pPr>
      <w:r>
        <w:rPr>
          <w:rFonts w:ascii="Arial" w:cs="Arial" w:eastAsia="Arial" w:hAnsi="Arial"/>
          <w:sz w:val="21"/>
          <w:szCs w:val="21"/>
          <w:b w:val="1"/>
          <w:bCs w:val="1"/>
          <w:color w:val="auto"/>
        </w:rPr>
        <w:t>"I+DYY&lt;"&amp;"=\T^Z6J'$7&gt; \R M?E+ZSG(SS[[&gt;](.0ER&gt;Q/@S"-5VO44U*6\?B'CVNKW2:J"#9VF ;'_9</w:t>
      </w:r>
    </w:p>
    <w:p>
      <w:pPr>
        <w:spacing w:after="0" w:line="229" w:lineRule="auto"/>
        <w:rPr>
          <w:sz w:val="20"/>
          <w:szCs w:val="20"/>
          <w:color w:val="auto"/>
        </w:rPr>
      </w:pPr>
      <w:r>
        <w:rPr>
          <w:rFonts w:ascii="Arial" w:cs="Arial" w:eastAsia="Arial" w:hAnsi="Arial"/>
          <w:sz w:val="21"/>
          <w:szCs w:val="21"/>
          <w:b w:val="1"/>
          <w:bCs w:val="1"/>
          <w:color w:val="auto"/>
        </w:rPr>
        <w:t>MN/5CWWY]T_1]BA7WS&gt;^,\+U7[&gt;JLCY-.'F):ZGT:V:,")*7H M 5)YLOW 8_P!Q_3;-/S%_P ?</w:t>
      </w:r>
    </w:p>
    <w:p>
      <w:pPr>
        <w:spacing w:after="0" w:line="229" w:lineRule="auto"/>
        <w:rPr>
          <w:sz w:val="20"/>
          <w:szCs w:val="20"/>
          <w:color w:val="auto"/>
        </w:rPr>
      </w:pPr>
      <w:r>
        <w:rPr>
          <w:rFonts w:ascii="Arial" w:cs="Arial" w:eastAsia="Arial" w:hAnsi="Arial"/>
          <w:sz w:val="21"/>
          <w:szCs w:val="21"/>
          <w:b w:val="1"/>
          <w:bCs w:val="1"/>
          <w:color w:val="auto"/>
        </w:rPr>
        <w:t>0;=OFCV3XFS)GMEO$^'=OM^MD8S&amp;OP:[[-5]"9YAAHIJ4MX_$/'M=7NDU M4$&amp;SM, V/\ LW'JQ[[\^Z?H^Q0K[YO?</w:t>
      </w:r>
    </w:p>
    <w:p>
      <w:pPr>
        <w:spacing w:after="0" w:line="230" w:lineRule="auto"/>
        <w:rPr>
          <w:sz w:val="20"/>
          <w:szCs w:val="20"/>
          <w:color w:val="auto"/>
        </w:rPr>
      </w:pPr>
      <w:r>
        <w:rPr>
          <w:rFonts w:ascii="Arial" w:cs="Arial" w:eastAsia="Arial" w:hAnsi="Arial"/>
          <w:sz w:val="21"/>
          <w:szCs w:val="21"/>
          <w:b w:val="1"/>
          <w:bCs w:val="1"/>
          <w:color w:val="auto"/>
        </w:rPr>
        <w:t>&amp;&gt;%ZK]O561\FG#S$M=3Z-;-&amp; M!$E+T *DN3GEQS?YM&gt;*$ 4O-+KH%(Z.J</w:t>
      </w:r>
    </w:p>
    <w:p>
      <w:pPr>
        <w:spacing w:after="0" w:line="229" w:lineRule="auto"/>
        <w:rPr>
          <w:sz w:val="20"/>
          <w:szCs w:val="20"/>
          <w:color w:val="auto"/>
        </w:rPr>
      </w:pPr>
      <w:r>
        <w:rPr>
          <w:rFonts w:ascii="Arial" w:cs="Arial" w:eastAsia="Arial" w:hAnsi="Arial"/>
          <w:sz w:val="21"/>
          <w:szCs w:val="21"/>
          <w:b w:val="1"/>
          <w:bCs w:val="1"/>
          <w:color w:val="auto"/>
        </w:rPr>
        <w:t>=B\+_C[E/R1O]^8LG)R(\0L8U-]YH([\Q_A6QUA#J:JR M(M(0W !$?(#R#;M\T&gt;R?$V9,]LMXGP[M]OULC&amp;8U^#7 M?</w:t>
      </w:r>
    </w:p>
    <w:p>
      <w:pPr>
        <w:spacing w:after="0"/>
        <w:rPr>
          <w:sz w:val="20"/>
          <w:szCs w:val="20"/>
          <w:color w:val="auto"/>
        </w:rPr>
      </w:pPr>
      <w:r>
        <w:rPr>
          <w:rFonts w:ascii="Arial" w:cs="Arial" w:eastAsia="Arial" w:hAnsi="Arial"/>
          <w:sz w:val="19"/>
          <w:szCs w:val="19"/>
          <w:b w:val="1"/>
          <w:bCs w:val="1"/>
          <w:color w:val="auto"/>
        </w:rPr>
        <w:t>9JOH3/,,+G%&amp;0 #?WT3/TQ&gt;,WTS?B"VN59\QW&amp;;&amp;&gt;Z:#;+:.67@A@G M?-/NEJAQ%W@ /,GY2^LYR,\^^WO2#D)8EKJ?</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1K9HP(DI&gt;@ !4ER&lt;\N.;_-KQ0@"E[FR_0;=OFCV3XFS)GMEO$ M^'=OM^MD8S&amp;OP:</w:t>
      </w:r>
    </w:p>
    <w:p>
      <w:pPr>
        <w:spacing w:after="0" w:line="229" w:lineRule="auto"/>
        <w:rPr>
          <w:sz w:val="20"/>
          <w:szCs w:val="20"/>
          <w:color w:val="auto"/>
        </w:rPr>
      </w:pPr>
      <w:r>
        <w:rPr>
          <w:rFonts w:ascii="Arial" w:cs="Arial" w:eastAsia="Arial" w:hAnsi="Arial"/>
          <w:sz w:val="21"/>
          <w:szCs w:val="21"/>
          <w:b w:val="1"/>
          <w:bCs w:val="1"/>
          <w:color w:val="auto"/>
        </w:rPr>
        <w:t>[[-5]"9YAAHIJ4MX_$/'M=7NDU4$&amp;SM, V/^S&lt;&gt;K'OOS[I^C[%"O MOF]\9X7JOV]59'R:7'-_F MUXH0!2]S9?N</w:t>
      </w:r>
    </w:p>
    <w:p>
      <w:pPr>
        <w:spacing w:after="0" w:line="229" w:lineRule="auto"/>
        <w:rPr>
          <w:sz w:val="20"/>
          <w:szCs w:val="20"/>
          <w:color w:val="auto"/>
        </w:rPr>
      </w:pPr>
      <w:r>
        <w:rPr>
          <w:rFonts w:ascii="Arial" w:cs="Arial" w:eastAsia="Arial" w:hAnsi="Arial"/>
          <w:sz w:val="21"/>
          <w:szCs w:val="21"/>
          <w:b w:val="1"/>
          <w:bCs w:val="1"/>
          <w:color w:val="auto"/>
        </w:rPr>
        <w:t>Q_N/Z;9I^;D^&amp;.&amp;=XTNN@4CHZH !V+PO^/N4_)&amp;_WYBR M"&amp;"=\T^Z6J'$7&gt; \R?E M+ZSG(SS[[&gt;]</w:t>
      </w:r>
    </w:p>
    <w:p>
      <w:pPr>
        <w:spacing w:after="0" w:line="230" w:lineRule="auto"/>
        <w:rPr>
          <w:sz w:val="20"/>
          <w:szCs w:val="20"/>
          <w:color w:val="auto"/>
        </w:rPr>
      </w:pPr>
      <w:r>
        <w:rPr>
          <w:rFonts w:ascii="Arial" w:cs="Arial" w:eastAsia="Arial" w:hAnsi="Arial"/>
          <w:sz w:val="21"/>
          <w:szCs w:val="21"/>
          <w:b w:val="1"/>
          <w:bCs w:val="1"/>
          <w:color w:val="auto"/>
        </w:rPr>
        <w:t>(.0ER&gt;Q/@S"-5VO44U*6\?B'CVNKW2:J"#9VF ;'_9N/ M5CWWY]T_1]BA7WS&gt;^,\+U7[&gt;JLCY-.'F):ZGT:V:,")*7H M</w:t>
      </w:r>
    </w:p>
    <w:p>
      <w:pPr>
        <w:spacing w:after="0" w:line="229" w:lineRule="auto"/>
        <w:rPr>
          <w:sz w:val="20"/>
          <w:szCs w:val="20"/>
          <w:color w:val="auto"/>
        </w:rPr>
      </w:pPr>
      <w:r>
        <w:rPr>
          <w:rFonts w:ascii="Arial" w:cs="Arial" w:eastAsia="Arial" w:hAnsi="Arial"/>
          <w:sz w:val="21"/>
          <w:szCs w:val="21"/>
          <w:b w:val="1"/>
          <w:bCs w:val="1"/>
          <w:color w:val="auto"/>
        </w:rPr>
        <w:t>5)YLOW 8_W']-LT_-R?#'#.\:770*1T=4 [%X M7_'W*?DC?[\Q9.3D1XA8QJ;[S01WYC_"MCK"'4U5D1:0AN M "</w:t>
      </w:r>
    </w:p>
    <w:p>
      <w:pPr>
        <w:spacing w:after="0" w:line="229" w:lineRule="auto"/>
        <w:rPr>
          <w:sz w:val="20"/>
          <w:szCs w:val="20"/>
          <w:color w:val="auto"/>
        </w:rPr>
      </w:pPr>
      <w:r>
        <w:rPr>
          <w:rFonts w:ascii="Arial" w:cs="Arial" w:eastAsia="Arial" w:hAnsi="Arial"/>
          <w:sz w:val="21"/>
          <w:szCs w:val="21"/>
          <w:b w:val="1"/>
          <w:bCs w:val="1"/>
          <w:color w:val="auto"/>
        </w:rPr>
        <w:t>(^0'D&amp;W;YH]D^)LR9[9;Q/AW;[?K9&amp;,QK\&amp;N^S5?0F&gt;887.*,@ M &amp;_OHF?</w:t>
      </w:r>
    </w:p>
    <w:p>
      <w:pPr>
        <w:spacing w:after="0" w:line="230" w:lineRule="auto"/>
        <w:rPr>
          <w:sz w:val="20"/>
          <w:szCs w:val="20"/>
          <w:color w:val="auto"/>
        </w:rPr>
      </w:pPr>
      <w:r>
        <w:rPr>
          <w:rFonts w:ascii="Arial" w:cs="Arial" w:eastAsia="Arial" w:hAnsi="Arial"/>
          <w:sz w:val="21"/>
          <w:szCs w:val="21"/>
          <w:b w:val="1"/>
          <w:bCs w:val="1"/>
          <w:color w:val="auto"/>
        </w:rPr>
        <w:t>IB\9OIF_$%M9/RE]9SD9Y]]O&gt;D'(2Y/8GP9A&amp;J[7J*:E+&gt;/Q#Q[75[I-5!!L[ M3 -C_LW'JQ[[\^Z?H^Q0K[YO?</w:t>
      </w:r>
    </w:p>
    <w:p>
      <w:pPr>
        <w:spacing w:after="0" w:line="229" w:lineRule="auto"/>
        <w:rPr>
          <w:sz w:val="20"/>
          <w:szCs w:val="20"/>
          <w:color w:val="auto"/>
        </w:rPr>
      </w:pPr>
      <w:r>
        <w:rPr>
          <w:rFonts w:ascii="Arial" w:cs="Arial" w:eastAsia="Arial" w:hAnsi="Arial"/>
          <w:sz w:val="21"/>
          <w:szCs w:val="21"/>
          <w:b w:val="1"/>
          <w:bCs w:val="1"/>
          <w:color w:val="auto"/>
        </w:rPr>
        <w:t>&amp;&gt;%ZK]O561\FG#S$M=3Z-;-&amp;!$E+T M *DN3GEQS?YM&gt;*$ 4O-+KH% M(Z.J =B\+_C[E/R1O\ ?F+)R:"._,?</w:t>
      </w:r>
    </w:p>
    <w:p>
      <w:pPr>
        <w:spacing w:after="0" w:line="229" w:lineRule="auto"/>
        <w:rPr>
          <w:sz w:val="20"/>
          <w:szCs w:val="20"/>
          <w:color w:val="auto"/>
        </w:rPr>
      </w:pPr>
      <w:r>
        <w:rPr>
          <w:rFonts w:ascii="Arial" w:cs="Arial" w:eastAsia="Arial" w:hAnsi="Arial"/>
          <w:sz w:val="21"/>
          <w:szCs w:val="21"/>
          <w:b w:val="1"/>
          <w:bCs w:val="1"/>
          <w:color w:val="auto"/>
        </w:rPr>
        <w:t>X5L=80ZFJLB+2$- MP 1'R \@V[?-'LGQ-F3/;+&gt;)\.[?;];(QF-?@UWV:KZ M$SS#"YQ1D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W]]$S],7C-],WX@MKE6?,=QFQGNF@VRVCEEX(8)WS3[I M:H&lt;1=X #S)^4OK./:ZO=)JH(-G:8 !L?]FX]6/??GW3]'V*%??-</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[XSPO5?MZJR/DTX&gt;8 MEKJ?1K9HP(DI&gt;@ !4ER&lt;\N.;_ #:\4( I&gt;YLOW 8_W']- MLT_-R?#'#.\:770*1T=4 [%X7_'W*?DC?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[\Q9.3D1XA8QJ;[S01WYC_ M K8ZPAU-59$6D(;@ B/D!Y!MV^:/9/B;,F&gt;V6\3X=V M^WZV1C,:_!KOLU7T)GF&amp;%SBC(</w:t>
      </w:r>
    </w:p>
    <w:p>
      <w:pPr>
        <w:spacing w:after="0" w:line="229" w:lineRule="auto"/>
        <w:rPr>
          <w:sz w:val="20"/>
          <w:szCs w:val="20"/>
          <w:color w:val="auto"/>
        </w:rPr>
      </w:pPr>
      <w:r>
        <w:rPr>
          <w:rFonts w:ascii="Arial" w:cs="Arial" w:eastAsia="Arial" w:hAnsi="Arial"/>
          <w:sz w:val="21"/>
          <w:szCs w:val="21"/>
          <w:b w:val="1"/>
          <w:bCs w:val="1"/>
          <w:color w:val="auto"/>
        </w:rPr>
        <w:t>!O[Z)GZ8O&amp;;Z9OQ!;7*L^8[C-C/=- M!MEM'++P0P3OFGW2U0XB[P 'F3\I?6??;WI!R$N3</w:t>
      </w:r>
    </w:p>
    <w:p>
      <w:pPr>
        <w:spacing w:after="0" w:line="229" w:lineRule="auto"/>
        <w:rPr>
          <w:sz w:val="20"/>
          <w:szCs w:val="20"/>
          <w:color w:val="auto"/>
        </w:rPr>
      </w:pPr>
      <w:r>
        <w:rPr>
          <w:rFonts w:ascii="Arial" w:cs="Arial" w:eastAsia="Arial" w:hAnsi="Arial"/>
          <w:sz w:val="21"/>
          <w:szCs w:val="21"/>
          <w:b w:val="1"/>
          <w:bCs w:val="1"/>
          <w:color w:val="auto"/>
        </w:rPr>
        <w:t>MV)\&amp;81JNUZBFI2WC\0\&gt;UU&gt;Z3500;.TP #8_[-QZL&gt;^_/NGZ/L4*^^;W MQGA&gt;J_;U5D?)IP\Q+74^C6S1@1)2]</w:t>
      </w:r>
    </w:p>
    <w:p>
      <w:pPr>
        <w:spacing w:after="0" w:line="230" w:lineRule="auto"/>
        <w:rPr>
          <w:sz w:val="20"/>
          <w:szCs w:val="20"/>
          <w:color w:val="auto"/>
        </w:rPr>
      </w:pPr>
      <w:r>
        <w:rPr>
          <w:rFonts w:ascii="Arial" w:cs="Arial" w:eastAsia="Arial" w:hAnsi="Arial"/>
          <w:sz w:val="21"/>
          <w:szCs w:val="21"/>
          <w:b w:val="1"/>
          <w:bCs w:val="1"/>
          <w:color w:val="auto"/>
        </w:rPr>
        <w:t>"I+DYY&lt;"&amp;"=\T^Z6J'$7&gt; \R?E+Z MSG(SS[[&gt;](.0ER&gt;Q/@S"-5VO44U*6\?B'CVNKW2:J"#9VF ;'_9N/5C</w:t>
      </w:r>
    </w:p>
    <w:p>
      <w:pPr>
        <w:spacing w:after="0" w:line="229" w:lineRule="auto"/>
        <w:rPr>
          <w:sz w:val="20"/>
          <w:szCs w:val="20"/>
          <w:color w:val="auto"/>
        </w:rPr>
      </w:pPr>
      <w:r>
        <w:rPr>
          <w:rFonts w:ascii="Arial" w:cs="Arial" w:eastAsia="Arial" w:hAnsi="Arial"/>
          <w:sz w:val="21"/>
          <w:szCs w:val="21"/>
          <w:b w:val="1"/>
          <w:bCs w:val="1"/>
          <w:color w:val="auto"/>
        </w:rPr>
        <w:t>MWWY]T_1]BA7WS&gt;^,\+U7[&gt;JLCY-.'F):ZGT:V:,")*7H M 5)YLOW 8_P!Q_3;-/S% M_P ?</w:t>
      </w:r>
    </w:p>
    <w:p>
      <w:pPr>
        <w:spacing w:after="0" w:line="229" w:lineRule="auto"/>
        <w:rPr>
          <w:sz w:val="20"/>
          <w:szCs w:val="20"/>
          <w:color w:val="auto"/>
        </w:rPr>
      </w:pPr>
      <w:r>
        <w:rPr>
          <w:rFonts w:ascii="Arial" w:cs="Arial" w:eastAsia="Arial" w:hAnsi="Arial"/>
          <w:sz w:val="21"/>
          <w:szCs w:val="21"/>
          <w:b w:val="1"/>
          <w:bCs w:val="1"/>
          <w:color w:val="auto"/>
        </w:rPr>
        <w:t>0;=OFCV3XFS)GMEO$^'=OM^MD8S&amp;OP:[[-5]"9YAAHIJ4MX_$/'M=7NDU4$&amp;S MM, V/\ LW'JQ[[\^Z?H^Q0K[YO?</w:t>
      </w:r>
    </w:p>
    <w:p>
      <w:pPr>
        <w:spacing w:after="0" w:line="230" w:lineRule="auto"/>
        <w:rPr>
          <w:sz w:val="20"/>
          <w:szCs w:val="20"/>
          <w:color w:val="auto"/>
        </w:rPr>
      </w:pPr>
      <w:r>
        <w:rPr>
          <w:rFonts w:ascii="Arial" w:cs="Arial" w:eastAsia="Arial" w:hAnsi="Arial"/>
          <w:sz w:val="21"/>
          <w:szCs w:val="21"/>
          <w:b w:val="1"/>
          <w:bCs w:val="1"/>
          <w:color w:val="auto"/>
        </w:rPr>
        <w:t>&amp;&gt;%ZK]O561\FG#S$M=3Z-;-&amp;!$E+ MT *DN3GEQS?YM&gt;*$ 4O-+K MH%(Z.J</w:t>
      </w:r>
    </w:p>
    <w:p>
      <w:pPr>
        <w:spacing w:after="0" w:line="229" w:lineRule="auto"/>
        <w:rPr>
          <w:sz w:val="20"/>
          <w:szCs w:val="20"/>
          <w:color w:val="auto"/>
        </w:rPr>
      </w:pPr>
      <w:r>
        <w:rPr>
          <w:rFonts w:ascii="Arial" w:cs="Arial" w:eastAsia="Arial" w:hAnsi="Arial"/>
          <w:sz w:val="21"/>
          <w:szCs w:val="21"/>
          <w:b w:val="1"/>
          <w:bCs w:val="1"/>
          <w:color w:val="auto"/>
        </w:rPr>
        <w:t>=B\+_C[E/R1O]^8LG)R(\0L8U-]YH([\Q_A6QUA#J:JR(M(0 MW !$?(#R#;M\T&gt;R?$V9,]LMXGP[M]OULC&amp;8U^#7?9JO</w:t>
      </w:r>
    </w:p>
    <w:p>
      <w:pPr>
        <w:spacing w:after="0"/>
        <w:rPr>
          <w:sz w:val="20"/>
          <w:szCs w:val="20"/>
          <w:color w:val="auto"/>
        </w:rPr>
      </w:pPr>
      <w:r>
        <w:rPr>
          <w:rFonts w:ascii="Arial" w:cs="Arial" w:eastAsia="Arial" w:hAnsi="Arial"/>
          <w:sz w:val="19"/>
          <w:szCs w:val="19"/>
          <w:b w:val="1"/>
          <w:bCs w:val="1"/>
          <w:color w:val="auto"/>
        </w:rPr>
        <w:t>MH3/,,+G%&amp;0 #?WT3/TQ&gt;,WTS?B"VN59\QW&amp;;&amp;&gt;Z:#;+:.67@A@G?-/N MEJAQ%W@ /,GY2^LYR,\^^WO2#D)8EKJ?</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1K9HP(DI&gt;@ !4ER&lt;\N.;_-KQ0@"E[FR_0;=OFCV3XFS)GMEO$^'=O MM^MD8S&amp;OP:</w:t>
      </w:r>
    </w:p>
    <w:p>
      <w:pPr>
        <w:sectPr>
          <w:pgSz w:w="11900" w:h="16838" w:orient="portrait"/>
          <w:cols w:equalWidth="0" w:num="1">
            <w:col w:w="11140"/>
          </w:cols>
          <w:pgMar w:left="320" w:top="114" w:right="439" w:bottom="0" w:gutter="0" w:footer="0" w:header="0"/>
        </w:sectPr>
      </w:pPr>
    </w:p>
    <w:bookmarkStart w:id="81" w:name="page82"/>
    <w:bookmarkEnd w:id="81"/>
    <w:p>
      <w:pPr>
        <w:spacing w:after="0"/>
        <w:rPr>
          <w:sz w:val="20"/>
          <w:szCs w:val="20"/>
          <w:color w:val="auto"/>
        </w:rPr>
      </w:pPr>
      <w:r>
        <w:rPr>
          <w:rFonts w:ascii="Arial" w:cs="Arial" w:eastAsia="Arial" w:hAnsi="Arial"/>
          <w:sz w:val="21"/>
          <w:szCs w:val="21"/>
          <w:b w:val="1"/>
          <w:bCs w:val="1"/>
          <w:color w:val="auto"/>
        </w:rPr>
        <w:t>[[-5]"9YAAHIJ4MX_$/'M=7NDU4$&amp;SM, V/^S&lt;&gt;K'OOS[I^C[%"OOF]\ M9X7JOV]59'R:7'-_FUXH0 M!2]S9?N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Q_N/Z;9I^;D^&amp;.&amp;=XTNN@4CHZH !V+PO^/N4_)&amp;_WYBR"&amp;"=\T^Z6J'$7&gt; \R?E+ZSG M(SS[[&gt;]</w:t>
      </w:r>
    </w:p>
    <w:p>
      <w:pPr>
        <w:spacing w:after="0" w:line="229" w:lineRule="auto"/>
        <w:rPr>
          <w:sz w:val="20"/>
          <w:szCs w:val="20"/>
          <w:color w:val="auto"/>
        </w:rPr>
      </w:pPr>
      <w:r>
        <w:rPr>
          <w:rFonts w:ascii="Arial" w:cs="Arial" w:eastAsia="Arial" w:hAnsi="Arial"/>
          <w:sz w:val="21"/>
          <w:szCs w:val="21"/>
          <w:b w:val="1"/>
          <w:bCs w:val="1"/>
          <w:color w:val="auto"/>
        </w:rPr>
        <w:t>(.0ER&gt;Q/@S"-5VO44U*6\?B'CVNKW2:J"#9VF ;'_9N/5CWW MY]T_1]BA7WS&gt;^,\+U7[&gt;JLCY-.'F):ZGT:V:,")*7H 5</w:t>
      </w:r>
    </w:p>
    <w:p>
      <w:pPr>
        <w:spacing w:after="0" w:line="229" w:lineRule="auto"/>
        <w:rPr>
          <w:sz w:val="20"/>
          <w:szCs w:val="20"/>
          <w:color w:val="auto"/>
        </w:rPr>
      </w:pPr>
      <w:r>
        <w:rPr>
          <w:rFonts w:ascii="Arial" w:cs="Arial" w:eastAsia="Arial" w:hAnsi="Arial"/>
          <w:sz w:val="21"/>
          <w:szCs w:val="21"/>
          <w:b w:val="1"/>
          <w:bCs w:val="1"/>
          <w:color w:val="auto"/>
        </w:rPr>
        <w:t>M)YLOW 8_W']-LT_-R?#'#.\:770*1T=4 [%X7_'W M*?DC?[\Q9.3D1XA8QJ;[S01WYC_"MCK"'4U5D1:0AN M"</w:t>
      </w:r>
    </w:p>
    <w:p>
      <w:pPr>
        <w:spacing w:after="0" w:line="230" w:lineRule="auto"/>
        <w:rPr>
          <w:sz w:val="20"/>
          <w:szCs w:val="20"/>
          <w:color w:val="auto"/>
        </w:rPr>
      </w:pPr>
      <w:r>
        <w:rPr>
          <w:rFonts w:ascii="Arial" w:cs="Arial" w:eastAsia="Arial" w:hAnsi="Arial"/>
          <w:sz w:val="21"/>
          <w:szCs w:val="21"/>
          <w:b w:val="1"/>
          <w:bCs w:val="1"/>
          <w:color w:val="auto"/>
        </w:rPr>
        <w:t>(^0'D&amp;W;YH]D^)LR9[9;Q/AW;[?K9&amp;,QK\&amp;N^S5?0F&gt;887.*,@ &amp;_O MHF?</w:t>
      </w:r>
    </w:p>
    <w:p>
      <w:pPr>
        <w:spacing w:after="0" w:line="229" w:lineRule="auto"/>
        <w:rPr>
          <w:sz w:val="20"/>
          <w:szCs w:val="20"/>
          <w:color w:val="auto"/>
        </w:rPr>
      </w:pPr>
      <w:r>
        <w:rPr>
          <w:rFonts w:ascii="Arial" w:cs="Arial" w:eastAsia="Arial" w:hAnsi="Arial"/>
          <w:sz w:val="21"/>
          <w:szCs w:val="21"/>
          <w:b w:val="1"/>
          <w:bCs w:val="1"/>
          <w:color w:val="auto"/>
        </w:rPr>
        <w:t>IB\9OIF_$%M9/RE]9SD9Y]]O&gt;D'(2Y/8GP9A&amp;J[7J*:E+&gt;/Q#Q[75[I-5!!L[3 M -C_LW'JQ[[\^Z?H^Q0K[YO?</w:t>
      </w:r>
    </w:p>
    <w:p>
      <w:pPr>
        <w:spacing w:after="0" w:line="229" w:lineRule="auto"/>
        <w:rPr>
          <w:sz w:val="20"/>
          <w:szCs w:val="20"/>
          <w:color w:val="auto"/>
        </w:rPr>
      </w:pPr>
      <w:r>
        <w:rPr>
          <w:rFonts w:ascii="Arial" w:cs="Arial" w:eastAsia="Arial" w:hAnsi="Arial"/>
          <w:sz w:val="21"/>
          <w:szCs w:val="21"/>
          <w:b w:val="1"/>
          <w:bCs w:val="1"/>
          <w:color w:val="auto"/>
        </w:rPr>
        <w:t>&amp;&gt;%ZK]O561\FG#S$M=3Z-;-&amp;!$E+T M *DN3GEQS?YM&gt;*$ 4O-+KH%(Z.J M =B\+_C[E/R1O\ ?F+)R:"._,?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X5L=80ZFJLB+2$-P M !6QO[J0_P! ]MY9J;[!74GW3\%/&lt;'_^3- \6_ZC:DR7W=QF&amp;R7_ .D\ MR^',-[L^XWNS[GO_ /AD_!Y-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JX0_Q=Z[J[U"&amp;7Z8"'/S@OVN.L5]R3ZS1F^&gt; M ?G!?M&lt;=8K[DGUFC-\\ _."_:XZQ7W)/K-&amp;;YX!^&lt;%^UQUBON2?</w:t>
      </w:r>
    </w:p>
    <w:p>
      <w:pPr>
        <w:spacing w:after="0" w:line="229" w:lineRule="auto"/>
        <w:rPr>
          <w:sz w:val="20"/>
          <w:szCs w:val="20"/>
          <w:color w:val="auto"/>
        </w:rPr>
      </w:pPr>
      <w:r>
        <w:rPr>
          <w:rFonts w:ascii="Arial" w:cs="Arial" w:eastAsia="Arial" w:hAnsi="Arial"/>
          <w:sz w:val="21"/>
          <w:szCs w:val="21"/>
          <w:b w:val="1"/>
          <w:bCs w:val="1"/>
          <w:color w:val="auto"/>
        </w:rPr>
        <w:t>6:,WSP#\X M+]KCK%? ^&amp;VAU6 MW^;:TV)AD5TO&gt;K\WE,MP7+&lt;8C5Y#A0LDP0?ST!(13-9\JVV*[&lt;)LTW#NVY6Y</w:t>
      </w:r>
    </w:p>
    <w:p>
      <w:pPr>
        <w:spacing w:after="0" w:line="229" w:lineRule="auto"/>
        <w:rPr>
          <w:sz w:val="20"/>
          <w:szCs w:val="20"/>
          <w:color w:val="auto"/>
        </w:rPr>
      </w:pPr>
      <w:r>
        <w:rPr>
          <w:rFonts w:ascii="Arial" w:cs="Arial" w:eastAsia="Arial" w:hAnsi="Arial"/>
          <w:sz w:val="21"/>
          <w:szCs w:val="21"/>
          <w:b w:val="1"/>
          <w:bCs w:val="1"/>
          <w:color w:val="auto"/>
        </w:rPr>
        <w:t>M-)6^EE*UMLNKV4KDL%NJ6'8Q:8A7RQHT+FE4FA+DC-&amp;62&gt;6:,(0C&amp;$,N2'1E MC"&amp;7RQ@_'B%O/=X?</w:t>
      </w:r>
    </w:p>
    <w:p>
      <w:pPr>
        <w:spacing w:after="0" w:line="230" w:lineRule="auto"/>
        <w:rPr>
          <w:sz w:val="20"/>
          <w:szCs w:val="20"/>
          <w:color w:val="auto"/>
        </w:rPr>
      </w:pPr>
      <w:r>
        <w:rPr>
          <w:rFonts w:ascii="Arial" w:cs="Arial" w:eastAsia="Arial" w:hAnsi="Arial"/>
          <w:sz w:val="21"/>
          <w:szCs w:val="21"/>
          <w:b w:val="1"/>
          <w:bCs w:val="1"/>
          <w:color w:val="auto"/>
        </w:rPr>
        <w:t>7M:&gt;2%2K1GDA&amp;/DRS2QA#+DA&amp;.3+'IR0C_P8Y_LD_L+YP?=_L+YP?=G?STS?B3P[T_Q\V/TS.J_-9GK_\ J![LR&gt;$\</w:t>
      </w:r>
    </w:p>
    <w:p>
      <w:pPr>
        <w:spacing w:after="0" w:line="229" w:lineRule="auto"/>
        <w:rPr>
          <w:sz w:val="20"/>
          <w:szCs w:val="20"/>
          <w:color w:val="auto"/>
        </w:rPr>
      </w:pPr>
      <w:r>
        <w:rPr>
          <w:rFonts w:ascii="Arial" w:cs="Arial" w:eastAsia="Arial" w:hAnsi="Arial"/>
          <w:sz w:val="21"/>
          <w:szCs w:val="21"/>
          <w:b w:val="1"/>
          <w:bCs w:val="1"/>
          <w:color w:val="auto"/>
        </w:rPr>
        <w:t>M,I&gt;2QAS\*]HYMFT=[F/9W,,;E5N\Q62()K=]9(]RXL4MM[NREJET,-[&amp;UF&amp;[ M=[P,0VKPB2M3PZZ]1F2UH2RU(&gt;JMJ-</w:t>
      </w:r>
    </w:p>
    <w:p>
      <w:pPr>
        <w:spacing w:after="0" w:line="229" w:lineRule="auto"/>
        <w:rPr>
          <w:sz w:val="20"/>
          <w:szCs w:val="20"/>
          <w:color w:val="auto"/>
        </w:rPr>
      </w:pPr>
      <w:r>
        <w:rPr>
          <w:rFonts w:ascii="Arial" w:cs="Arial" w:eastAsia="Arial" w:hAnsi="Arial"/>
          <w:sz w:val="21"/>
          <w:szCs w:val="21"/>
          <w:b w:val="1"/>
          <w:bCs w:val="1"/>
          <w:color w:val="auto"/>
        </w:rPr>
        <w:t>&amp;;.A)/4EAEFIS1ADGC_+&amp;$8Y(Y80G# MN?V-Q3=_NZP[9'&amp;:E"KB5I_N,^:C-/-2CZVZK5I2G/')+4EA-EDA_-",</w:t>
      </w:r>
    </w:p>
    <w:p>
      <w:pPr>
        <w:spacing w:after="0" w:line="230" w:lineRule="auto"/>
        <w:rPr>
          <w:sz w:val="20"/>
          <w:szCs w:val="20"/>
          <w:color w:val="auto"/>
        </w:rPr>
      </w:pPr>
      <w:r>
        <w:rPr>
          <w:rFonts w:ascii="Arial" w:cs="Arial" w:eastAsia="Arial" w:hAnsi="Arial"/>
          <w:sz w:val="21"/>
          <w:szCs w:val="21"/>
          <w:b w:val="1"/>
          <w:bCs w:val="1"/>
          <w:color w:val="auto"/>
        </w:rPr>
        <w:t>M(989(Q[4_."_:XZQ7W)/K-.=9OG@Z6?G!?M&lt;=8K[DGUFC-\\ _."_:XZQ7W) M/K-&amp;;YX!^&lt;%^UQUBON2?</w:t>
      </w:r>
    </w:p>
    <w:p>
      <w:pPr>
        <w:spacing w:after="0" w:line="229" w:lineRule="auto"/>
        <w:rPr>
          <w:sz w:val="20"/>
          <w:szCs w:val="20"/>
          <w:color w:val="auto"/>
        </w:rPr>
      </w:pPr>
      <w:r>
        <w:rPr>
          <w:rFonts w:ascii="Arial" w:cs="Arial" w:eastAsia="Arial" w:hAnsi="Arial"/>
          <w:sz w:val="21"/>
          <w:szCs w:val="21"/>
          <w:b w:val="1"/>
          <w:bCs w:val="1"/>
          <w:color w:val="auto"/>
        </w:rPr>
        <w:t>6:,WSP#\X+]KCK%? ?G!?M&lt;=8K[DGUFC-\\ _."_:XZQ7W)/K-&amp;;YX M!^&lt;%^UQUBON2?6:,WSP#\X+]KCK%? ?G!?</w:t>
      </w:r>
    </w:p>
    <w:p>
      <w:pPr>
        <w:spacing w:after="0" w:line="229" w:lineRule="auto"/>
        <w:rPr>
          <w:sz w:val="20"/>
          <w:szCs w:val="20"/>
          <w:color w:val="auto"/>
        </w:rPr>
      </w:pPr>
      <w:r>
        <w:rPr>
          <w:rFonts w:ascii="Arial" w:cs="Arial" w:eastAsia="Arial" w:hAnsi="Arial"/>
          <w:sz w:val="21"/>
          <w:szCs w:val="21"/>
          <w:b w:val="1"/>
          <w:bCs w:val="1"/>
          <w:color w:val="auto"/>
        </w:rPr>
        <w:t>M&lt;=8K[DGUFC-\\ _."_:XZQ7W)/K-&amp;;YX!^&lt;%^UQ MUBON2?6:,WSP&amp;/G&lt;_'KF5L7&lt;.V-@PG</w:t>
      </w:r>
    </w:p>
    <w:p>
      <w:pPr>
        <w:spacing w:after="0" w:line="230" w:lineRule="auto"/>
        <w:rPr>
          <w:sz w:val="20"/>
          <w:szCs w:val="20"/>
          <w:color w:val="auto"/>
        </w:rPr>
      </w:pPr>
      <w:r>
        <w:rPr>
          <w:rFonts w:ascii="Arial" w:cs="Arial" w:eastAsia="Arial" w:hAnsi="Arial"/>
          <w:sz w:val="21"/>
          <w:szCs w:val="21"/>
          <w:b w:val="1"/>
          <w:bCs w:val="1"/>
          <w:color w:val="auto"/>
        </w:rPr>
        <w:t>/G&gt;UAL[V5G&gt;91#:5XK[40DVT9D^42 MLVP0DD6D*^:(OT6CZRU:U)99.U2E:6WWT[+JS\V=YI]WN$;/V.%7-IC$UQ:V</w:t>
      </w:r>
    </w:p>
    <w:p>
      <w:pPr>
        <w:spacing w:after="0" w:line="229" w:lineRule="auto"/>
        <w:rPr>
          <w:sz w:val="20"/>
          <w:szCs w:val="20"/>
          <w:color w:val="auto"/>
        </w:rPr>
      </w:pPr>
      <w:r>
        <w:rPr>
          <w:rFonts w:ascii="Arial" w:cs="Arial" w:eastAsia="Arial" w:hAnsi="Arial"/>
          <w:sz w:val="21"/>
          <w:szCs w:val="21"/>
          <w:b w:val="1"/>
          <w:bCs w:val="1"/>
          <w:color w:val="auto"/>
        </w:rPr>
        <w:t>M=&amp;E-&amp;6E;1EC-3IRR31EC&amp;[EC&amp;6,98Y(QA".3RPAY%&gt;&gt;UG*9O&amp;Q[:K$\_L+YP?=_L+YP?=&lt; MVY_+8^;?=O[EC?U-</w:t>
      </w:r>
    </w:p>
    <w:p>
      <w:pPr>
        <w:spacing w:after="0" w:line="229" w:lineRule="auto"/>
        <w:rPr>
          <w:sz w:val="20"/>
          <w:szCs w:val="20"/>
          <w:color w:val="auto"/>
        </w:rPr>
      </w:pPr>
      <w:r>
        <w:rPr>
          <w:rFonts w:ascii="Arial" w:cs="Arial" w:eastAsia="Arial" w:hAnsi="Arial"/>
          <w:sz w:val="21"/>
          <w:szCs w:val="21"/>
          <w:b w:val="1"/>
          <w:bCs w:val="1"/>
          <w:color w:val="auto"/>
        </w:rPr>
        <w:t>K\8?)MO.]^P'ZZ[^"7Y])/DOMO@7I[9NOMO]-KJB9',Y MGLJS,HMSK;AWDTQ&amp;</w:t>
      </w:r>
    </w:p>
    <w:p>
      <w:pPr>
        <w:spacing w:after="0" w:line="230" w:lineRule="auto"/>
        <w:rPr>
          <w:sz w:val="20"/>
          <w:szCs w:val="20"/>
          <w:color w:val="auto"/>
        </w:rPr>
      </w:pPr>
      <w:r>
        <w:rPr>
          <w:rFonts w:ascii="Arial" w:cs="Arial" w:eastAsia="Arial" w:hAnsi="Arial"/>
          <w:sz w:val="21"/>
          <w:szCs w:val="21"/>
          <w:b w:val="1"/>
          <w:bCs w:val="1"/>
          <w:color w:val="auto"/>
        </w:rPr>
        <w:t>(1EN+PD)5!^MD\]A[M)_X7&amp;WW=RFBJGWNMM&gt;[[:UMI%W M?MO*P'&gt;?</w:t>
      </w:r>
    </w:p>
    <w:p>
      <w:pPr>
        <w:spacing w:after="0" w:line="229" w:lineRule="auto"/>
        <w:rPr>
          <w:sz w:val="20"/>
          <w:szCs w:val="20"/>
          <w:color w:val="auto"/>
        </w:rPr>
      </w:pPr>
      <w:r>
        <w:rPr>
          <w:rFonts w:ascii="Arial" w:cs="Arial" w:eastAsia="Arial" w:hAnsi="Arial"/>
          <w:sz w:val="21"/>
          <w:szCs w:val="21"/>
          <w:b w:val="1"/>
          <w:bCs w:val="1"/>
          <w:color w:val="auto"/>
        </w:rPr>
        <w:t>M!9XK@%*ZHV]O9^JFA&lt;2TY)HS&gt;LGGRRPIU:L(RY)H=,8PCER]'TI M;;@-V&amp;/[JME;O ]H:UG6N[C$)J\L;&gt;:I/)"2-</w:t>
      </w:r>
    </w:p>
    <w:p>
      <w:pPr>
        <w:spacing w:after="0" w:line="229" w:lineRule="auto"/>
        <w:rPr>
          <w:sz w:val="20"/>
          <w:szCs w:val="20"/>
          <w:color w:val="auto"/>
        </w:rPr>
      </w:pPr>
      <w:r>
        <w:rPr>
          <w:rFonts w:ascii="Arial" w:cs="Arial" w:eastAsia="Arial" w:hAnsi="Arial"/>
          <w:sz w:val="21"/>
          <w:szCs w:val="21"/>
          <w:b w:val="1"/>
          <w:bCs w:val="1"/>
          <w:color w:val="auto"/>
        </w:rPr>
        <w:t>&amp;C3A":-6E1FSLZG-')"6,,D M8=.7+"%KWYP7[7'6*^Y)]9IPW-\\'=C\X+]KCK%? ?G!?M&lt;=8K[DGUFC-\\ _."_:XZQ7W)/K-</w:t>
      </w:r>
    </w:p>
    <w:p>
      <w:pPr>
        <w:spacing w:after="0" w:line="230" w:lineRule="auto"/>
        <w:rPr>
          <w:sz w:val="20"/>
          <w:szCs w:val="20"/>
          <w:color w:val="auto"/>
        </w:rPr>
      </w:pPr>
      <w:r>
        <w:rPr>
          <w:rFonts w:ascii="Arial" w:cs="Arial" w:eastAsia="Arial" w:hAnsi="Arial"/>
          <w:sz w:val="21"/>
          <w:szCs w:val="21"/>
          <w:b w:val="1"/>
          <w:bCs w:val="1"/>
          <w:color w:val="auto"/>
        </w:rPr>
        <w:t>M&amp;;YX!^&lt;%^UQUBON2?6:,WSP#\X+]KCK%? ?G!?M&lt;=8K[DGUFC-\\ _."_:XZQ7W)/K-&amp;;YX!^&lt; M%^UQUBON2?</w:t>
      </w:r>
    </w:p>
    <w:p>
      <w:pPr>
        <w:spacing w:after="0" w:line="229" w:lineRule="auto"/>
        <w:rPr>
          <w:sz w:val="20"/>
          <w:szCs w:val="20"/>
          <w:color w:val="auto"/>
        </w:rPr>
      </w:pPr>
      <w:r>
        <w:rPr>
          <w:rFonts w:ascii="Arial" w:cs="Arial" w:eastAsia="Arial" w:hAnsi="Arial"/>
          <w:sz w:val="21"/>
          <w:szCs w:val="21"/>
          <w:b w:val="1"/>
          <w:bCs w:val="1"/>
          <w:color w:val="auto"/>
        </w:rPr>
        <w:t>6:,WSP#\X+]KCK%? X;W%SISS8.QLBR^&amp;Z9W5&lt;;1LO[D&gt;#(2G#.91?6&gt; 049%K=_</w:t>
      </w:r>
    </w:p>
    <w:p>
      <w:pPr>
        <w:spacing w:after="0" w:line="229" w:lineRule="auto"/>
        <w:rPr>
          <w:sz w:val="20"/>
          <w:szCs w:val="20"/>
          <w:color w:val="auto"/>
        </w:rPr>
      </w:pPr>
      <w:r>
        <w:rPr>
          <w:rFonts w:ascii="Arial" w:cs="Arial" w:eastAsia="Arial" w:hAnsi="Arial"/>
          <w:sz w:val="21"/>
          <w:szCs w:val="21"/>
          <w:b w:val="1"/>
          <w:bCs w:val="1"/>
          <w:color w:val="auto"/>
        </w:rPr>
        <w:t>M2:9&lt;];V]TX97UM[E6[MLK2M&gt;RO;2E?6^_E/WB;R]Z&amp;*;;8%?8)2PJ]_VV9)7</w:t>
      </w:r>
    </w:p>
    <w:p>
      <w:pPr>
        <w:spacing w:after="0" w:line="230" w:lineRule="auto"/>
        <w:rPr>
          <w:sz w:val="20"/>
          <w:szCs w:val="20"/>
          <w:color w:val="auto"/>
        </w:rPr>
      </w:pPr>
      <w:r>
        <w:rPr>
          <w:rFonts w:ascii="Arial" w:cs="Arial" w:eastAsia="Arial" w:hAnsi="Arial"/>
          <w:sz w:val="21"/>
          <w:szCs w:val="21"/>
          <w:b w:val="1"/>
          <w:bCs w:val="1"/>
          <w:color w:val="auto"/>
        </w:rPr>
        <w:t>MK7,M6'J;2A0FSY:=G5DAEGI31ER5)LLL81CDCEA"3N[S?5LMLEL=9[/XE;XA</w:t>
      </w:r>
    </w:p>
    <w:p>
      <w:pPr>
        <w:spacing w:after="0"/>
        <w:rPr>
          <w:sz w:val="20"/>
          <w:szCs w:val="20"/>
          <w:color w:val="auto"/>
        </w:rPr>
      </w:pPr>
      <w:r>
        <w:rPr>
          <w:rFonts w:ascii="Arial" w:cs="Arial" w:eastAsia="Arial" w:hAnsi="Arial"/>
          <w:sz w:val="19"/>
          <w:szCs w:val="19"/>
          <w:b w:val="1"/>
          <w:bCs w:val="1"/>
          <w:color w:val="auto"/>
        </w:rPr>
        <w:t>M/&gt;V_KI4AFQFKR31R2SPA'++#IRY,L.F,9_:VVA_VU&gt;J;]SC( M?YD.4_(IO;_,MF_M%[_V]NOS&amp;[$&gt;ZXK]5;_$GVMMH?\</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;5ZIOW.,A_F0?(IO M;_,MF_M%[_V\^8W8CW7%?JK?XD^UMM#_ +:O5-^YQD/\R#Y%-[?YELW]HO?^ MWGS&amp;</w:t>
      </w:r>
    </w:p>
    <w:p>
      <w:pPr>
        <w:spacing w:after="0" w:line="229" w:lineRule="auto"/>
        <w:rPr>
          <w:sz w:val="20"/>
          <w:szCs w:val="20"/>
          <w:color w:val="auto"/>
        </w:rPr>
      </w:pPr>
      <w:r>
        <w:rPr>
          <w:rFonts w:ascii="Arial" w:cs="Arial" w:eastAsia="Arial" w:hAnsi="Arial"/>
          <w:sz w:val="21"/>
          <w:szCs w:val="21"/>
          <w:b w:val="1"/>
          <w:bCs w:val="1"/>
          <w:color w:val="auto"/>
        </w:rPr>
        <w:t>[$&gt;ZXK]5;_$GVMMH?]M7JF__P#;SYC=B/=&lt;5^JM_B4]\?&gt;H3E^J,FFI</w:t>
      </w:r>
    </w:p>
    <w:p>
      <w:pPr>
        <w:spacing w:after="0" w:line="229" w:lineRule="auto"/>
        <w:rPr>
          <w:sz w:val="20"/>
          <w:szCs w:val="20"/>
          <w:color w:val="auto"/>
        </w:rPr>
      </w:pPr>
      <w:r>
        <w:rPr>
          <w:rFonts w:ascii="Arial" w:cs="Arial" w:eastAsia="Arial" w:hAnsi="Arial"/>
          <w:sz w:val="21"/>
          <w:szCs w:val="21"/>
          <w:b w:val="1"/>
          <w:bCs w:val="1"/>
          <w:color w:val="auto"/>
        </w:rPr>
        <w:t>MG(NF3U97K61@KHQ!.%X82CAQ8XK(,G7=JVOLUCD[4&gt;]M[J=M+[KNZK3^'9_&amp; MDCN6KETVVW-</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[4W^.;3W&gt;$U[2ZP_U$D+6K7GGA/ZZG4RS0JVU"$)UO4V&gt;V\P6VPW"*-[3KT;KULT:TE*66,OJYY ?G!?M&lt;=8K[DGUFC-\\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_."_:XZQ7W)/K-&amp;;YX!^&lt;%^UQUBON2?6:,W MSP#\X+]KCK%?2P6-_"C,^'/N'A^-^[DHUB_=_*YO^HKKW'QJ'\*\(?</w:t>
      </w:r>
    </w:p>
    <w:p>
      <w:pPr>
        <w:spacing w:after="0" w:line="229" w:lineRule="auto"/>
        <w:rPr>
          <w:sz w:val="20"/>
          <w:szCs w:val="20"/>
          <w:color w:val="auto"/>
        </w:rPr>
      </w:pPr>
      <w:r>
        <w:rPr>
          <w:rFonts w:ascii="Arial" w:cs="Arial" w:eastAsia="Arial" w:hAnsi="Arial"/>
          <w:sz w:val="21"/>
          <w:szCs w:val="21"/>
          <w:b w:val="1"/>
          <w:bCs w:val="1"/>
          <w:color w:val="auto"/>
        </w:rPr>
        <w:t>NN]*&gt;#M4[U.YN[ MGLJS?/ 6RGD M 'Q&amp;S=C8;I[6^P=N; M%FFV-Z^U;A&amp;5[&amp;SK(GG=&gt;"0&amp;&amp;X1</w:t>
      </w:r>
    </w:p>
    <w:p>
      <w:pPr>
        <w:spacing w:after="0" w:line="229" w:lineRule="auto"/>
        <w:rPr>
          <w:sz w:val="20"/>
          <w:szCs w:val="20"/>
          <w:color w:val="auto"/>
        </w:rPr>
      </w:pPr>
      <w:r>
        <w:rPr>
          <w:rFonts w:ascii="Arial" w:cs="Arial" w:eastAsia="Arial" w:hAnsi="Arial"/>
          <w:sz w:val="21"/>
          <w:szCs w:val="21"/>
          <w:b w:val="1"/>
          <w:bCs w:val="1"/>
          <w:color w:val="auto"/>
        </w:rPr>
        <w:t>O\FR&gt;:==Q2Z_P:*A(Q=&gt;_LI6O.V:4&amp;S;/4[V3:V0N;+N@.D^*?4HZC/%#J&amp;ZGZ8/5_A]*Y[+&lt; MEX&amp;?F.*O,;0;!Y</w:t>
      </w:r>
    </w:p>
    <w:p>
      <w:pPr>
        <w:spacing w:after="0" w:line="230" w:lineRule="auto"/>
        <w:rPr>
          <w:sz w:val="20"/>
          <w:szCs w:val="20"/>
          <w:color w:val="auto"/>
        </w:rPr>
      </w:pPr>
      <w:r>
        <w:rPr>
          <w:rFonts w:ascii="Arial" w:cs="Arial" w:eastAsia="Arial" w:hAnsi="Arial"/>
          <w:sz w:val="21"/>
          <w:szCs w:val="21"/>
          <w:b w:val="1"/>
          <w:bCs w:val="1"/>
          <w:color w:val="auto"/>
        </w:rPr>
        <w:t>8YL.6A$7:_P $*NR9YPRMT7B4-ALQ5H@B^7PG$]GM=7X/F4M/.J-KFR5'N01+959:^E)!.V MB2MH6P]</w:t>
      </w:r>
    </w:p>
    <w:p>
      <w:pPr>
        <w:spacing w:after="0" w:line="229" w:lineRule="auto"/>
        <w:rPr>
          <w:sz w:val="20"/>
          <w:szCs w:val="20"/>
          <w:color w:val="auto"/>
        </w:rPr>
      </w:pPr>
      <w:r>
        <w:rPr>
          <w:rFonts w:ascii="Arial" w:cs="Arial" w:eastAsia="Arial" w:hAnsi="Arial"/>
          <w:sz w:val="21"/>
          <w:szCs w:val="21"/>
          <w:b w:val="1"/>
          <w:bCs w:val="1"/>
          <w:color w:val="auto"/>
        </w:rPr>
        <w:t>(SJ;XGU2.+ZVW4L*&gt;ZDW+K3,Y74/(S2LJX46D=:[9QMNU6DVS2KQ) MI*K8S-</w:t>
      </w:r>
    </w:p>
    <w:p>
      <w:pPr>
        <w:spacing w:after="0"/>
        <w:rPr>
          <w:sz w:val="20"/>
          <w:szCs w:val="20"/>
          <w:color w:val="auto"/>
        </w:rPr>
      </w:pPr>
      <w:r>
        <w:rPr>
          <w:rFonts w:ascii="Arial" w:cs="Arial" w:eastAsia="Arial" w:hAnsi="Arial"/>
          <w:sz w:val="19"/>
          <w:szCs w:val="19"/>
          <w:b w:val="1"/>
          <w:bCs w:val="1"/>
          <w:color w:val="auto"/>
        </w:rPr>
        <w:t>MG5KA@HZ0272OHX9J]TX9K75"L;JS]=?.=8- MG.;;WVFPC6&gt;0Z8XW-'I/&lt;4^2_)?.?ZE;MV5_7/X:YK\&amp;&lt;.P[W:^!W)+&lt;6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8Y_ M].8!CV*XE'&gt;YV)8JP:?\(P0[]WCOJO=K7J*7A!G6#ZHG(?C+MSC!P Z?^K\0 MVSU &gt;:"DRZP&amp;S8;A1/</w:t>
      </w:r>
    </w:p>
    <w:p>
      <w:pPr>
        <w:spacing w:after="0" w:line="229" w:lineRule="auto"/>
        <w:rPr>
          <w:sz w:val="20"/>
          <w:szCs w:val="20"/>
          <w:color w:val="auto"/>
        </w:rPr>
      </w:pPr>
      <w:r>
        <w:rPr>
          <w:rFonts w:ascii="Arial" w:cs="Arial" w:eastAsia="Arial" w:hAnsi="Arial"/>
          <w:sz w:val="21"/>
          <w:szCs w:val="21"/>
          <w:b w:val="1"/>
          <w:bCs w:val="1"/>
          <w:color w:val="auto"/>
        </w:rPr>
        <w:t>-2ZZ@Z2-)C963,$WD967430@Y=RWMO&lt;6M&amp;;6#&gt;NG" M;JB23)T%?/(387M*O2UU?)\U=Y\C^)_40T+K&gt;UIDG(?</w:t>
      </w:r>
    </w:p>
    <w:p>
      <w:pPr>
        <w:spacing w:after="0" w:line="229" w:lineRule="auto"/>
        <w:rPr>
          <w:sz w:val="20"/>
          <w:szCs w:val="20"/>
          <w:color w:val="auto"/>
        </w:rPr>
      </w:pPr>
      <w:r>
        <w:rPr>
          <w:rFonts w:ascii="Arial" w:cs="Arial" w:eastAsia="Arial" w:hAnsi="Arial"/>
          <w:sz w:val="21"/>
          <w:szCs w:val="21"/>
          <w:b w:val="1"/>
          <w:bCs w:val="1"/>
          <w:color w:val="auto"/>
        </w:rPr>
        <w:t>0T!JF"U+D6#X2Y&gt;(M M)N4UMEF(:OU[.341C5'_ '=\E(7O'3-%&amp;QTO%NF]CON T_&lt;7&gt;16O&gt;7'';3/)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MG53AVXU]N[7N.;"QJV00N;2;!K/,$W#F%EF]U*41EX"0[\Q=VVUN3HY;W]Q= M=9V75"&gt;0 &amp;5GD1U*^IASNZ@.].G7T;+--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ZJQ7B0[1QWE9S MSG&amp;,#VWL+6FN(;36]-.+93(51:SJ&amp;.8?B M&gt;"8FZ85I2Y)E51O*H2#FRQFY5BU7#=PJ&amp;@_G!U!M&amp;</w:t>
      </w:r>
    </w:p>
    <w:p>
      <w:pPr>
        <w:spacing w:after="0" w:line="229" w:lineRule="auto"/>
        <w:rPr>
          <w:sz w:val="20"/>
          <w:szCs w:val="20"/>
          <w:color w:val="auto"/>
        </w:rPr>
      </w:pPr>
      <w:r>
        <w:rPr>
          <w:rFonts w:ascii="Arial" w:cs="Arial" w:eastAsia="Arial" w:hAnsi="Arial"/>
          <w:sz w:val="21"/>
          <w:szCs w:val="21"/>
          <w:b w:val="1"/>
          <w:bCs w:val="1"/>
          <w:color w:val="auto"/>
        </w:rPr>
        <w:t>&lt;&amp;&gt;$N=+97K7'\. MQ[(L'B6'[%9)YMJ;BY(Z-Q_8\[?@\K1&amp;1Q%';&amp;1YKK38</w:t>
      </w:r>
    </w:p>
    <w:p>
      <w:pPr>
        <w:spacing w:after="0" w:line="229" w:lineRule="auto"/>
        <w:rPr>
          <w:sz w:val="20"/>
          <w:szCs w:val="20"/>
          <w:color w:val="auto"/>
        </w:rPr>
      </w:pPr>
      <w:r>
        <w:rPr>
          <w:rFonts w:ascii="Arial" w:cs="Arial" w:eastAsia="Arial" w:hAnsi="Arial"/>
          <w:sz w:val="21"/>
          <w:szCs w:val="21"/>
          <w:b w:val="1"/>
          <w:bCs w:val="1"/>
          <w:color w:val="auto"/>
        </w:rPr>
        <w:t>MV38RYFX6B*JMS.0]T*)N[[U6$&gt;M2QF@'8/2KZIG)?9W)GWIMKZ(O6JKA2C2-68/&amp; M*</w:t>
      </w:r>
    </w:p>
    <w:p>
      <w:pPr>
        <w:spacing w:after="0" w:line="230" w:lineRule="auto"/>
        <w:rPr>
          <w:sz w:val="20"/>
          <w:szCs w:val="20"/>
          <w:color w:val="auto"/>
        </w:rPr>
      </w:pPr>
      <w:r>
        <w:rPr>
          <w:rFonts w:ascii="Arial" w:cs="Arial" w:eastAsia="Arial" w:hAnsi="Arial"/>
          <w:sz w:val="21"/>
          <w:szCs w:val="21"/>
          <w:b w:val="1"/>
          <w:bCs w:val="1"/>
          <w:color w:val="auto"/>
        </w:rPr>
        <w:t>=*]5+J_P"D^FAB^-8&gt;CCLYR"YC;DMLC..7$;6J3J6V)L6 KM]GCY]]1OF)R!ZJ6K.HKE$#=F_</w:t>
      </w:r>
    </w:p>
    <w:p>
      <w:pPr>
        <w:spacing w:after="0" w:line="229" w:lineRule="auto"/>
        <w:rPr>
          <w:sz w:val="20"/>
          <w:szCs w:val="20"/>
          <w:color w:val="auto"/>
        </w:rPr>
      </w:pPr>
      <w:r>
        <w:rPr>
          <w:rFonts w:ascii="Arial" w:cs="Arial" w:eastAsia="Arial" w:hAnsi="Arial"/>
          <w:sz w:val="21"/>
          <w:szCs w:val="21"/>
          <w:b w:val="1"/>
          <w:bCs w:val="1"/>
          <w:color w:val="auto"/>
        </w:rPr>
        <w:t>M%S/./6.8]J7&amp;,+UQCL\&gt;*LXY.]!:0273"KJ*T/[5YG&gt;,I;NE.=?![3&amp;= MNV5T\SX9--&amp;8KD&amp;NFM:V&gt;$(8ADVVW6N,TSF-</w:t>
      </w:r>
    </w:p>
    <w:p>
      <w:pPr>
        <w:spacing w:after="0" w:line="229" w:lineRule="auto"/>
        <w:rPr>
          <w:sz w:val="20"/>
          <w:szCs w:val="20"/>
          <w:color w:val="auto"/>
        </w:rPr>
      </w:pPr>
      <w:r>
        <w:rPr>
          <w:rFonts w:ascii="Arial" w:cs="Arial" w:eastAsia="Arial" w:hAnsi="Arial"/>
          <w:sz w:val="21"/>
          <w:szCs w:val="21"/>
          <w:b w:val="1"/>
          <w:bCs w:val="1"/>
          <w:color w:val="auto"/>
        </w:rPr>
        <w:t>E5+%KDE:L)Z4;)*HI4I(767J MJVAW+T@NJ;L3FX]Y"\7&gt;7FHHKCMU!^&amp;63,&lt;6Y ZK@WCE?$,IAI.EZ4'M76]D</w:t>
      </w:r>
    </w:p>
    <w:p>
      <w:pPr>
        <w:spacing w:after="0" w:line="230" w:lineRule="auto"/>
        <w:rPr>
          <w:sz w:val="20"/>
          <w:szCs w:val="20"/>
          <w:color w:val="auto"/>
        </w:rPr>
      </w:pPr>
      <w:r>
        <w:rPr>
          <w:rFonts w:ascii="Arial" w:cs="Arial" w:eastAsia="Arial" w:hAnsi="Arial"/>
          <w:sz w:val="21"/>
          <w:szCs w:val="21"/>
          <w:b w:val="1"/>
          <w:bCs w:val="1"/>
          <w:color w:val="auto"/>
        </w:rPr>
        <w:t>M@\DWB&gt;,RSQ"]-9NF_EVR**\&gt;\1?KMY1M:F%VP #(5BO4-Z MO_6:WUO&gt;'Z1F;:,X?</w:t>
      </w:r>
    </w:p>
    <w:p>
      <w:pPr>
        <w:spacing w:after="0" w:line="229" w:lineRule="auto"/>
        <w:rPr>
          <w:sz w:val="20"/>
          <w:szCs w:val="20"/>
          <w:color w:val="auto"/>
        </w:rPr>
      </w:pPr>
      <w:r>
        <w:rPr>
          <w:rFonts w:ascii="Arial" w:cs="Arial" w:eastAsia="Arial" w:hAnsi="Arial"/>
          <w:sz w:val="21"/>
          <w:szCs w:val="21"/>
          <w:b w:val="1"/>
          <w:bCs w:val="1"/>
          <w:color w:val="auto"/>
        </w:rPr>
        <w:t>\%./FP'^L*H5U9^DWREXT:5ZN.1:&amp;Y7&lt;4.6FQH MW4.![;W+LO,XK4/'/2L4X41D=E;9R1NZ6C&amp;SNK-) MW*HXS"-</w:t>
      </w:r>
    </w:p>
    <w:p>
      <w:pPr>
        <w:spacing w:after="0"/>
        <w:rPr>
          <w:sz w:val="20"/>
          <w:szCs w:val="20"/>
          <w:color w:val="auto"/>
        </w:rPr>
      </w:pPr>
      <w:r>
        <w:rPr>
          <w:rFonts w:ascii="Arial" w:cs="Arial" w:eastAsia="Arial" w:hAnsi="Arial"/>
          <w:sz w:val="19"/>
          <w:szCs w:val="19"/>
          <w:b w:val="1"/>
          <w:bCs w:val="1"/>
          <w:color w:val="auto"/>
        </w:rPr>
        <w:t>FMSA^HU0575OJW9I=RX&gt;(W4"IZ T;[6)L?#F6])/G/PFT=G$Q%6Y, MSX97:+Q*9PV'J[06?(83EFSW6K\XS*)GFM'-K96C+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()9LDLC92L@I;556X.^ M.CGU4\VYZQN]= S:QKMT[K5N M'-'(;8WM)/2FUA+\P-T\B&gt;*O4OX[:T30GM^ZO;:E@-</w:t>
      </w:r>
    </w:p>
    <w:p>
      <w:pPr>
        <w:spacing w:after="0" w:line="229" w:lineRule="auto"/>
        <w:rPr>
          <w:sz w:val="20"/>
          <w:szCs w:val="20"/>
          <w:color w:val="auto"/>
        </w:rPr>
      </w:pPr>
      <w:r>
        <w:rPr>
          <w:rFonts w:ascii="Arial" w:cs="Arial" w:eastAsia="Arial" w:hAnsi="Arial"/>
          <w:sz w:val="21"/>
          <w:szCs w:val="21"/>
          <w:b w:val="1"/>
          <w:bCs w:val="1"/>
          <w:color w:val="auto"/>
        </w:rPr>
        <w:t>';'P_"E731I*9!@TGK MW7N"I2$5 46[XX?N;Y)RRLN[^K%N6MB][&lt;-"&gt;,&lt;_N/&amp;0\!HOJ/.9][!\='&gt;@</w:t>
      </w:r>
    </w:p>
    <w:p>
      <w:pPr>
        <w:spacing w:after="0" w:line="229" w:lineRule="auto"/>
        <w:rPr>
          <w:sz w:val="20"/>
          <w:szCs w:val="20"/>
          <w:color w:val="auto"/>
        </w:rPr>
      </w:pPr>
      <w:r>
        <w:rPr>
          <w:rFonts w:ascii="Arial" w:cs="Arial" w:eastAsia="Arial" w:hAnsi="Arial"/>
          <w:sz w:val="21"/>
          <w:szCs w:val="21"/>
          <w:b w:val="1"/>
          <w:bCs w:val="1"/>
          <w:color w:val="auto"/>
        </w:rPr>
        <w:t>M/M#R+Z0;)VS\/C+?'+YR4QI:-JNFD\S./D4%8BUFBK=1U*V410OO[NRZX,]&amp; MA]W&gt;T3=7O%'?*[B]N?</w:t>
      </w:r>
    </w:p>
    <w:p>
      <w:pPr>
        <w:spacing w:after="0" w:line="230" w:lineRule="auto"/>
        <w:rPr>
          <w:sz w:val="20"/>
          <w:szCs w:val="20"/>
          <w:color w:val="auto"/>
        </w:rPr>
      </w:pPr>
      <w:r>
        <w:rPr>
          <w:rFonts w:ascii="Arial" w:cs="Arial" w:eastAsia="Arial" w:hAnsi="Arial"/>
          <w:sz w:val="21"/>
          <w:szCs w:val="21"/>
          <w:b w:val="1"/>
          <w:bCs w:val="1"/>
          <w:color w:val="auto"/>
        </w:rPr>
        <w:t>CWTNN(66RLG=QWQO-=3XQNW&lt;^S&lt;,CG#I@SR_*[L[P' M/8A&amp;*EW::GT#TK.L3BVK%=O[=Q^</w:t>
      </w:r>
    </w:p>
    <w:p>
      <w:pPr>
        <w:spacing w:after="0" w:line="229" w:lineRule="auto"/>
        <w:rPr>
          <w:sz w:val="20"/>
          <w:szCs w:val="20"/>
          <w:color w:val="auto"/>
        </w:rPr>
      </w:pPr>
      <w:r>
        <w:rPr>
          <w:rFonts w:ascii="Arial" w:cs="Arial" w:eastAsia="Arial" w:hAnsi="Arial"/>
          <w:sz w:val="21"/>
          <w:szCs w:val="21"/>
          <w:b w:val="1"/>
          <w:bCs w:val="1"/>
          <w:color w:val="auto"/>
        </w:rPr>
        <w:t>M3RKB5RWTDU5@]6;[:1#-\_D,5FXEVVB&amp;&lt;=E%]D6\1;W(L(99-\@DR5CKZO&amp;3 MYT&amp;EX _G2\/$Y!%2,%/1&lt;=-</w:t>
      </w:r>
    </w:p>
    <w:p>
      <w:pPr>
        <w:spacing w:after="0"/>
        <w:rPr>
          <w:sz w:val="20"/>
          <w:szCs w:val="20"/>
          <w:color w:val="auto"/>
        </w:rPr>
      </w:pPr>
      <w:r>
        <w:rPr>
          <w:rFonts w:ascii="Arial" w:cs="Arial" w:eastAsia="Arial" w:hAnsi="Arial"/>
          <w:sz w:val="19"/>
          <w:szCs w:val="19"/>
          <w:b w:val="1"/>
          <w:bCs w:val="1"/>
          <w:color w:val="auto"/>
        </w:rPr>
        <w:t>PDNR&gt;!1,4W:,&amp;GA;]VJNIWM.WOBRE]]W;==6M0R)[!VE%]9 M[V@GB5 &lt;^3M\CK&amp;K&lt;#*1TL4V^C?:,NO#QK MQRMS?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$]A0&gt;@N32\RO)%YWWO:%U'%;.V]2 MG&gt;D^["Z'F-H32NK&gt;(?4UV9KC5F#83L'&gt;_&amp;3?</w:t>
      </w:r>
    </w:p>
    <w:p>
      <w:pPr>
        <w:spacing w:after="0" w:line="229" w:lineRule="auto"/>
        <w:rPr>
          <w:sz w:val="20"/>
          <w:szCs w:val="20"/>
          <w:color w:val="auto"/>
        </w:rPr>
      </w:pPr>
      <w:r>
        <w:rPr>
          <w:rFonts w:ascii="Arial" w:cs="Arial" w:eastAsia="Arial" w:hAnsi="Arial"/>
          <w:sz w:val="21"/>
          <w:szCs w:val="21"/>
          <w:b w:val="1"/>
          <w:bCs w:val="1"/>
          <w:color w:val="auto"/>
        </w:rPr>
        <w:t>N5;CS+&amp;L3RR5:H)NI5:.C&amp;__N'"B@&lt;+^RX_H4&lt;&amp;?_ +F?QA\@@.7N MN!BV8&lt;&amp;N&gt;G"+KO8M#PNP-?\ &amp;C",DXT\J-</w:t>
      </w:r>
    </w:p>
    <w:p>
      <w:pPr>
        <w:spacing w:after="0"/>
        <w:rPr>
          <w:sz w:val="20"/>
          <w:szCs w:val="20"/>
          <w:color w:val="auto"/>
        </w:rPr>
      </w:pPr>
      <w:r>
        <w:rPr>
          <w:rFonts w:ascii="Arial" w:cs="Arial" w:eastAsia="Arial" w:hAnsi="Arial"/>
          <w:sz w:val="19"/>
          <w:szCs w:val="19"/>
          <w:b w:val="1"/>
          <w:bCs w:val="1"/>
          <w:color w:val="auto"/>
        </w:rPr>
        <w:t>9OLUPO#*-@Y=Z@OM)W#?FWQ6S_@[P 2R_:' M)7G#@F1\;8-#:\;!Z#UMK6)W# /\.S23SW8&gt;V)_',7;RK7$Y9ZC')LW#ELM(</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MWI=KFWLMHH&amp;FWIS&lt;24&gt;"7!SC+Q)MFT\E?Z3U=#XWDF0M[5[&amp;,YFK]=WDF=RL M6BZNOBTN3LK7MM [4 ?(8WK[</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L-D&lt; MBE\0PC$,4ELO&gt;V2662F-XU#0Q;)JYFWMCF4R+GO2"C+PL/A/:%]9PD7@_01Z:Z;MP</w:t>
      </w:r>
    </w:p>
    <w:p>
      <w:pPr>
        <w:spacing w:after="0" w:line="229" w:lineRule="auto"/>
        <w:rPr>
          <w:sz w:val="20"/>
          <w:szCs w:val="20"/>
          <w:color w:val="auto"/>
        </w:rPr>
      </w:pPr>
      <w:r>
        <w:rPr>
          <w:rFonts w:ascii="Arial" w:cs="Arial" w:eastAsia="Arial" w:hAnsi="Arial"/>
          <w:sz w:val="21"/>
          <w:szCs w:val="21"/>
          <w:b w:val="1"/>
          <w:bCs w:val="1"/>
          <w:color w:val="auto"/>
        </w:rPr>
        <w:t>M\U=LCGEQIU%-6N6]U&amp;W7JG'\JQ76^T97'(U[FN$ MX_F_@5,IC,@I^KE[2]_ZN](</w:t>
      </w:r>
    </w:p>
    <w:p>
      <w:pPr>
        <w:spacing w:after="0" w:line="229" w:lineRule="auto"/>
        <w:rPr>
          <w:sz w:val="20"/>
          <w:szCs w:val="20"/>
          <w:color w:val="auto"/>
        </w:rPr>
      </w:pPr>
      <w:r>
        <w:rPr>
          <w:rFonts w:ascii="Arial" w:cs="Arial" w:eastAsia="Arial" w:hAnsi="Arial"/>
          <w:sz w:val="21"/>
          <w:szCs w:val="21"/>
          <w:b w:val="1"/>
          <w:bCs w:val="1"/>
          <w:color w:val="auto"/>
        </w:rPr>
        <w:t>M&gt;./,D#^G[3%CF8ZGRSI2=2IMAN0;"TYTZ^8S'/-_XQCZ#9\X88%G&gt;6:=D$,U</w:t>
      </w:r>
    </w:p>
    <w:p>
      <w:pPr>
        <w:spacing w:after="0" w:line="230" w:lineRule="auto"/>
        <w:rPr>
          <w:sz w:val="20"/>
          <w:szCs w:val="20"/>
          <w:color w:val="auto"/>
        </w:rPr>
      </w:pPr>
      <w:r>
        <w:rPr>
          <w:rFonts w:ascii="Arial" w:cs="Arial" w:eastAsia="Arial" w:hAnsi="Arial"/>
          <w:sz w:val="21"/>
          <w:szCs w:val="21"/>
          <w:b w:val="1"/>
          <w:bCs w:val="1"/>
          <w:color w:val="auto"/>
        </w:rPr>
        <w:t>M]SW+EM95_!26KJ1\&gt;ZN[4FDE,H7*UL3NNNH%W6%]3WIW[ TLGR&amp;QKFEQL5U! M[D7S3W+I7;F&amp;8];!H))</w:t>
      </w:r>
    </w:p>
    <w:p>
      <w:pPr>
        <w:spacing w:after="0"/>
        <w:rPr>
          <w:sz w:val="20"/>
          <w:szCs w:val="20"/>
          <w:color w:val="auto"/>
        </w:rPr>
      </w:pPr>
      <w:r>
        <w:rPr>
          <w:rFonts w:ascii="Arial" w:cs="Arial" w:eastAsia="Arial" w:hAnsi="Arial"/>
          <w:sz w:val="19"/>
          <w:szCs w:val="19"/>
          <w:b w:val="1"/>
          <w:bCs w:val="1"/>
          <w:color w:val="auto"/>
        </w:rPr>
        <w:t>(J.&amp;&amp;2PT_+1D_C60-;G"::L8^:MY"Q92Q.J/=WVVU M#._T:-L0/4&amp;Z^G5=ZDVBFLO]ER/T=K;BWB&amp;6N8IU#Q^T,C;7:@;-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LQJD]HV&lt; M.7:D=H-X\9IJH6/&amp;4',,;'2;=56B=P;# /];[+%++DU+;; MT[[;K+[+</w:t>
      </w:r>
    </w:p>
    <w:p>
      <w:pPr>
        <w:spacing w:after="0" w:line="229" w:lineRule="auto"/>
        <w:rPr>
          <w:sz w:val="20"/>
          <w:szCs w:val="20"/>
          <w:color w:val="auto"/>
        </w:rPr>
      </w:pPr>
      <w:r>
        <w:rPr>
          <w:rFonts w:ascii="Arial" w:cs="Arial" w:eastAsia="Arial" w:hAnsi="Arial"/>
          <w:sz w:val="21"/>
          <w:szCs w:val="21"/>
          <w:b w:val="1"/>
          <w:bCs w:val="1"/>
          <w:color w:val="auto"/>
        </w:rPr>
        <w:t>[:767V74K;=;=;=2MMUMUM&gt;RM*_PK0#Y3#3+.K=NID M26([#DT'J:;Q&amp;U"?DHJ+[Y1]N^(6T;UO[;%*]]4[@-6X&amp;4B53;Z</w:t>
      </w:r>
    </w:p>
    <w:p>
      <w:pPr>
        <w:spacing w:after="0" w:line="229" w:lineRule="auto"/>
        <w:rPr>
          <w:sz w:val="20"/>
          <w:szCs w:val="20"/>
          <w:color w:val="auto"/>
        </w:rPr>
      </w:pPr>
      <w:r>
        <w:rPr>
          <w:rFonts w:ascii="Arial" w:cs="Arial" w:eastAsia="Arial" w:hAnsi="Arial"/>
          <w:sz w:val="21"/>
          <w:szCs w:val="21"/>
          <w:b w:val="1"/>
          <w:bCs w:val="1"/>
          <w:color w:val="auto"/>
        </w:rPr>
        <w:t>M%]KWQAOCE;FJ7-7ICJ2V=MF2%G@[^9Q"Q)9:^S_ADOX?[NSL"A3VB_G_BW'+A?F7#3 XUWM'F+U#L*RGC</w:t>
      </w:r>
    </w:p>
    <w:p>
      <w:pPr>
        <w:spacing w:after="0" w:line="230" w:lineRule="auto"/>
        <w:rPr>
          <w:sz w:val="20"/>
          <w:szCs w:val="20"/>
          <w:color w:val="auto"/>
        </w:rPr>
      </w:pPr>
      <w:r>
        <w:rPr>
          <w:rFonts w:ascii="Arial" w:cs="Arial" w:eastAsia="Arial" w:hAnsi="Arial"/>
          <w:sz w:val="21"/>
          <w:szCs w:val="21"/>
          <w:b w:val="1"/>
          <w:bCs w:val="1"/>
          <w:color w:val="auto"/>
        </w:rPr>
        <w:t>M/HK1N+-EIC+92!VXWKK#-LT=QK)N\79L&amp;T3D[AA#VWVVJRLZLFBVI=8W&gt;K-0 MK#ZS^H-</w:t>
      </w:r>
    </w:p>
    <w:p>
      <w:pPr>
        <w:spacing w:after="0"/>
        <w:rPr>
          <w:sz w:val="20"/>
          <w:szCs w:val="20"/>
          <w:color w:val="auto"/>
        </w:rPr>
      </w:pPr>
      <w:r>
        <w:rPr>
          <w:rFonts w:ascii="Arial" w:cs="Arial" w:eastAsia="Arial" w:hAnsi="Arial"/>
          <w:sz w:val="21"/>
          <w:szCs w:val="21"/>
          <w:b w:val="1"/>
          <w:bCs w:val="1"/>
          <w:color w:val="auto"/>
        </w:rPr>
        <w:t>NFMEN852KF/ORR4RY_OO9#!I(W25ZM\#\ M.,4=MDETZJ6NF]+;.\IHK76I!L%T?JV#T=I?</w:t>
      </w:r>
    </w:p>
    <w:p>
      <w:pPr>
        <w:sectPr>
          <w:pgSz w:w="11900" w:h="16838" w:orient="portrait"/>
          <w:cols w:equalWidth="0" w:num="1">
            <w:col w:w="11240"/>
          </w:cols>
          <w:pgMar w:left="320" w:top="114" w:right="339" w:bottom="0" w:gutter="0" w:footer="0" w:header="0"/>
        </w:sectPr>
      </w:pPr>
    </w:p>
    <w:bookmarkStart w:id="82" w:name="page83"/>
    <w:bookmarkEnd w:id="82"/>
    <w:p>
      <w:pPr>
        <w:spacing w:after="0"/>
        <w:rPr>
          <w:sz w:val="20"/>
          <w:szCs w:val="20"/>
          <w:color w:val="auto"/>
        </w:rPr>
      </w:pPr>
      <w:r>
        <w:rPr>
          <w:rFonts w:ascii="Arial" w:cs="Arial" w:eastAsia="Arial" w:hAnsi="Arial"/>
          <w:sz w:val="21"/>
          <w:szCs w:val="21"/>
          <w:b w:val="1"/>
          <w:bCs w:val="1"/>
          <w:color w:val="auto"/>
        </w:rPr>
        <w:t>4&gt;EL8;MFN.:CUE@FLX)NT2M1 M;)1&amp;"XO%XQ'V()6)I6V)T:QEO93N;?\ \J 9F?:FTV^JL=V-.L4.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[5:6N6CUWHEC8JWO&lt;))+TK2R^O1?5TY%Y9TB.D1EET'K:#NNA^H!U (&gt;YRYPG7 M&amp;$N7+B,R#66LL@C'#:V8?</w:t>
      </w:r>
    </w:p>
    <w:p>
      <w:pPr>
        <w:spacing w:after="0"/>
        <w:rPr>
          <w:sz w:val="20"/>
          <w:szCs w:val="20"/>
          <w:color w:val="auto"/>
        </w:rPr>
      </w:pPr>
      <w:r>
        <w:rPr>
          <w:rFonts w:ascii="Arial" w:cs="Arial" w:eastAsia="Arial" w:hAnsi="Arial"/>
          <w:sz w:val="19"/>
          <w:szCs w:val="19"/>
          <w:b w:val="1"/>
          <w:bCs w:val="1"/>
          <w:color w:val="auto"/>
        </w:rPr>
        <w:t>S%K9TP558.DW61.DUF+%9",0DY.@:%. W ;CITW M^.F)\;.-F)VP&gt;+0=MLCE&amp;42-K9SFVSLVG&gt;ZUEB^0/;U48Z2S_#9N 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D%,:L=O%56R&lt;];5*RC2RE+EEZ]\#5Z!E"Z.K]GR:Z['7&gt;YL8 MW5M)X!</w:t>
      </w:r>
    </w:p>
    <w:p>
      <w:pPr>
        <w:spacing w:after="0" w:line="229" w:lineRule="auto"/>
        <w:rPr>
          <w:sz w:val="20"/>
          <w:szCs w:val="20"/>
          <w:color w:val="auto"/>
        </w:rPr>
      </w:pPr>
      <w:r>
        <w:rPr>
          <w:rFonts w:ascii="Arial" w:cs="Arial" w:eastAsia="Arial" w:hAnsi="Arial"/>
          <w:sz w:val="21"/>
          <w:szCs w:val="21"/>
          <w:b w:val="1"/>
          <w:bCs w:val="1"/>
          <w:color w:val="auto"/>
        </w:rPr>
        <w:t>3VF^*.*98RO55B6[+S..TCE&amp;3;7&lt;8H^4MA,LDX)YL MUXU537;.Z*J0;&amp;^ZM+(WN -"/.?</w:t>
      </w:r>
    </w:p>
    <w:p>
      <w:pPr>
        <w:spacing w:after="0" w:line="229" w:lineRule="auto"/>
        <w:rPr>
          <w:sz w:val="20"/>
          <w:szCs w:val="20"/>
          <w:color w:val="auto"/>
        </w:rPr>
      </w:pPr>
      <w:r>
        <w:rPr>
          <w:rFonts w:ascii="Arial" w:cs="Arial" w:eastAsia="Arial" w:hAnsi="Arial"/>
          <w:sz w:val="21"/>
          <w:szCs w:val="21"/>
          <w:b w:val="1"/>
          <w:bCs w:val="1"/>
          <w:color w:val="auto"/>
        </w:rPr>
        <w:t>ACQ;YC&lt;7=E:/Y*8/A#G6BFOY]NPRF5@XR MQ]INL;#*K1V?</w:t>
      </w:r>
    </w:p>
    <w:p>
      <w:pPr>
        <w:spacing w:after="0" w:line="230" w:lineRule="auto"/>
        <w:rPr>
          <w:sz w:val="20"/>
          <w:szCs w:val="20"/>
          <w:color w:val="auto"/>
        </w:rPr>
      </w:pPr>
      <w:r>
        <w:rPr>
          <w:rFonts w:ascii="Arial" w:cs="Arial" w:eastAsia="Arial" w:hAnsi="Arial"/>
          <w:sz w:val="21"/>
          <w:szCs w:val="21"/>
          <w:b w:val="1"/>
          <w:bCs w:val="1"/>
          <w:color w:val="auto"/>
        </w:rPr>
        <w:t>X1+]RT=8E(X1)7M%VZ5Z3:J"W=MKU4K@JR]EPY);BY+= M(C499 NX&gt;3&gt;4:_P &amp;=1;G#E9&amp;0&lt;777R5V+QL]\'T5</w:t>
      </w:r>
    </w:p>
    <w:p>
      <w:pPr>
        <w:spacing w:after="0" w:line="229" w:lineRule="auto"/>
        <w:rPr>
          <w:sz w:val="20"/>
          <w:szCs w:val="20"/>
          <w:color w:val="auto"/>
        </w:rPr>
      </w:pPr>
      <w:r>
        <w:rPr>
          <w:rFonts w:ascii="Arial" w:cs="Arial" w:eastAsia="Arial" w:hAnsi="Arial"/>
          <w:sz w:val="21"/>
          <w:szCs w:val="21"/>
          <w:b w:val="1"/>
          <w:bCs w:val="1"/>
          <w:color w:val="auto"/>
        </w:rPr>
        <w:t>MJ_X[FT.G16Z]:BBEX:(@ % _6#ZP8:?83S96]OM/:;&gt;]6R/96LH^Q5_'1S]5NUN:M[Y*2O0BD M+KG(?</w:t>
      </w:r>
    </w:p>
    <w:p>
      <w:pPr>
        <w:spacing w:after="0" w:line="229" w:lineRule="auto"/>
        <w:rPr>
          <w:sz w:val="20"/>
          <w:szCs w:val="20"/>
          <w:color w:val="auto"/>
        </w:rPr>
      </w:pPr>
      <w:r>
        <w:rPr>
          <w:rFonts w:ascii="Arial" w:cs="Arial" w:eastAsia="Arial" w:hAnsi="Arial"/>
          <w:sz w:val="21"/>
          <w:szCs w:val="21"/>
          <w:b w:val="1"/>
          <w:bCs w:val="1"/>
          <w:color w:val="auto"/>
        </w:rPr>
        <w:t>&lt;='SH^0O3\AUL;NIYTW35530:H,6+(.$_:DV[G5&amp;*=+7G52/4&gt;PG"WJ0 MZ;S;,7*"+IQ?#8I)R49F+B5=</w:t>
      </w:r>
    </w:p>
    <w:p>
      <w:pPr>
        <w:spacing w:after="0" w:line="230" w:lineRule="auto"/>
        <w:rPr>
          <w:sz w:val="20"/>
          <w:szCs w:val="20"/>
          <w:color w:val="auto"/>
        </w:rPr>
      </w:pPr>
      <w:r>
        <w:rPr>
          <w:rFonts w:ascii="Arial" w:cs="Arial" w:eastAsia="Arial" w:hAnsi="Arial"/>
          <w:sz w:val="21"/>
          <w:szCs w:val="21"/>
          <w:b w:val="1"/>
          <w:bCs w:val="1"/>
          <w:color w:val="auto"/>
        </w:rPr>
        <w:t>()WWM:QU\YJ:/9W77HJJ&gt;$O$+$ZTHI?;&gt;&amp;IN M'EXK((F+GH*192\)-QS*7AY:-</w:t>
      </w:r>
      <w:r>
        <w:rPr>
          <w:rFonts w:ascii="Arial" w:cs="Arial" w:eastAsia="Arial" w:hAnsi="Arial"/>
          <w:sz w:val="21"/>
          <w:szCs w:val="21"/>
          <w:b w:val="1"/>
          <w:bCs w:val="1"/>
          <w:i w:val="1"/>
          <w:iCs w:val="1"/>
          <w:color w:val="auto"/>
        </w:rPr>
        <w:t>JM;AS":91V08][O</w:t>
      </w:r>
    </w:p>
    <w:p>
      <w:pPr>
        <w:spacing w:after="0" w:line="229" w:lineRule="auto"/>
        <w:rPr>
          <w:sz w:val="20"/>
          <w:szCs w:val="20"/>
          <w:color w:val="auto"/>
        </w:rPr>
      </w:pPr>
      <w:r>
        <w:rPr>
          <w:rFonts w:ascii="Arial" w:cs="Arial" w:eastAsia="Arial" w:hAnsi="Arial"/>
          <w:sz w:val="21"/>
          <w:szCs w:val="21"/>
          <w:b w:val="1"/>
          <w:bCs w:val="1"/>
          <w:i w:val="1"/>
          <w:iCs w:val="1"/>
          <w:color w:val="auto"/>
        </w:rPr>
        <w:t>MJL545F+E[):$C+6Z*M]:77RK2JB=R+BE% U&gt;@91N@I^KE[2]_P"KO2'CCS) MU19!C\!ED%,8OE4)$9-</w:t>
      </w:r>
    </w:p>
    <w:p>
      <w:pPr>
        <w:spacing w:after="0"/>
        <w:rPr>
          <w:sz w:val="20"/>
          <w:szCs w:val="20"/>
          <w:color w:val="auto"/>
        </w:rPr>
      </w:pPr>
      <w:r>
        <w:rPr>
          <w:rFonts w:ascii="Arial" w:cs="Arial" w:eastAsia="Arial" w:hAnsi="Arial"/>
          <w:sz w:val="19"/>
          <w:szCs w:val="19"/>
          <w:b w:val="1"/>
          <w:bCs w:val="1"/>
          <w:i w:val="1"/>
          <w:iCs w:val="1"/>
          <w:color w:val="auto"/>
        </w:rPr>
        <w:t>C.11CZ$R#'&lt;@C64S!3L-)ME&amp;DNW73O253NK;=;6VM: 8GNO'TY&gt;D7PGU)CS#C3P"UO.]13G%FZ&amp;@&gt;). 0.5 M;0&lt;0S#+,J?</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Q&lt;1D.RX?2"NQ/Z3VIX-9/LT(ZWW"JQ3GY2.M62O:]_L TM]*+I</w:t>
      </w:r>
    </w:p>
    <w:p>
      <w:pPr>
        <w:spacing w:after="0" w:line="229" w:lineRule="auto"/>
        <w:rPr>
          <w:sz w:val="20"/>
          <w:szCs w:val="20"/>
          <w:color w:val="auto"/>
        </w:rPr>
      </w:pPr>
      <w:r>
        <w:rPr>
          <w:rFonts w:ascii="Arial" w:cs="Arial" w:eastAsia="Arial" w:hAnsi="Arial"/>
          <w:sz w:val="21"/>
          <w:szCs w:val="21"/>
          <w:b w:val="1"/>
          <w:bCs w:val="1"/>
          <w:i w:val="1"/>
          <w:iCs w:val="1"/>
          <w:color w:val="auto"/>
        </w:rPr>
        <w:t>MZ8+TQN$&gt;I.+&gt;*&gt;YTEE,1'4RS&lt;^:QZ2MENPMT9,U9K9UE%MSBVUS6*27]_NQT(&gt;;&amp;25;1F 3\]N3B</w:t>
      </w:r>
    </w:p>
    <w:p>
      <w:pPr>
        <w:spacing w:after="0" w:line="229" w:lineRule="auto"/>
        <w:rPr>
          <w:sz w:val="20"/>
          <w:szCs w:val="20"/>
          <w:color w:val="auto"/>
        </w:rPr>
      </w:pPr>
      <w:r>
        <w:rPr>
          <w:rFonts w:ascii="Arial" w:cs="Arial" w:eastAsia="Arial" w:hAnsi="Arial"/>
          <w:sz w:val="21"/>
          <w:szCs w:val="21"/>
          <w:b w:val="1"/>
          <w:bCs w:val="1"/>
          <w:i w:val="1"/>
          <w:iCs w:val="1"/>
          <w:color w:val="auto"/>
        </w:rPr>
        <w:t>MCE&gt;6/;U4HG''^P8:1PC&amp;O=QVX5NC8YL[1WY).4ENX3K:E'N5%5.X2LJF&amp;KT# M*%B3]GRF]K&gt;S?*&lt;8JVF,;Z?</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73O:ZRRC(&amp;5ZJT=&amp;Y_F4W)2"&gt;-7NV:J392&gt;M; M[= MQ_\ P40R[J,C+KD;GKV2#_A[5OIB6V[T9-YRT)'*2DAI/8&amp;GMSW-$*.;W-</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D3 M$9FVPK)9%%-NLDG&gt;G"XSGCQZXJM11)-HW5O[GN[;+K0N_P"*6]&lt;=Y/&lt;9=!]-@]'KI[PE6TQFW(3J(:WV;</w:t>
      </w:r>
    </w:p>
    <w:p>
      <w:pPr>
        <w:spacing w:after="0" w:line="229" w:lineRule="auto"/>
        <w:rPr>
          <w:sz w:val="20"/>
          <w:szCs w:val="20"/>
          <w:color w:val="auto"/>
        </w:rPr>
      </w:pPr>
      <w:r>
        <w:rPr>
          <w:rFonts w:ascii="Arial" w:cs="Arial" w:eastAsia="Arial" w:hAnsi="Arial"/>
          <w:sz w:val="21"/>
          <w:szCs w:val="21"/>
          <w:b w:val="1"/>
          <w:bCs w:val="1"/>
          <w:i w:val="1"/>
          <w:iCs w:val="1"/>
          <w:color w:val="auto"/>
        </w:rPr>
        <w:t>(P"%ZJKZ+P#7+9Y@,]DLHDQ M50D6$"WCMO2#BY:U5&amp;Z]*,(FT,?TUOW;F/XGBN)[#RK)LJP['XG'U-CX:^V?</w:t>
      </w:r>
    </w:p>
    <w:p>
      <w:pPr>
        <w:spacing w:after="0" w:line="229" w:lineRule="auto"/>
        <w:rPr>
          <w:sz w:val="20"/>
          <w:szCs w:val="20"/>
          <w:color w:val="auto"/>
        </w:rPr>
      </w:pPr>
      <w:r>
        <w:rPr>
          <w:rFonts w:ascii="Arial" w:cs="Arial" w:eastAsia="Arial" w:hAnsi="Arial"/>
          <w:sz w:val="21"/>
          <w:szCs w:val="21"/>
          <w:b w:val="1"/>
          <w:bCs w:val="1"/>
          <w:i w:val="1"/>
          <w:iCs w:val="1"/>
          <w:color w:val="auto"/>
        </w:rPr>
        <w:t>&amp;2&gt;281B^9Y3&amp; M(Y;JEE-P]*LXU&gt;]2]_:G=6022;V*K7=PV9H(MF]B3=%)*P+# MM):M]I_C]SZC?[_Y(=*F=T0QV?@+S=</w:t>
      </w:r>
    </w:p>
    <w:p>
      <w:pPr>
        <w:spacing w:after="0" w:line="230" w:lineRule="auto"/>
        <w:rPr>
          <w:sz w:val="20"/>
          <w:szCs w:val="20"/>
          <w:color w:val="auto"/>
        </w:rPr>
      </w:pPr>
      <w:r>
        <w:rPr>
          <w:rFonts w:ascii="Arial" w:cs="Arial" w:eastAsia="Arial" w:hAnsi="Arial"/>
          <w:sz w:val="21"/>
          <w:szCs w:val="21"/>
          <w:b w:val="1"/>
          <w:bCs w:val="1"/>
          <w:i w:val="1"/>
          <w:iCs w:val="1"/>
          <w:color w:val="auto"/>
        </w:rPr>
        <w:t>&lt;)KN"W4CL"8U(VRN)6V1%8,K*Z%AXM M+,9##K'J,9J)J;!X:2SW*-$\A=$Y0IL+ MC+R4P*B]^7Z@SJ^Z-</w:t>
      </w:r>
    </w:p>
    <w:p>
      <w:pPr>
        <w:spacing w:after="0" w:line="229" w:lineRule="auto"/>
        <w:rPr>
          <w:sz w:val="20"/>
          <w:szCs w:val="20"/>
          <w:color w:val="auto"/>
        </w:rPr>
      </w:pPr>
      <w:r>
        <w:rPr>
          <w:rFonts w:ascii="Arial" w:cs="Arial" w:eastAsia="Arial" w:hAnsi="Arial"/>
          <w:sz w:val="21"/>
          <w:szCs w:val="21"/>
          <w:b w:val="1"/>
          <w:bCs w:val="1"/>
          <w:i w:val="1"/>
          <w:iCs w:val="1"/>
          <w:color w:val="auto"/>
        </w:rPr>
        <w:t>776HT:R&lt;([E\;EW&lt;(P6=MF[Z/&gt;6.H]JX;.T%4*5N"JO M(&gt;"?M0&amp;T,-=\&gt;MA=4SAKA^GY&gt;(OQ+</w:t>
      </w:r>
    </w:p>
    <w:p>
      <w:pPr>
        <w:spacing w:after="0" w:line="229" w:lineRule="auto"/>
        <w:rPr>
          <w:sz w:val="20"/>
          <w:szCs w:val="20"/>
          <w:color w:val="auto"/>
        </w:rPr>
      </w:pPr>
      <w:r>
        <w:rPr>
          <w:rFonts w:ascii="Arial" w:cs="Arial" w:eastAsia="Arial" w:hAnsi="Arial"/>
          <w:sz w:val="21"/>
          <w:szCs w:val="21"/>
          <w:b w:val="1"/>
          <w:bCs w:val="1"/>
          <w:i w:val="1"/>
          <w:iCs w:val="1"/>
          <w:color w:val="auto"/>
        </w:rPr>
        <w:t>(M_:PU=E*/*&amp;;QAVE8RD%KHMOJ;"L=@ ML@7CEU;/#(?(XN0[I*R^UZFJJHM:%WG3DZ&gt;NB&gt;F3Q?Q;C#H5&amp;5?1$?</w:t>
      </w:r>
    </w:p>
    <w:p>
      <w:pPr>
        <w:spacing w:after="0" w:line="230" w:lineRule="auto"/>
        <w:rPr>
          <w:sz w:val="20"/>
          <w:szCs w:val="20"/>
          <w:color w:val="auto"/>
        </w:rPr>
      </w:pPr>
      <w:r>
        <w:rPr>
          <w:rFonts w:ascii="Arial" w:cs="Arial" w:eastAsia="Arial" w:hAnsi="Arial"/>
          <w:sz w:val="21"/>
          <w:szCs w:val="21"/>
          <w:b w:val="1"/>
          <w:bCs w:val="1"/>
          <w:i w:val="1"/>
          <w:iCs w:val="1"/>
          <w:color w:val="auto"/>
        </w:rPr>
        <w:t>(O\MSK M.LE416R[:&amp;R9YNQ0R3/,H4:V)-$GK]",;-6S9"VB+*/:-V]M;^]U4O"&gt;&gt;46L M9_=O&amp;;D3IG%7&lt;1'Y1MS16W-</w:t>
      </w:r>
    </w:p>
    <w:p>
      <w:pPr>
        <w:spacing w:after="0"/>
        <w:rPr>
          <w:sz w:val="20"/>
          <w:szCs w:val="20"/>
          <w:color w:val="auto"/>
        </w:rPr>
      </w:pPr>
      <w:r>
        <w:rPr>
          <w:rFonts w:ascii="Arial" w:cs="Arial" w:eastAsia="Arial" w:hAnsi="Arial"/>
          <w:sz w:val="19"/>
          <w:szCs w:val="19"/>
          <w:b w:val="1"/>
          <w:bCs w:val="1"/>
          <w:i w:val="1"/>
          <w:iCs w:val="1"/>
          <w:color w:val="auto"/>
        </w:rPr>
        <w:t>8XV_R!P]:0#*?SW ,@Q6'=S;J-CY:1;1#:1ED M[W*B#5RM8C;=6Q)2ZE+*AQKT9^%6T^G;TV&gt;.'#K=&lt;_K_ "C9NG_ZP?"6=U;*</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MY'-X(^_J!OK:.TH;W"D\LQ7"&lt;@&lt;^#8_FS1%UX1%M&gt;X&gt;)JV6=\3ML54#GGJ&gt;] M')SS(W%J;FOQ.Y"3G"CJ%:'85B,'W[C&lt;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CDD!G.*HVR"C3!=JXK&gt;Z:(S,8E? M)N6UCR^QZG6-&gt;N&amp;;YA)M*H-T X/V9TSO:%^;V)O^.7-_J9&lt;5=8&lt;6\G[W#;07</w:t>
      </w:r>
    </w:p>
    <w:p>
      <w:pPr>
        <w:spacing w:after="0" w:line="229" w:lineRule="auto"/>
        <w:rPr>
          <w:sz w:val="20"/>
          <w:szCs w:val="20"/>
          <w:color w:val="auto"/>
        </w:rPr>
      </w:pPr>
      <w:r>
        <w:rPr>
          <w:rFonts w:ascii="Arial" w:cs="Arial" w:eastAsia="Arial" w:hAnsi="Arial"/>
          <w:sz w:val="21"/>
          <w:szCs w:val="21"/>
          <w:b w:val="1"/>
          <w:bCs w:val="1"/>
          <w:i w:val="1"/>
          <w:iCs w:val="1"/>
          <w:color w:val="auto"/>
        </w:rPr>
        <w:t>MX@:PR2[;^W,*24LI(8]/.,BUWJ]GC"&gt;5LT:I/D(^6OC*T$/G2M]+++:VV6AT, PQ\.NB'[0]PEW'NCD;K</w:t>
      </w:r>
    </w:p>
    <w:p>
      <w:pPr>
        <w:spacing w:after="0" w:line="229" w:lineRule="auto"/>
        <w:rPr>
          <w:sz w:val="20"/>
          <w:szCs w:val="20"/>
          <w:color w:val="auto"/>
        </w:rPr>
      </w:pPr>
      <w:r>
        <w:rPr>
          <w:rFonts w:ascii="Arial" w:cs="Arial" w:eastAsia="Arial" w:hAnsi="Arial"/>
          <w:sz w:val="21"/>
          <w:szCs w:val="21"/>
          <w:b w:val="1"/>
          <w:bCs w:val="1"/>
          <w:i w:val="1"/>
          <w:iCs w:val="1"/>
          <w:color w:val="auto"/>
        </w:rPr>
        <w:t>M/D5TLCQ_Y&gt;WS_["K7BGS[88AL; M(-H:,P7$.2CG6BLC%XB_VXQQ^ ?9=FFJ'DG%1DK#LH?:,9=,8TNY8H+-O!VU</w:t>
      </w:r>
    </w:p>
    <w:p>
      <w:pPr>
        <w:spacing w:after="0" w:line="230" w:lineRule="auto"/>
        <w:rPr>
          <w:sz w:val="20"/>
          <w:szCs w:val="20"/>
          <w:color w:val="auto"/>
        </w:rPr>
      </w:pPr>
      <w:r>
        <w:rPr>
          <w:rFonts w:ascii="Arial" w:cs="Arial" w:eastAsia="Arial" w:hAnsi="Arial"/>
          <w:sz w:val="21"/>
          <w:szCs w:val="21"/>
          <w:b w:val="1"/>
          <w:bCs w:val="1"/>
          <w:i w:val="1"/>
          <w:iCs w:val="1"/>
          <w:color w:val="auto"/>
        </w:rPr>
        <w:t>MRS:E;;T0*$M:=,[VB#A-A[7C9PBZE_%'8O%O&amp;E%8?54ERVUODJFZ=08/WZM( MO',?OAM8;1B/CL:N&gt;,)*W76N,?</w:t>
      </w:r>
    </w:p>
    <w:p>
      <w:pPr>
        <w:spacing w:after="0" w:line="229" w:lineRule="auto"/>
        <w:rPr>
          <w:sz w:val="20"/>
          <w:szCs w:val="20"/>
          <w:color w:val="auto"/>
        </w:rPr>
      </w:pPr>
      <w:r>
        <w:rPr>
          <w:rFonts w:ascii="Arial" w:cs="Arial" w:eastAsia="Arial" w:hAnsi="Arial"/>
          <w:sz w:val="21"/>
          <w:szCs w:val="21"/>
          <w:b w:val="1"/>
          <w:bCs w:val="1"/>
          <w:i w:val="1"/>
          <w:iCs w:val="1"/>
          <w:color w:val="auto"/>
        </w:rPr>
        <w:t>48^^8:VR&amp;3R'_$=D?&amp;JU"^D !!G)_#]M;"XT\A\! MT%F++76]LXT9MK#]*[!DI*2AH[!=M9+@.00NN,Q?</w:t>
      </w:r>
    </w:p>
    <w:p>
      <w:pPr>
        <w:spacing w:after="0" w:line="229" w:lineRule="auto"/>
        <w:rPr>
          <w:sz w:val="20"/>
          <w:szCs w:val="20"/>
          <w:color w:val="auto"/>
        </w:rPr>
      </w:pPr>
      <w:r>
        <w:rPr>
          <w:rFonts w:ascii="Arial" w:cs="Arial" w:eastAsia="Arial" w:hAnsi="Arial"/>
          <w:sz w:val="21"/>
          <w:szCs w:val="21"/>
          <w:b w:val="1"/>
          <w:bCs w:val="1"/>
          <w:i w:val="1"/>
          <w:iCs w:val="1"/>
          <w:color w:val="auto"/>
        </w:rPr>
        <w:t>R\-$S\O%,L8S%ZS&gt;JN6K M!ZY0L0K&gt;D@M?;:G&lt;&amp;/K@)T9_:'^FOB^&gt;8_QCW;TC6$SM/)E/_</w:t>
      </w:r>
    </w:p>
    <w:p>
      <w:pPr>
        <w:spacing w:after="0" w:line="230" w:lineRule="auto"/>
        <w:rPr>
          <w:sz w:val="20"/>
          <w:szCs w:val="20"/>
          <w:color w:val="auto"/>
        </w:rPr>
      </w:pPr>
      <w:r>
        <w:rPr>
          <w:rFonts w:ascii="Arial" w:cs="Arial" w:eastAsia="Arial" w:hAnsi="Arial"/>
          <w:sz w:val="21"/>
          <w:szCs w:val="21"/>
          <w:b w:val="1"/>
          <w:bCs w:val="1"/>
          <w:i w:val="1"/>
          <w:iCs w:val="1"/>
          <w:color w:val="auto"/>
        </w:rPr>
        <w:t>"]OG_VY@7#]1OIZZ)ZFW%_*&gt;,.^D95C$2$BPRW!L$)-RURN12,GWQ92 MZ]^K&gt;DFI&lt;%JG2BZ5&amp;L&gt;EWJ;.(:-SW*-</w:t>
      </w:r>
    </w:p>
    <w:p>
      <w:pPr>
        <w:spacing w:after="0" w:line="229" w:lineRule="auto"/>
        <w:rPr>
          <w:sz w:val="20"/>
          <w:szCs w:val="20"/>
          <w:color w:val="auto"/>
        </w:rPr>
      </w:pPr>
      <w:r>
        <w:rPr>
          <w:rFonts w:ascii="Arial" w:cs="Arial" w:eastAsia="Arial" w:hAnsi="Arial"/>
          <w:sz w:val="21"/>
          <w:szCs w:val="21"/>
          <w:b w:val="1"/>
          <w:bCs w:val="1"/>
          <w:i w:val="1"/>
          <w:iCs w:val="1"/>
          <w:color w:val="auto"/>
        </w:rPr>
        <w:t>[7NI!TX/_+V^?\ VY@74\=M5F660):0S;$\QR?,XR)@X1GD&gt;/X=D%&amp;3C4;)&gt;RR-'O;?</w:t>
      </w:r>
    </w:p>
    <w:p>
      <w:pPr>
        <w:spacing w:after="0"/>
        <w:rPr>
          <w:sz w:val="20"/>
          <w:szCs w:val="20"/>
          <w:color w:val="auto"/>
        </w:rPr>
      </w:pPr>
      <w:r>
        <w:rPr>
          <w:rFonts w:ascii="Arial" w:cs="Arial" w:eastAsia="Arial" w:hAnsi="Arial"/>
          <w:sz w:val="19"/>
          <w:szCs w:val="19"/>
          <w:b w:val="1"/>
          <w:bCs w:val="1"/>
          <w:i w:val="1"/>
          <w:iCs w:val="1"/>
          <w:color w:val="auto"/>
        </w:rPr>
        <w:t>6VQ*&amp;CW5[E5PNQN&gt;U5=.0Z_P"GGT:]JZDY M7Y!U(&gt;I#RANYK\]9''W&gt;&amp;Z_GHG'J8CI[C_AS]@\B)")U?C-K:+2N?O8F1&gt;-K</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M'",;#,VS:1&gt;4M9*.G3A\J&amp;@ M M M M M M M M M M M M M M M M M M M B '__V0$! end </w:t>
      </w:r>
      <w:r>
        <w:rPr>
          <w:rFonts w:ascii="Arial" w:cs="Arial" w:eastAsia="Arial" w:hAnsi="Arial"/>
          <w:sz w:val="21"/>
          <w:szCs w:val="21"/>
          <w:color w:val="auto"/>
        </w:rPr>
        <w:t>"</w:t>
      </w:r>
    </w:p>
    <w:p>
      <w:pPr>
        <w:sectPr>
          <w:pgSz w:w="11900" w:h="16838" w:orient="portrait"/>
          <w:cols w:equalWidth="0" w:num="1">
            <w:col w:w="11240"/>
          </w:cols>
          <w:pgMar w:left="320" w:top="114"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lvl w:ilvl="1">
      <w:lvlJc w:val="left"/>
      <w:lvlText w:val="%2)"/>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5"/>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lvl w:ilvl="1">
      <w:lvlJc w:val="left"/>
      <w:lvlText w:val="◦"/>
      <w:numFmt w:val="bullet"/>
      <w:start w:val="1"/>
    </w:lvl>
  </w:abstractNum>
  <w:abstractNum w:abstractNumId="16">
    <w:nsid w:val="542289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
      <w:numFmt w:val="bullet"/>
      <w:start w:val="1"/>
    </w:lvl>
    <w:lvl w:ilvl="1">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5"/>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3"/>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upperLetter"/>
      <w:start w:val="1"/>
    </w:lvl>
  </w:abstractNum>
  <w:abstractNum w:abstractNumId="56">
    <w:nsid w:val="4AD084E9"/>
    <w:multiLevelType w:val="hybridMultilevel"/>
    <w:lvl w:ilvl="0">
      <w:lvlJc w:val="left"/>
      <w:lvlText w:val="%1:"/>
      <w:numFmt w:val="upperLetter"/>
      <w:start w:val="1"/>
    </w:lvl>
  </w:abstractNum>
  <w:abstractNum w:abstractNumId="57">
    <w:nsid w:val="1F48EAA1"/>
    <w:multiLevelType w:val="hybridMultilevel"/>
    <w:lvl w:ilvl="0">
      <w:lvlJc w:val="left"/>
      <w:lvlText w:val="%1:"/>
      <w:numFmt w:val="upperLetter"/>
      <w:start w:val="1"/>
    </w:lvl>
  </w:abstractNum>
  <w:abstractNum w:abstractNumId="58">
    <w:nsid w:val="1381823A"/>
    <w:multiLevelType w:val="hybridMultilevel"/>
    <w:lvl w:ilvl="0">
      <w:lvlJc w:val="left"/>
      <w:lvlText w:val="%1:"/>
      <w:numFmt w:val="upperLetter"/>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upperLetter"/>
      <w:start w:val="1"/>
    </w:lvl>
  </w:abstractNum>
  <w:abstractNum w:abstractNumId="61">
    <w:nsid w:val="6590700B"/>
    <w:multiLevelType w:val="hybridMultilevel"/>
    <w:lvl w:ilvl="0">
      <w:lvlJc w:val="left"/>
      <w:lvlText w:val="%1:"/>
      <w:numFmt w:val="upperLetter"/>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upperLetter"/>
      <w:start w:val="1"/>
    </w:lvl>
  </w:abstractNum>
  <w:abstractNum w:abstractNumId="64">
    <w:nsid w:val="98A3148"/>
    <w:multiLevelType w:val="hybridMultilevel"/>
    <w:lvl w:ilvl="0">
      <w:lvlJc w:val="left"/>
      <w:lvlText w:val="%1:"/>
      <w:numFmt w:val="upperLetter"/>
      <w:start w:val="1"/>
    </w:lvl>
  </w:abstractNum>
  <w:abstractNum w:abstractNumId="65">
    <w:nsid w:val="799D0247"/>
    <w:multiLevelType w:val="hybridMultilevel"/>
    <w:lvl w:ilvl="0">
      <w:lvlJc w:val="left"/>
      <w:lvlText w:val="%1:"/>
      <w:numFmt w:val="upperLetter"/>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upperLetter"/>
      <w:start w:val="1"/>
    </w:lvl>
  </w:abstractNum>
  <w:abstractNum w:abstractNumId="68">
    <w:nsid w:val="168E121F"/>
    <w:multiLevelType w:val="hybridMultilevel"/>
    <w:lvl w:ilvl="0">
      <w:lvlJc w:val="left"/>
      <w:lvlText w:val="%1:"/>
      <w:numFmt w:val="upperLetter"/>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upperLetter"/>
      <w:start w:val="1"/>
    </w:lvl>
  </w:abstractNum>
  <w:abstractNum w:abstractNumId="71">
    <w:nsid w:val="5DC79EA8"/>
    <w:multiLevelType w:val="hybridMultilevel"/>
    <w:lvl w:ilvl="0">
      <w:lvlJc w:val="left"/>
      <w:lvlText w:val="%1:"/>
      <w:numFmt w:val="upperLetter"/>
      <w:start w:val="1"/>
    </w:lvl>
  </w:abstractNum>
  <w:abstractNum w:abstractNumId="72">
    <w:nsid w:val="540A471C"/>
    <w:multiLevelType w:val="hybridMultilevel"/>
    <w:lvl w:ilvl="0">
      <w:lvlJc w:val="left"/>
      <w:lvlText w:val="%1:"/>
      <w:numFmt w:val="upperLetter"/>
      <w:start w:val="1"/>
    </w:lvl>
  </w:abstractNum>
  <w:abstractNum w:abstractNumId="73">
    <w:nsid w:val="7BD3EE7B"/>
    <w:multiLevelType w:val="hybridMultilevel"/>
    <w:lvl w:ilvl="0">
      <w:lvlJc w:val="left"/>
      <w:lvlText w:val="%1:"/>
      <w:numFmt w:val="upp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2021-04-01T16:27:04Z</dcterms:created>
  <dcterms:modified xsi:type="dcterms:W3CDTF">2021-04-01T16:27:04Z</dcterms:modified>
</cp:coreProperties>
</file>