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32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289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02/23/2018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7"/>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720" w:type="dxa"/>
            <w:vAlign w:val="bottom"/>
            <w:gridSpan w:val="2"/>
          </w:tcPr>
          <w:p>
            <w:pPr>
              <w:ind w:left="120"/>
              <w:spacing w:after="0"/>
              <w:rPr>
                <w:sz w:val="20"/>
                <w:szCs w:val="20"/>
                <w:color w:val="auto"/>
              </w:rPr>
            </w:pPr>
            <w:r>
              <w:rPr>
                <w:rFonts w:ascii="Arial" w:cs="Arial" w:eastAsia="Arial" w:hAnsi="Arial"/>
                <w:sz w:val="17"/>
                <w:szCs w:val="17"/>
                <w:color w:val="0000FF"/>
                <w:w w:val="94"/>
              </w:rPr>
              <w:t>129,630</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Pr>
          <w:p>
            <w:pPr>
              <w:jc w:val="right"/>
              <w:spacing w:after="0"/>
              <w:rPr>
                <w:sz w:val="20"/>
                <w:szCs w:val="20"/>
                <w:color w:val="auto"/>
              </w:rPr>
            </w:pPr>
            <w:r>
              <w:rPr>
                <w:rFonts w:ascii="Arial" w:cs="Arial" w:eastAsia="Arial" w:hAnsi="Arial"/>
                <w:sz w:val="11"/>
                <w:szCs w:val="11"/>
                <w:color w:val="008000"/>
              </w:rPr>
              <w:t>(1)(2)</w:t>
            </w:r>
          </w:p>
        </w:tc>
        <w:tc>
          <w:tcPr>
            <w:tcW w:w="40" w:type="dxa"/>
            <w:vAlign w:val="bottom"/>
          </w:tcPr>
          <w:p>
            <w:pPr>
              <w:spacing w:after="0"/>
              <w:rPr>
                <w:sz w:val="23"/>
                <w:szCs w:val="23"/>
                <w:color w:val="auto"/>
              </w:rPr>
            </w:pP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588,126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Pr>
          <w:p>
            <w:pPr>
              <w:spacing w:after="0"/>
              <w:rPr>
                <w:sz w:val="23"/>
                <w:szCs w:val="23"/>
                <w:color w:val="auto"/>
              </w:rPr>
            </w:pPr>
          </w:p>
        </w:tc>
        <w:tc>
          <w:tcPr>
            <w:tcW w:w="1940" w:type="dxa"/>
            <w:vAlign w:val="bottom"/>
            <w:gridSpan w:val="2"/>
          </w:tcPr>
          <w:p>
            <w:pPr>
              <w:ind w:left="920"/>
              <w:spacing w:after="0"/>
              <w:rPr>
                <w:sz w:val="20"/>
                <w:szCs w:val="20"/>
                <w:color w:val="auto"/>
              </w:rPr>
            </w:pPr>
            <w:r>
              <w:rPr>
                <w:rFonts w:ascii="Arial" w:cs="Arial" w:eastAsia="Arial" w:hAnsi="Arial"/>
                <w:sz w:val="17"/>
                <w:szCs w:val="17"/>
                <w:color w:val="0000FF"/>
              </w:rPr>
              <w:t>02/23/2018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7"/>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720" w:type="dxa"/>
            <w:vAlign w:val="bottom"/>
            <w:gridSpan w:val="2"/>
          </w:tcPr>
          <w:p>
            <w:pPr>
              <w:ind w:left="120"/>
              <w:spacing w:after="0"/>
              <w:rPr>
                <w:sz w:val="20"/>
                <w:szCs w:val="20"/>
                <w:color w:val="auto"/>
              </w:rPr>
            </w:pPr>
            <w:r>
              <w:rPr>
                <w:rFonts w:ascii="Arial" w:cs="Arial" w:eastAsia="Arial" w:hAnsi="Arial"/>
                <w:sz w:val="17"/>
                <w:szCs w:val="17"/>
                <w:color w:val="0000FF"/>
                <w:w w:val="94"/>
              </w:rPr>
              <w:t>129,630</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3.74</w:t>
            </w:r>
          </w:p>
        </w:tc>
        <w:tc>
          <w:tcPr>
            <w:tcW w:w="1360" w:type="dxa"/>
            <w:vAlign w:val="bottom"/>
            <w:gridSpan w:val="3"/>
          </w:tcPr>
          <w:p>
            <w:pPr>
              <w:ind w:left="420"/>
              <w:spacing w:after="0"/>
              <w:rPr>
                <w:sz w:val="20"/>
                <w:szCs w:val="20"/>
                <w:color w:val="auto"/>
              </w:rPr>
            </w:pPr>
            <w:r>
              <w:rPr>
                <w:rFonts w:ascii="Arial" w:cs="Arial" w:eastAsia="Arial" w:hAnsi="Arial"/>
                <w:sz w:val="17"/>
                <w:szCs w:val="17"/>
                <w:color w:val="0000FF"/>
              </w:rPr>
              <w:t>458,496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02/23/2018</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64,815</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w w:val="88"/>
              </w:rPr>
              <w:t>(1)</w:t>
            </w:r>
          </w:p>
        </w:tc>
        <w:tc>
          <w:tcPr>
            <w:tcW w:w="16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64,815</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64,815</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Share</w:t>
            </w:r>
          </w:p>
        </w:tc>
        <w:tc>
          <w:tcPr>
            <w:tcW w:w="5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02/23/2018</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64,815</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w w:val="88"/>
              </w:rPr>
              <w:t>(2)</w:t>
            </w:r>
          </w:p>
        </w:tc>
        <w:tc>
          <w:tcPr>
            <w:tcW w:w="16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64,815</w:t>
            </w:r>
          </w:p>
        </w:tc>
        <w:tc>
          <w:tcPr>
            <w:tcW w:w="4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(2)</w:t>
            </w:r>
          </w:p>
        </w:tc>
        <w:tc>
          <w:tcPr>
            <w:tcW w:w="640" w:type="dxa"/>
            <w:vAlign w:val="bottom"/>
          </w:tcPr>
          <w:p>
            <w:pPr>
              <w:ind w:left="260"/>
              <w:spacing w:after="0"/>
              <w:rPr>
                <w:sz w:val="20"/>
                <w:szCs w:val="20"/>
                <w:color w:val="auto"/>
              </w:rPr>
            </w:pPr>
            <w:r>
              <w:rPr>
                <w:rFonts w:ascii="Arial" w:cs="Arial" w:eastAsia="Arial" w:hAnsi="Arial"/>
                <w:sz w:val="13"/>
                <w:szCs w:val="13"/>
                <w:color w:val="0000FF"/>
                <w:w w:val="90"/>
              </w:rPr>
              <w:t>64,814</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 Unit</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or shares. The phantom shares vest at various times based on the grant date. 64,815 shares vested on February 23, 2018.</w:t>
      </w:r>
    </w:p>
    <w:p>
      <w:pPr>
        <w:spacing w:after="0" w:line="10"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share unit is the economic equivalent of one Civeo common share and is payable in cash or shares. The restricted share units vest at various times based on the grant date. 64,815 units vested on February 23, 2018.</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Chief Financial Officer &amp; Treasurer</w:t>
      </w:r>
    </w:p>
    <w:p>
      <w:pPr>
        <w:ind w:left="6860"/>
        <w:spacing w:after="0" w:line="190" w:lineRule="auto"/>
        <w:rPr>
          <w:sz w:val="20"/>
          <w:szCs w:val="20"/>
          <w:color w:val="auto"/>
        </w:rPr>
      </w:pPr>
      <w:r>
        <w:rPr>
          <w:rFonts w:ascii="Arial" w:cs="Arial" w:eastAsia="Arial" w:hAnsi="Arial"/>
          <w:sz w:val="17"/>
          <w:szCs w:val="17"/>
          <w:color w:val="0000FF"/>
        </w:rPr>
        <w:t xml:space="preserve">/s/ Frank Steininger, by Bradley </w:t>
      </w:r>
      <w:r>
        <w:rPr>
          <w:rFonts w:ascii="Arial" w:cs="Arial" w:eastAsia="Arial" w:hAnsi="Arial"/>
          <w:sz w:val="34"/>
          <w:szCs w:val="34"/>
          <w:color w:val="0000FF"/>
          <w:vertAlign w:val="subscript"/>
        </w:rPr>
        <w:t>02/27/2018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2019-12-08T07:53:31Z</dcterms:created>
  <dcterms:modified xsi:type="dcterms:W3CDTF">2019-12-08T07:53:31Z</dcterms:modified>
</cp:coreProperties>
</file>