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7"/>
          <w:szCs w:val="17"/>
          <w:color w:val="auto"/>
        </w:rPr>
        <w:t>UNITED STATES</w:t>
      </w:r>
    </w:p>
    <w:p>
      <w:pPr>
        <w:spacing w:after="0" w:line="32"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14"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One)</w:t>
      </w:r>
    </w:p>
    <w:p>
      <w:pPr>
        <w:spacing w:after="0" w:line="144" w:lineRule="exact"/>
        <w:rPr>
          <w:sz w:val="24"/>
          <w:szCs w:val="24"/>
          <w:color w:val="auto"/>
        </w:rPr>
      </w:pPr>
    </w:p>
    <w:p>
      <w:pPr>
        <w:ind w:left="820" w:hanging="785"/>
        <w:spacing w:after="0"/>
        <w:tabs>
          <w:tab w:leader="none" w:pos="8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123"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7"/>
          <w:szCs w:val="17"/>
          <w:color w:val="auto"/>
        </w:rPr>
        <w:t>For the quarterly period ended June 30, 2025</w:t>
      </w:r>
    </w:p>
    <w:p>
      <w:pPr>
        <w:spacing w:after="0" w:line="66"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OR</w:t>
      </w:r>
    </w:p>
    <w:p>
      <w:pPr>
        <w:spacing w:after="0" w:line="105" w:lineRule="exact"/>
        <w:rPr>
          <w:sz w:val="24"/>
          <w:szCs w:val="24"/>
          <w:color w:val="auto"/>
        </w:rPr>
      </w:pPr>
    </w:p>
    <w:p>
      <w:pPr>
        <w:ind w:left="1280" w:hanging="788"/>
        <w:spacing w:after="0"/>
        <w:tabs>
          <w:tab w:leader="none" w:pos="12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TRANSITION REPORT PURSUANT TO SECTION 13 OR 15(d) OF THE SECURITIES EXCHANGE ACT OF 1934</w:t>
      </w:r>
    </w:p>
    <w:p>
      <w:pPr>
        <w:spacing w:after="0" w:line="249"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7"/>
          <w:szCs w:val="17"/>
          <w:color w:val="auto"/>
        </w:rPr>
        <w:t>For the transition period from _________________________ to _________________________</w:t>
      </w:r>
    </w:p>
    <w:p>
      <w:pPr>
        <w:spacing w:after="0" w:line="1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 xml:space="preserve">Commission file number: </w:t>
      </w:r>
      <w:r>
        <w:rPr>
          <w:rFonts w:ascii="Times New Roman" w:cs="Times New Roman" w:eastAsia="Times New Roman" w:hAnsi="Times New Roman"/>
          <w:sz w:val="17"/>
          <w:szCs w:val="17"/>
          <w:u w:val="single" w:color="auto"/>
          <w:color w:val="auto"/>
        </w:rPr>
        <w:t>001-36246</w:t>
      </w:r>
    </w:p>
    <w:p>
      <w:pPr>
        <w:spacing w:after="0" w:line="1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Civeo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2940685</wp:posOffset>
            </wp:positionH>
            <wp:positionV relativeFrom="paragraph">
              <wp:posOffset>40640</wp:posOffset>
            </wp:positionV>
            <wp:extent cx="13608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spacing w:after="0" w:line="15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42" w:lineRule="exact"/>
        <w:rPr>
          <w:sz w:val="24"/>
          <w:szCs w:val="24"/>
          <w:color w:val="auto"/>
        </w:rPr>
      </w:pPr>
    </w:p>
    <w:tbl>
      <w:tblPr>
        <w:tblLayout w:type="fixed"/>
        <w:tblInd w:w="1100" w:type="dxa"/>
        <w:tblCellMar>
          <w:top w:w="0" w:type="dxa"/>
          <w:left w:w="0" w:type="dxa"/>
          <w:bottom w:w="0" w:type="dxa"/>
          <w:right w:w="0" w:type="dxa"/>
        </w:tblCellMar>
      </w:tblPr>
      <w:tr>
        <w:trPr>
          <w:trHeight w:val="195"/>
        </w:trPr>
        <w:tc>
          <w:tcPr>
            <w:tcW w:w="800" w:type="dxa"/>
            <w:vAlign w:val="bottom"/>
          </w:tcPr>
          <w:p>
            <w:pPr>
              <w:spacing w:after="0"/>
              <w:rPr>
                <w:sz w:val="17"/>
                <w:szCs w:val="17"/>
                <w:color w:val="auto"/>
              </w:rPr>
            </w:pPr>
          </w:p>
        </w:tc>
        <w:tc>
          <w:tcPr>
            <w:tcW w:w="2920" w:type="dxa"/>
            <w:vAlign w:val="bottom"/>
            <w:gridSpan w:val="2"/>
          </w:tcPr>
          <w:p>
            <w:pPr>
              <w:jc w:val="center"/>
              <w:ind w:right="1120"/>
              <w:spacing w:after="0"/>
              <w:rPr>
                <w:sz w:val="20"/>
                <w:szCs w:val="20"/>
                <w:color w:val="auto"/>
              </w:rPr>
            </w:pPr>
            <w:r>
              <w:rPr>
                <w:rFonts w:ascii="Times New Roman" w:cs="Times New Roman" w:eastAsia="Times New Roman" w:hAnsi="Times New Roman"/>
                <w:sz w:val="17"/>
                <w:szCs w:val="17"/>
                <w:color w:val="auto"/>
              </w:rPr>
              <w:t>British Columbia, Canada</w:t>
            </w:r>
          </w:p>
        </w:tc>
        <w:tc>
          <w:tcPr>
            <w:tcW w:w="4220" w:type="dxa"/>
            <w:vAlign w:val="bottom"/>
            <w:gridSpan w:val="5"/>
          </w:tcPr>
          <w:p>
            <w:pPr>
              <w:jc w:val="right"/>
              <w:ind w:right="220"/>
              <w:spacing w:after="0"/>
              <w:rPr>
                <w:sz w:val="20"/>
                <w:szCs w:val="20"/>
                <w:color w:val="auto"/>
              </w:rPr>
            </w:pPr>
            <w:r>
              <w:rPr>
                <w:rFonts w:ascii="Times New Roman" w:cs="Times New Roman" w:eastAsia="Times New Roman" w:hAnsi="Times New Roman"/>
                <w:sz w:val="17"/>
                <w:szCs w:val="17"/>
                <w:color w:val="auto"/>
              </w:rPr>
              <w:t>98-1253716</w:t>
            </w:r>
          </w:p>
        </w:tc>
      </w:tr>
      <w:tr>
        <w:trPr>
          <w:trHeight w:val="20"/>
        </w:trPr>
        <w:tc>
          <w:tcPr>
            <w:tcW w:w="8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6"/>
        </w:trPr>
        <w:tc>
          <w:tcPr>
            <w:tcW w:w="372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color w:val="auto"/>
              </w:rPr>
              <w:t>(State or other jurisdiction of</w:t>
            </w:r>
          </w:p>
        </w:tc>
        <w:tc>
          <w:tcPr>
            <w:tcW w:w="4220" w:type="dxa"/>
            <w:vAlign w:val="bottom"/>
            <w:gridSpan w:val="5"/>
          </w:tcPr>
          <w:p>
            <w:pPr>
              <w:jc w:val="center"/>
              <w:ind w:left="2853"/>
              <w:spacing w:after="0"/>
              <w:rPr>
                <w:sz w:val="20"/>
                <w:szCs w:val="20"/>
                <w:color w:val="auto"/>
              </w:rPr>
            </w:pPr>
            <w:r>
              <w:rPr>
                <w:rFonts w:ascii="Times New Roman" w:cs="Times New Roman" w:eastAsia="Times New Roman" w:hAnsi="Times New Roman"/>
                <w:sz w:val="17"/>
                <w:szCs w:val="17"/>
                <w:color w:val="auto"/>
              </w:rPr>
              <w:t>(I.R.S. Employer</w:t>
            </w:r>
          </w:p>
        </w:tc>
      </w:tr>
      <w:tr>
        <w:trPr>
          <w:trHeight w:val="227"/>
        </w:trPr>
        <w:tc>
          <w:tcPr>
            <w:tcW w:w="372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4220" w:type="dxa"/>
            <w:vAlign w:val="bottom"/>
            <w:gridSpan w:val="5"/>
          </w:tcPr>
          <w:p>
            <w:pPr>
              <w:jc w:val="center"/>
              <w:ind w:left="2853"/>
              <w:spacing w:after="0"/>
              <w:rPr>
                <w:sz w:val="20"/>
                <w:szCs w:val="20"/>
                <w:color w:val="auto"/>
              </w:rPr>
            </w:pPr>
            <w:r>
              <w:rPr>
                <w:rFonts w:ascii="Times New Roman" w:cs="Times New Roman" w:eastAsia="Times New Roman" w:hAnsi="Times New Roman"/>
                <w:sz w:val="17"/>
                <w:szCs w:val="17"/>
                <w:color w:val="auto"/>
              </w:rPr>
              <w:t>Identification No.)</w:t>
            </w:r>
          </w:p>
        </w:tc>
      </w:tr>
      <w:tr>
        <w:trPr>
          <w:trHeight w:val="405"/>
        </w:trPr>
        <w:tc>
          <w:tcPr>
            <w:tcW w:w="372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color w:val="auto"/>
              </w:rPr>
              <w:t>Three Allen Center, 333 Clay Street, Suite 4400,</w:t>
            </w:r>
          </w:p>
        </w:tc>
        <w:tc>
          <w:tcPr>
            <w:tcW w:w="3360" w:type="dxa"/>
            <w:vAlign w:val="bottom"/>
            <w:gridSpan w:val="2"/>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77002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6"/>
        </w:trPr>
        <w:tc>
          <w:tcPr>
            <w:tcW w:w="800" w:type="dxa"/>
            <w:vAlign w:val="bottom"/>
          </w:tcPr>
          <w:p>
            <w:pPr>
              <w:spacing w:after="0"/>
              <w:rPr>
                <w:sz w:val="20"/>
                <w:szCs w:val="20"/>
                <w:color w:val="auto"/>
              </w:rPr>
            </w:pPr>
          </w:p>
        </w:tc>
        <w:tc>
          <w:tcPr>
            <w:tcW w:w="2920" w:type="dxa"/>
            <w:vAlign w:val="bottom"/>
            <w:gridSpan w:val="2"/>
          </w:tcPr>
          <w:p>
            <w:pPr>
              <w:jc w:val="center"/>
              <w:ind w:right="1120"/>
              <w:spacing w:after="0"/>
              <w:rPr>
                <w:sz w:val="20"/>
                <w:szCs w:val="20"/>
                <w:color w:val="auto"/>
              </w:rPr>
            </w:pPr>
            <w:r>
              <w:rPr>
                <w:rFonts w:ascii="Times New Roman" w:cs="Times New Roman" w:eastAsia="Times New Roman" w:hAnsi="Times New Roman"/>
                <w:sz w:val="17"/>
                <w:szCs w:val="17"/>
                <w:color w:val="auto"/>
              </w:rPr>
              <w:t>Houston, Texas</w:t>
            </w:r>
          </w:p>
        </w:tc>
        <w:tc>
          <w:tcPr>
            <w:tcW w:w="3160" w:type="dxa"/>
            <w:vAlign w:val="bottom"/>
          </w:tcPr>
          <w:p>
            <w:pPr>
              <w:spacing w:after="0"/>
              <w:rPr>
                <w:sz w:val="20"/>
                <w:szCs w:val="20"/>
                <w:color w:val="auto"/>
              </w:rPr>
            </w:pPr>
          </w:p>
        </w:tc>
        <w:tc>
          <w:tcPr>
            <w:tcW w:w="1060" w:type="dxa"/>
            <w:vAlign w:val="bottom"/>
            <w:gridSpan w:val="4"/>
          </w:tcPr>
          <w:p>
            <w:pPr>
              <w:jc w:val="center"/>
              <w:ind w:right="220"/>
              <w:spacing w:after="0"/>
              <w:rPr>
                <w:sz w:val="20"/>
                <w:szCs w:val="20"/>
                <w:color w:val="auto"/>
              </w:rPr>
            </w:pPr>
            <w:r>
              <w:rPr>
                <w:rFonts w:ascii="Times New Roman" w:cs="Times New Roman" w:eastAsia="Times New Roman" w:hAnsi="Times New Roman"/>
                <w:sz w:val="17"/>
                <w:szCs w:val="17"/>
                <w:color w:val="auto"/>
              </w:rPr>
              <w:t>(Zip Code)</w:t>
            </w:r>
          </w:p>
        </w:tc>
      </w:tr>
      <w:tr>
        <w:trPr>
          <w:trHeight w:val="227"/>
        </w:trPr>
        <w:tc>
          <w:tcPr>
            <w:tcW w:w="372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3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301"/>
        </w:trPr>
        <w:tc>
          <w:tcPr>
            <w:tcW w:w="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60" w:type="dxa"/>
            <w:vAlign w:val="bottom"/>
          </w:tcPr>
          <w:p>
            <w:pPr>
              <w:jc w:val="right"/>
              <w:ind w:right="1653"/>
              <w:spacing w:after="0"/>
              <w:rPr>
                <w:sz w:val="20"/>
                <w:szCs w:val="20"/>
                <w:color w:val="auto"/>
              </w:rPr>
            </w:pPr>
            <w:r>
              <w:rPr>
                <w:rFonts w:ascii="Times New Roman" w:cs="Times New Roman" w:eastAsia="Times New Roman" w:hAnsi="Times New Roman"/>
                <w:sz w:val="17"/>
                <w:szCs w:val="17"/>
                <w:color w:val="auto"/>
              </w:rPr>
              <w:t>(713) 510-2400</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86"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40"/>
          </w:cols>
          <w:pgMar w:left="320" w:top="1440" w:right="339" w:bottom="1440" w:gutter="0" w:footer="0" w:header="0"/>
        </w:sectPr>
      </w:pPr>
    </w:p>
    <w:p>
      <w:pPr>
        <w:spacing w:after="0" w:line="162"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6"/>
          <w:szCs w:val="16"/>
          <w:color w:val="auto"/>
        </w:rPr>
        <w:t>Title of Each Class</w:t>
      </w:r>
    </w:p>
    <w:p>
      <w:pPr>
        <w:spacing w:after="0" w:line="25"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5"/>
          <w:szCs w:val="15"/>
          <w:color w:val="auto"/>
        </w:rPr>
        <w:t>Common Shares, no par value</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5"/>
          <w:szCs w:val="15"/>
          <w:color w:val="auto"/>
        </w:rPr>
        <w:t>Trading Symbol</w:t>
      </w:r>
    </w:p>
    <w:p>
      <w:pPr>
        <w:spacing w:after="0" w:line="37"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6"/>
          <w:szCs w:val="16"/>
          <w:color w:val="auto"/>
        </w:rPr>
        <w:t>CVEO</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5"/>
          <w:szCs w:val="15"/>
          <w:color w:val="auto"/>
        </w:rPr>
        <w:t>Name of Each Exchange on Which Registered</w:t>
      </w:r>
    </w:p>
    <w:p>
      <w:pPr>
        <w:spacing w:after="0" w:line="37"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6"/>
          <w:szCs w:val="16"/>
          <w:color w:val="auto"/>
        </w:rPr>
        <w:t>New York Stock Exchange</w:t>
      </w:r>
    </w:p>
    <w:p>
      <w:pPr>
        <w:spacing w:after="0" w:line="108" w:lineRule="exact"/>
        <w:rPr>
          <w:sz w:val="24"/>
          <w:szCs w:val="24"/>
          <w:color w:val="auto"/>
        </w:rPr>
      </w:pPr>
    </w:p>
    <w:p>
      <w:pPr>
        <w:sectPr>
          <w:pgSz w:w="11900" w:h="16838" w:orient="portrait"/>
          <w:cols w:equalWidth="0" w:num="3">
            <w:col w:w="3580" w:space="720"/>
            <w:col w:w="1760" w:space="720"/>
            <w:col w:w="4460"/>
          </w:cols>
          <w:pgMar w:left="320" w:top="1440" w:right="339" w:bottom="1440" w:gutter="0" w:footer="0" w:header="0"/>
          <w:type w:val="continuous"/>
        </w:sectPr>
      </w:pPr>
    </w:p>
    <w:p>
      <w:pPr>
        <w:ind w:right="280"/>
        <w:spacing w:after="0" w:line="252"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3260"/>
        <w:spacing w:after="0" w:line="161" w:lineRule="exact"/>
        <w:tabs>
          <w:tab w:leader="none" w:pos="3780" w:val="left"/>
          <w:tab w:leader="none" w:pos="7220" w:val="left"/>
          <w:tab w:leader="none" w:pos="772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06" w:lineRule="exact"/>
        <w:rPr>
          <w:sz w:val="24"/>
          <w:szCs w:val="24"/>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98" w:lineRule="exact"/>
        <w:rPr>
          <w:sz w:val="24"/>
          <w:szCs w:val="24"/>
          <w:color w:val="auto"/>
        </w:rPr>
      </w:pPr>
    </w:p>
    <w:p>
      <w:pPr>
        <w:ind w:left="3260"/>
        <w:spacing w:after="0" w:line="161" w:lineRule="exact"/>
        <w:tabs>
          <w:tab w:leader="none" w:pos="3780" w:val="left"/>
          <w:tab w:leader="none" w:pos="7220" w:val="left"/>
          <w:tab w:leader="none" w:pos="772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10" w:lineRule="exact"/>
        <w:rPr>
          <w:sz w:val="24"/>
          <w:szCs w:val="24"/>
          <w:color w:val="auto"/>
        </w:rPr>
      </w:pPr>
    </w:p>
    <w:p>
      <w:pPr>
        <w:ind w:right="20"/>
        <w:spacing w:after="0" w:line="28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type w:val="continuous"/>
        </w:sectPr>
      </w:pPr>
    </w:p>
    <w:p>
      <w:pPr>
        <w:spacing w:after="0" w:line="14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3" w:lineRule="exact"/>
        <w:rPr>
          <w:sz w:val="24"/>
          <w:szCs w:val="24"/>
          <w:color w:val="auto"/>
        </w:rPr>
      </w:pPr>
    </w:p>
    <w:p>
      <w:pPr>
        <w:sectPr>
          <w:pgSz w:w="11900" w:h="16838" w:orient="portrait"/>
          <w:cols w:equalWidth="0" w:num="6">
            <w:col w:w="1340" w:space="560"/>
            <w:col w:w="160" w:space="420"/>
            <w:col w:w="1540" w:space="720"/>
            <w:col w:w="160" w:space="440"/>
            <w:col w:w="2260" w:space="720"/>
            <w:col w:w="2920"/>
          </w:cols>
          <w:pgMar w:left="320" w:top="1440" w:right="339" w:bottom="1440" w:gutter="0" w:footer="0" w:header="0"/>
          <w:type w:val="continuous"/>
        </w:sectPr>
      </w:pPr>
    </w:p>
    <w:p>
      <w:pPr>
        <w:spacing w:after="0" w:line="6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9"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72" w:lineRule="exact"/>
        <w:rPr>
          <w:sz w:val="24"/>
          <w:szCs w:val="24"/>
          <w:color w:val="auto"/>
        </w:rPr>
      </w:pPr>
    </w:p>
    <w:p>
      <w:pPr>
        <w:sectPr>
          <w:pgSz w:w="11900" w:h="16838" w:orient="portrait"/>
          <w:cols w:equalWidth="0" w:num="4">
            <w:col w:w="1280" w:space="620"/>
            <w:col w:w="160" w:space="420"/>
            <w:col w:w="1600" w:space="660"/>
            <w:col w:w="6500"/>
          </w:cols>
          <w:pgMar w:left="320" w:top="1440" w:right="339" w:bottom="1440" w:gutter="0" w:footer="0" w:header="0"/>
          <w:type w:val="continuous"/>
        </w:sectPr>
      </w:pPr>
    </w:p>
    <w:p>
      <w:pPr>
        <w:spacing w:after="0" w:line="149" w:lineRule="exact"/>
        <w:rPr>
          <w:sz w:val="24"/>
          <w:szCs w:val="24"/>
          <w:color w:val="auto"/>
        </w:rPr>
      </w:pPr>
    </w:p>
    <w:p>
      <w:pPr>
        <w:ind w:right="360"/>
        <w:spacing w:after="0" w:line="20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571500</wp:posOffset>
            </wp:positionV>
            <wp:extent cx="716216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49" w:lineRule="exact"/>
        <w:rPr>
          <w:sz w:val="20"/>
          <w:szCs w:val="20"/>
          <w:color w:val="auto"/>
        </w:rPr>
      </w:pPr>
    </w:p>
    <w:p>
      <w:pPr>
        <w:jc w:val="both"/>
        <w:ind w:left="3260"/>
        <w:spacing w:after="0" w:line="161" w:lineRule="exact"/>
        <w:tabs>
          <w:tab w:leader="none" w:pos="3780" w:val="left"/>
          <w:tab w:leader="none" w:pos="7220" w:val="left"/>
          <w:tab w:leader="none" w:pos="772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Registrant had 12,551,769 common shares outstanding as of July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563245</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7"/>
          <w:szCs w:val="17"/>
          <w:color w:val="auto"/>
        </w:rPr>
        <w:t>CIVEO CORPORATION</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INDEX</w:t>
      </w:r>
    </w:p>
    <w:p>
      <w:pPr>
        <w:spacing w:after="0" w:line="151" w:lineRule="exact"/>
        <w:rPr>
          <w:sz w:val="20"/>
          <w:szCs w:val="20"/>
          <w:color w:val="auto"/>
        </w:rPr>
      </w:pPr>
    </w:p>
    <w:p>
      <w:pPr>
        <w:ind w:left="10500"/>
        <w:spacing w:after="0"/>
        <w:rPr>
          <w:sz w:val="20"/>
          <w:szCs w:val="20"/>
          <w:color w:val="auto"/>
        </w:rPr>
      </w:pPr>
      <w:r>
        <w:rPr>
          <w:rFonts w:ascii="Times New Roman" w:cs="Times New Roman" w:eastAsia="Times New Roman" w:hAnsi="Times New Roman"/>
          <w:sz w:val="14"/>
          <w:szCs w:val="14"/>
          <w:b w:val="1"/>
          <w:bCs w:val="1"/>
          <w:u w:val="single" w:color="auto"/>
          <w:color w:val="auto"/>
        </w:rPr>
        <w:t>Page No.</w:t>
      </w:r>
    </w:p>
    <w:p>
      <w:pPr>
        <w:spacing w:after="0" w:line="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36765" cy="124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765" cy="124460"/>
                    </a:xfrm>
                    <a:prstGeom prst="rect">
                      <a:avLst/>
                    </a:prstGeom>
                    <a:noFill/>
                  </pic:spPr>
                </pic:pic>
              </a:graphicData>
            </a:graphic>
          </wp:anchor>
        </w:drawing>
      </w: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36765" cy="124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765" cy="12446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0" w:type="dxa"/>
            <w:vAlign w:val="bottom"/>
            <w:shd w:val="clear" w:color="auto" w:fill="CCEEFF"/>
          </w:tcPr>
          <w:p>
            <w:pPr>
              <w:spacing w:after="0"/>
              <w:rPr>
                <w:sz w:val="17"/>
                <w:szCs w:val="17"/>
                <w:color w:val="auto"/>
              </w:rPr>
            </w:pPr>
          </w:p>
        </w:tc>
        <w:tc>
          <w:tcPr>
            <w:tcW w:w="10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Consolidated Financial Statements</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44"/>
        </w:trPr>
        <w:tc>
          <w:tcPr>
            <w:tcW w:w="560" w:type="dxa"/>
            <w:vAlign w:val="bottom"/>
          </w:tcPr>
          <w:p>
            <w:pPr>
              <w:spacing w:after="0"/>
              <w:rPr>
                <w:sz w:val="12"/>
                <w:szCs w:val="12"/>
                <w:color w:val="auto"/>
              </w:rPr>
            </w:pPr>
          </w:p>
        </w:tc>
        <w:tc>
          <w:tcPr>
            <w:tcW w:w="10520" w:type="dxa"/>
            <w:vAlign w:val="bottom"/>
          </w:tcPr>
          <w:p>
            <w:pPr>
              <w:ind w:left="200"/>
              <w:spacing w:after="0" w:line="144" w:lineRule="exact"/>
              <w:rPr>
                <w:sz w:val="20"/>
                <w:szCs w:val="20"/>
                <w:color w:val="auto"/>
              </w:rPr>
            </w:pPr>
            <w:r>
              <w:rPr>
                <w:rFonts w:ascii="Times New Roman" w:cs="Times New Roman" w:eastAsia="Times New Roman" w:hAnsi="Times New Roman"/>
                <w:sz w:val="14"/>
                <w:szCs w:val="14"/>
                <w:color w:val="auto"/>
              </w:rPr>
              <w:t>Unaudited Consolidated Statements of Operations for the Three and Six Months Ended June 30, 2025 and 2024</w:t>
            </w:r>
          </w:p>
        </w:tc>
        <w:tc>
          <w:tcPr>
            <w:tcW w:w="1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rPr>
              <w:t>4</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44"/>
        </w:trPr>
        <w:tc>
          <w:tcPr>
            <w:tcW w:w="560" w:type="dxa"/>
            <w:vAlign w:val="bottom"/>
            <w:shd w:val="clear" w:color="auto" w:fill="CCEEFF"/>
          </w:tcPr>
          <w:p>
            <w:pPr>
              <w:spacing w:after="0"/>
              <w:rPr>
                <w:sz w:val="12"/>
                <w:szCs w:val="12"/>
                <w:color w:val="auto"/>
              </w:rPr>
            </w:pPr>
          </w:p>
        </w:tc>
        <w:tc>
          <w:tcPr>
            <w:tcW w:w="10520" w:type="dxa"/>
            <w:vAlign w:val="bottom"/>
            <w:shd w:val="clear" w:color="auto" w:fill="CCEEFF"/>
          </w:tcPr>
          <w:p>
            <w:pPr>
              <w:ind w:left="200"/>
              <w:spacing w:after="0" w:line="144" w:lineRule="exact"/>
              <w:rPr>
                <w:sz w:val="20"/>
                <w:szCs w:val="20"/>
                <w:color w:val="auto"/>
              </w:rPr>
            </w:pPr>
            <w:r>
              <w:rPr>
                <w:rFonts w:ascii="Times New Roman" w:cs="Times New Roman" w:eastAsia="Times New Roman" w:hAnsi="Times New Roman"/>
                <w:sz w:val="14"/>
                <w:szCs w:val="14"/>
                <w:color w:val="auto"/>
              </w:rPr>
              <w:t>Unaudited Consolidated Statements of Comprehensive Income (Loss) for the Three and Six Months Ended June 30, 2025 and 2024</w:t>
            </w:r>
          </w:p>
        </w:tc>
        <w:tc>
          <w:tcPr>
            <w:tcW w:w="1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rPr>
              <w:t>5</w:t>
            </w:r>
          </w:p>
        </w:tc>
        <w:tc>
          <w:tcPr>
            <w:tcW w:w="20" w:type="dxa"/>
            <w:vAlign w:val="bottom"/>
            <w:shd w:val="clear" w:color="auto" w:fill="CCEEFF"/>
          </w:tcPr>
          <w:p>
            <w:pPr>
              <w:spacing w:after="0"/>
              <w:rPr>
                <w:sz w:val="12"/>
                <w:szCs w:val="12"/>
                <w:color w:val="auto"/>
              </w:rPr>
            </w:pPr>
          </w:p>
        </w:tc>
      </w:tr>
      <w:tr>
        <w:trPr>
          <w:trHeight w:val="32"/>
        </w:trPr>
        <w:tc>
          <w:tcPr>
            <w:tcW w:w="560" w:type="dxa"/>
            <w:vAlign w:val="bottom"/>
            <w:tcBorders>
              <w:top w:val="single" w:sz="8" w:color="CCEEFF"/>
            </w:tcBorders>
            <w:shd w:val="clear" w:color="auto" w:fill="CCEEFF"/>
          </w:tcPr>
          <w:p>
            <w:pPr>
              <w:spacing w:after="0"/>
              <w:rPr>
                <w:sz w:val="2"/>
                <w:szCs w:val="2"/>
                <w:color w:val="auto"/>
              </w:rPr>
            </w:pPr>
          </w:p>
        </w:tc>
        <w:tc>
          <w:tcPr>
            <w:tcW w:w="10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44"/>
        </w:trPr>
        <w:tc>
          <w:tcPr>
            <w:tcW w:w="560" w:type="dxa"/>
            <w:vAlign w:val="bottom"/>
          </w:tcPr>
          <w:p>
            <w:pPr>
              <w:spacing w:after="0"/>
              <w:rPr>
                <w:sz w:val="12"/>
                <w:szCs w:val="12"/>
                <w:color w:val="auto"/>
              </w:rPr>
            </w:pPr>
          </w:p>
        </w:tc>
        <w:tc>
          <w:tcPr>
            <w:tcW w:w="10520" w:type="dxa"/>
            <w:vAlign w:val="bottom"/>
          </w:tcPr>
          <w:p>
            <w:pPr>
              <w:ind w:left="200"/>
              <w:spacing w:after="0" w:line="144" w:lineRule="exact"/>
              <w:rPr>
                <w:sz w:val="20"/>
                <w:szCs w:val="20"/>
                <w:color w:val="auto"/>
              </w:rPr>
            </w:pPr>
            <w:r>
              <w:rPr>
                <w:rFonts w:ascii="Times New Roman" w:cs="Times New Roman" w:eastAsia="Times New Roman" w:hAnsi="Times New Roman"/>
                <w:sz w:val="14"/>
                <w:szCs w:val="14"/>
                <w:color w:val="auto"/>
              </w:rPr>
              <w:t>Consolidated Balance Sheets – as of June 30, 2025 (unaudited) and December 31, 2024</w:t>
            </w:r>
          </w:p>
        </w:tc>
        <w:tc>
          <w:tcPr>
            <w:tcW w:w="1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rPr>
              <w:t>6</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44"/>
        </w:trPr>
        <w:tc>
          <w:tcPr>
            <w:tcW w:w="560" w:type="dxa"/>
            <w:vAlign w:val="bottom"/>
            <w:shd w:val="clear" w:color="auto" w:fill="CCEEFF"/>
          </w:tcPr>
          <w:p>
            <w:pPr>
              <w:spacing w:after="0"/>
              <w:rPr>
                <w:sz w:val="12"/>
                <w:szCs w:val="12"/>
                <w:color w:val="auto"/>
              </w:rPr>
            </w:pPr>
          </w:p>
        </w:tc>
        <w:tc>
          <w:tcPr>
            <w:tcW w:w="10520" w:type="dxa"/>
            <w:vAlign w:val="bottom"/>
            <w:shd w:val="clear" w:color="auto" w:fill="CCEEFF"/>
          </w:tcPr>
          <w:p>
            <w:pPr>
              <w:ind w:left="200"/>
              <w:spacing w:after="0" w:line="144" w:lineRule="exact"/>
              <w:rPr>
                <w:sz w:val="20"/>
                <w:szCs w:val="20"/>
                <w:color w:val="auto"/>
              </w:rPr>
            </w:pPr>
            <w:r>
              <w:rPr>
                <w:rFonts w:ascii="Times New Roman" w:cs="Times New Roman" w:eastAsia="Times New Roman" w:hAnsi="Times New Roman"/>
                <w:sz w:val="14"/>
                <w:szCs w:val="14"/>
                <w:color w:val="auto"/>
              </w:rPr>
              <w:t>Unaudited Consolidated Statements of Changes in Shareholders’ Equity for the Three and Six Months Ended June 30, 2025 and 2024</w:t>
            </w:r>
          </w:p>
        </w:tc>
        <w:tc>
          <w:tcPr>
            <w:tcW w:w="1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rPr>
              <w:t>7</w:t>
            </w:r>
          </w:p>
        </w:tc>
        <w:tc>
          <w:tcPr>
            <w:tcW w:w="20" w:type="dxa"/>
            <w:vAlign w:val="bottom"/>
            <w:shd w:val="clear" w:color="auto" w:fill="CCEEFF"/>
          </w:tcPr>
          <w:p>
            <w:pPr>
              <w:spacing w:after="0"/>
              <w:rPr>
                <w:sz w:val="12"/>
                <w:szCs w:val="12"/>
                <w:color w:val="auto"/>
              </w:rPr>
            </w:pPr>
          </w:p>
        </w:tc>
      </w:tr>
      <w:tr>
        <w:trPr>
          <w:trHeight w:val="32"/>
        </w:trPr>
        <w:tc>
          <w:tcPr>
            <w:tcW w:w="560" w:type="dxa"/>
            <w:vAlign w:val="bottom"/>
            <w:tcBorders>
              <w:top w:val="single" w:sz="8" w:color="CCEEFF"/>
            </w:tcBorders>
            <w:shd w:val="clear" w:color="auto" w:fill="CCEEFF"/>
          </w:tcPr>
          <w:p>
            <w:pPr>
              <w:spacing w:after="0"/>
              <w:rPr>
                <w:sz w:val="2"/>
                <w:szCs w:val="2"/>
                <w:color w:val="auto"/>
              </w:rPr>
            </w:pPr>
          </w:p>
        </w:tc>
        <w:tc>
          <w:tcPr>
            <w:tcW w:w="10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44"/>
        </w:trPr>
        <w:tc>
          <w:tcPr>
            <w:tcW w:w="560" w:type="dxa"/>
            <w:vAlign w:val="bottom"/>
          </w:tcPr>
          <w:p>
            <w:pPr>
              <w:spacing w:after="0"/>
              <w:rPr>
                <w:sz w:val="12"/>
                <w:szCs w:val="12"/>
                <w:color w:val="auto"/>
              </w:rPr>
            </w:pPr>
          </w:p>
        </w:tc>
        <w:tc>
          <w:tcPr>
            <w:tcW w:w="10520" w:type="dxa"/>
            <w:vAlign w:val="bottom"/>
          </w:tcPr>
          <w:p>
            <w:pPr>
              <w:ind w:left="200"/>
              <w:spacing w:after="0" w:line="144" w:lineRule="exact"/>
              <w:rPr>
                <w:sz w:val="20"/>
                <w:szCs w:val="20"/>
                <w:color w:val="auto"/>
              </w:rPr>
            </w:pPr>
            <w:r>
              <w:rPr>
                <w:rFonts w:ascii="Times New Roman" w:cs="Times New Roman" w:eastAsia="Times New Roman" w:hAnsi="Times New Roman"/>
                <w:sz w:val="14"/>
                <w:szCs w:val="14"/>
                <w:color w:val="auto"/>
              </w:rPr>
              <w:t>Unaudited Consolidated Statements of Cash Flows for the Six Months Ended June 30, 2025 and 2024</w:t>
            </w:r>
          </w:p>
        </w:tc>
        <w:tc>
          <w:tcPr>
            <w:tcW w:w="1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rPr>
              <w:t>8</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560" w:type="dxa"/>
            <w:vAlign w:val="bottom"/>
            <w:shd w:val="clear" w:color="auto" w:fill="CCEEFF"/>
          </w:tcPr>
          <w:p>
            <w:pPr>
              <w:spacing w:after="0"/>
              <w:rPr>
                <w:sz w:val="15"/>
                <w:szCs w:val="15"/>
                <w:color w:val="auto"/>
              </w:rPr>
            </w:pPr>
          </w:p>
        </w:tc>
        <w:tc>
          <w:tcPr>
            <w:tcW w:w="1052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4"/>
                <w:szCs w:val="14"/>
                <w:color w:val="auto"/>
              </w:rPr>
              <w:t>Notes to Unaudited Consolidated Financial Statements</w:t>
            </w:r>
          </w:p>
        </w:tc>
        <w:tc>
          <w:tcPr>
            <w:tcW w:w="1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rPr>
              <w:t>9</w:t>
            </w:r>
          </w:p>
        </w:tc>
        <w:tc>
          <w:tcPr>
            <w:tcW w:w="20" w:type="dxa"/>
            <w:vAlign w:val="bottom"/>
            <w:shd w:val="clear" w:color="auto" w:fill="CCEEFF"/>
          </w:tcPr>
          <w:p>
            <w:pPr>
              <w:spacing w:after="0"/>
              <w:rPr>
                <w:sz w:val="15"/>
                <w:szCs w:val="15"/>
                <w:color w:val="auto"/>
              </w:rPr>
            </w:pPr>
          </w:p>
        </w:tc>
      </w:tr>
      <w:tr>
        <w:trPr>
          <w:trHeight w:val="209"/>
        </w:trPr>
        <w:tc>
          <w:tcPr>
            <w:tcW w:w="110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81"/>
        </w:trPr>
        <w:tc>
          <w:tcPr>
            <w:tcW w:w="1108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Cautionary Statement Regarding Forward-Looking Statements</w:t>
            </w:r>
          </w:p>
        </w:tc>
        <w:tc>
          <w:tcPr>
            <w:tcW w:w="140" w:type="dxa"/>
            <w:vAlign w:val="bottom"/>
            <w:tcBorders>
              <w:bottom w:val="single" w:sz="8" w:color="0000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21</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09"/>
        </w:trPr>
        <w:tc>
          <w:tcPr>
            <w:tcW w:w="110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81"/>
        </w:trPr>
        <w:tc>
          <w:tcPr>
            <w:tcW w:w="1108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2.  Management’s Discussion and Analysis of Financial Condition and Results of Operations</w:t>
            </w:r>
          </w:p>
        </w:tc>
        <w:tc>
          <w:tcPr>
            <w:tcW w:w="140" w:type="dxa"/>
            <w:vAlign w:val="bottom"/>
            <w:tcBorders>
              <w:bottom w:val="single" w:sz="8" w:color="0000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21</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09"/>
        </w:trPr>
        <w:tc>
          <w:tcPr>
            <w:tcW w:w="110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81"/>
        </w:trPr>
        <w:tc>
          <w:tcPr>
            <w:tcW w:w="1108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3.  Quantitative and Qualitative Disclosures About Market Risk</w:t>
            </w:r>
          </w:p>
        </w:tc>
        <w:tc>
          <w:tcPr>
            <w:tcW w:w="140" w:type="dxa"/>
            <w:vAlign w:val="bottom"/>
            <w:tcBorders>
              <w:bottom w:val="single" w:sz="8" w:color="0000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36</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09"/>
        </w:trPr>
        <w:tc>
          <w:tcPr>
            <w:tcW w:w="110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81"/>
        </w:trPr>
        <w:tc>
          <w:tcPr>
            <w:tcW w:w="1108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4.  Controls and Procedures</w:t>
            </w:r>
          </w:p>
        </w:tc>
        <w:tc>
          <w:tcPr>
            <w:tcW w:w="140" w:type="dxa"/>
            <w:vAlign w:val="bottom"/>
            <w:tcBorders>
              <w:bottom w:val="single" w:sz="8" w:color="0000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36</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09"/>
        </w:trPr>
        <w:tc>
          <w:tcPr>
            <w:tcW w:w="560" w:type="dxa"/>
            <w:vAlign w:val="bottom"/>
            <w:tcBorders>
              <w:top w:val="single" w:sz="8" w:color="CCEEFF"/>
            </w:tcBorders>
          </w:tcPr>
          <w:p>
            <w:pPr>
              <w:spacing w:after="0"/>
              <w:rPr>
                <w:sz w:val="18"/>
                <w:szCs w:val="18"/>
                <w:color w:val="auto"/>
              </w:rPr>
            </w:pPr>
          </w:p>
        </w:tc>
        <w:tc>
          <w:tcPr>
            <w:tcW w:w="10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60" w:type="dxa"/>
            <w:vAlign w:val="bottom"/>
          </w:tcPr>
          <w:p>
            <w:pPr>
              <w:spacing w:after="0"/>
              <w:rPr>
                <w:sz w:val="16"/>
                <w:szCs w:val="16"/>
                <w:color w:val="auto"/>
              </w:rPr>
            </w:pPr>
          </w:p>
        </w:tc>
        <w:tc>
          <w:tcPr>
            <w:tcW w:w="1052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Part II -- OTHER INFORMATION</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5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1.</w:t>
            </w:r>
          </w:p>
        </w:tc>
        <w:tc>
          <w:tcPr>
            <w:tcW w:w="105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Legal Proceedings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37</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5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1A.</w:t>
            </w:r>
          </w:p>
        </w:tc>
        <w:tc>
          <w:tcPr>
            <w:tcW w:w="1052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Risk Factors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37</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1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1108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2. Unregistered Sales of Equity Securities and Use of Proceeds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37</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5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5.</w:t>
            </w:r>
          </w:p>
        </w:tc>
        <w:tc>
          <w:tcPr>
            <w:tcW w:w="105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Other Information</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37</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5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6.</w:t>
            </w:r>
          </w:p>
        </w:tc>
        <w:tc>
          <w:tcPr>
            <w:tcW w:w="105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Exhibits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38</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560" w:type="dxa"/>
            <w:vAlign w:val="bottom"/>
          </w:tcPr>
          <w:p>
            <w:pPr>
              <w:spacing w:after="0"/>
              <w:rPr>
                <w:sz w:val="12"/>
                <w:szCs w:val="12"/>
                <w:color w:val="auto"/>
              </w:rPr>
            </w:pPr>
          </w:p>
        </w:tc>
        <w:tc>
          <w:tcPr>
            <w:tcW w:w="10520" w:type="dxa"/>
            <w:vAlign w:val="bottom"/>
          </w:tcPr>
          <w:p>
            <w:pPr>
              <w:ind w:left="200"/>
              <w:spacing w:after="0" w:line="144" w:lineRule="exact"/>
              <w:rPr>
                <w:sz w:val="20"/>
                <w:szCs w:val="20"/>
                <w:color w:val="auto"/>
              </w:rPr>
            </w:pPr>
            <w:r>
              <w:rPr>
                <w:rFonts w:ascii="Times New Roman" w:cs="Times New Roman" w:eastAsia="Times New Roman" w:hAnsi="Times New Roman"/>
                <w:sz w:val="14"/>
                <w:szCs w:val="14"/>
                <w:color w:val="auto"/>
              </w:rPr>
              <w:t>(a) Index of Exhibits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38</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1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1108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color w:val="auto"/>
              </w:rPr>
              <w:t>Signature Page</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39</w:t>
            </w:r>
          </w:p>
        </w:tc>
        <w:tc>
          <w:tcPr>
            <w:tcW w:w="2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3" w:name="page4"/>
    <w:bookmarkEnd w:id="3"/>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OPERATIONS</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20" w:type="dxa"/>
            <w:vAlign w:val="bottom"/>
            <w:gridSpan w:val="4"/>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6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89"/>
        </w:trPr>
        <w:tc>
          <w:tcPr>
            <w:tcW w:w="60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6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9"/>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162,694</w:t>
            </w:r>
          </w:p>
        </w:tc>
        <w:tc>
          <w:tcPr>
            <w:tcW w:w="12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188,713</w:t>
            </w:r>
          </w:p>
        </w:tc>
        <w:tc>
          <w:tcPr>
            <w:tcW w:w="10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306,738</w:t>
            </w:r>
          </w:p>
        </w:tc>
        <w:tc>
          <w:tcPr>
            <w:tcW w:w="10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354,833</w:t>
            </w:r>
          </w:p>
        </w:tc>
      </w:tr>
      <w:tr>
        <w:trPr>
          <w:trHeight w:val="20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89"/>
        </w:trPr>
        <w:tc>
          <w:tcPr>
            <w:tcW w:w="6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Service and other costs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121,531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140,834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236,146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271,279</w:t>
            </w:r>
          </w:p>
        </w:tc>
      </w:tr>
      <w:tr>
        <w:trPr>
          <w:trHeight w:val="203"/>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17,433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38,655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36,073</w:t>
            </w:r>
          </w:p>
        </w:tc>
      </w:tr>
      <w:tr>
        <w:trPr>
          <w:trHeight w:val="189"/>
        </w:trPr>
        <w:tc>
          <w:tcPr>
            <w:tcW w:w="6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17,059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34,080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33,829</w:t>
            </w:r>
          </w:p>
        </w:tc>
      </w:tr>
      <w:tr>
        <w:trPr>
          <w:trHeight w:val="203"/>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Impairment expense</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7,823</w:t>
            </w:r>
          </w:p>
        </w:tc>
      </w:tr>
      <w:tr>
        <w:trPr>
          <w:trHeight w:val="189"/>
        </w:trPr>
        <w:tc>
          <w:tcPr>
            <w:tcW w:w="6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 loss on sale of McClelland Lake Lodge assets, net</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(5,988)</w:t>
            </w:r>
          </w:p>
        </w:tc>
      </w:tr>
      <w:tr>
        <w:trPr>
          <w:trHeight w:val="196"/>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operating expense</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r>
      <w:tr>
        <w:trPr>
          <w:trHeight w:val="189"/>
        </w:trPr>
        <w:tc>
          <w:tcPr>
            <w:tcW w:w="60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159,894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175,601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309,454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343,502</w:t>
            </w:r>
          </w:p>
        </w:tc>
      </w:tr>
      <w:tr>
        <w:trPr>
          <w:trHeight w:val="19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13,112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11,331</w:t>
            </w:r>
          </w:p>
        </w:tc>
      </w:tr>
      <w:tr>
        <w:trPr>
          <w:trHeight w:val="209"/>
        </w:trPr>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(4,563)</w:t>
            </w:r>
          </w:p>
        </w:tc>
      </w:tr>
      <w:tr>
        <w:trPr>
          <w:trHeight w:val="189"/>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20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w:t>
            </w:r>
          </w:p>
        </w:tc>
      </w:tr>
      <w:tr>
        <w:trPr>
          <w:trHeight w:val="182"/>
        </w:trPr>
        <w:tc>
          <w:tcPr>
            <w:tcW w:w="6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11,273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7,628</w:t>
            </w:r>
          </w:p>
        </w:tc>
      </w:tr>
      <w:tr>
        <w:trPr>
          <w:trHeight w:val="20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(3,606)</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(5,337)</w:t>
            </w:r>
          </w:p>
        </w:tc>
      </w:tr>
      <w:tr>
        <w:trPr>
          <w:trHeight w:val="182"/>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7,487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(13,161)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2,291</w:t>
            </w:r>
          </w:p>
        </w:tc>
      </w:tr>
      <w:tr>
        <w:trPr>
          <w:trHeight w:val="203"/>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w:t>
            </w:r>
          </w:p>
        </w:tc>
      </w:tr>
      <w:tr>
        <w:trPr>
          <w:trHeight w:val="163"/>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Civeo Corporation</w:t>
            </w: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(3,314)</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8,227</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(13,156)</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3,094</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5"/>
        </w:trPr>
        <w:tc>
          <w:tcPr>
            <w:tcW w:w="60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09"/>
        </w:trPr>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 Data (see Note 7)</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89"/>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net income (loss) per share attributable to Civeo Corporation common shareholders</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2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0.57</w:t>
            </w:r>
          </w:p>
        </w:tc>
        <w:tc>
          <w:tcPr>
            <w:tcW w:w="10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(0.98)</w:t>
            </w:r>
          </w:p>
        </w:tc>
        <w:tc>
          <w:tcPr>
            <w:tcW w:w="10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w:t>
            </w:r>
          </w:p>
        </w:tc>
      </w:tr>
      <w:tr>
        <w:trPr>
          <w:trHeight w:val="216"/>
        </w:trPr>
        <w:tc>
          <w:tcPr>
            <w:tcW w:w="6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89"/>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net income (loss) per share attributable to Civeo Corporation common shareholders</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2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0.56</w:t>
            </w:r>
          </w:p>
        </w:tc>
        <w:tc>
          <w:tcPr>
            <w:tcW w:w="10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(0.98)</w:t>
            </w:r>
          </w:p>
        </w:tc>
        <w:tc>
          <w:tcPr>
            <w:tcW w:w="10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w:t>
            </w:r>
          </w:p>
        </w:tc>
      </w:tr>
      <w:tr>
        <w:trPr>
          <w:trHeight w:val="216"/>
        </w:trPr>
        <w:tc>
          <w:tcPr>
            <w:tcW w:w="6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89"/>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3"/>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14,518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14,586</w:t>
            </w:r>
          </w:p>
        </w:tc>
      </w:tr>
      <w:tr>
        <w:trPr>
          <w:trHeight w:val="189"/>
        </w:trPr>
        <w:tc>
          <w:tcPr>
            <w:tcW w:w="6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14,600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14,678</w:t>
            </w:r>
          </w:p>
        </w:tc>
      </w:tr>
      <w:tr>
        <w:trPr>
          <w:trHeight w:val="216"/>
        </w:trPr>
        <w:tc>
          <w:tcPr>
            <w:tcW w:w="6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82"/>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per common share</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5"/>
                <w:szCs w:val="15"/>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tcPr>
          <w:p>
            <w:pPr>
              <w:spacing w:after="0"/>
              <w:rPr>
                <w:sz w:val="15"/>
                <w:szCs w:val="15"/>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tcPr>
          <w:p>
            <w:pPr>
              <w:spacing w:after="0"/>
              <w:rPr>
                <w:sz w:val="15"/>
                <w:szCs w:val="15"/>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0.50</w:t>
            </w:r>
          </w:p>
        </w:tc>
      </w:tr>
    </w:tbl>
    <w:p>
      <w:pPr>
        <w:spacing w:after="0" w:line="200" w:lineRule="exact"/>
        <w:rPr>
          <w:sz w:val="20"/>
          <w:szCs w:val="20"/>
          <w:color w:val="auto"/>
        </w:rPr>
      </w:pPr>
    </w:p>
    <w:p>
      <w:pPr>
        <w:spacing w:after="0" w:line="3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74295</wp:posOffset>
            </wp:positionV>
            <wp:extent cx="716216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20"/>
          </w:cols>
          <w:pgMar w:left="480" w:top="1374" w:right="499" w:bottom="1440" w:gutter="0" w:footer="0" w:header="0"/>
        </w:sectPr>
      </w:pPr>
    </w:p>
    <w:bookmarkStart w:id="4" w:name="page5"/>
    <w:bookmarkEnd w:id="4"/>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COMPREHENSIVE INCOME (LOSS)</w:t>
      </w:r>
    </w:p>
    <w:p>
      <w:pPr>
        <w:spacing w:after="0" w:line="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20" w:type="dxa"/>
            <w:vAlign w:val="bottom"/>
            <w:gridSpan w:val="4"/>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5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89"/>
        </w:trPr>
        <w:tc>
          <w:tcPr>
            <w:tcW w:w="5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4"/>
        </w:trPr>
        <w:tc>
          <w:tcPr>
            <w:tcW w:w="5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18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(3,311)</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7,487</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(13,161)</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w:t>
            </w:r>
          </w:p>
        </w:tc>
      </w:tr>
      <w:tr>
        <w:trPr>
          <w:trHeight w:val="131"/>
        </w:trPr>
        <w:tc>
          <w:tcPr>
            <w:tcW w:w="5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9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 (loss), net of taxes: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89"/>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Foreign currency translation adjustment, net of zero taxes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10,935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12,028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(8,610)</w:t>
            </w:r>
          </w:p>
        </w:tc>
      </w:tr>
      <w:tr>
        <w:trPr>
          <w:trHeight w:val="18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comprehensive income (loss), net of taxes</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10,935</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12,028</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(8,610)</w:t>
            </w:r>
          </w:p>
        </w:tc>
      </w:tr>
      <w:tr>
        <w:trPr>
          <w:trHeight w:val="131"/>
        </w:trPr>
        <w:tc>
          <w:tcPr>
            <w:tcW w:w="5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9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(loss)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(6,319)</w:t>
            </w:r>
          </w:p>
        </w:tc>
      </w:tr>
      <w:tr>
        <w:trPr>
          <w:trHeight w:val="189"/>
        </w:trPr>
        <w:tc>
          <w:tcPr>
            <w:tcW w:w="5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Less: Comprehensive income (loss) attributable to noncontrolling interest</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w:t>
            </w:r>
          </w:p>
        </w:tc>
      </w:tr>
      <w:tr>
        <w:trPr>
          <w:trHeight w:val="221"/>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(loss) attributable to Civeo Corporation</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(5,420)</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74295</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820"/>
          </w:cols>
          <w:pgMar w:left="540" w:top="1374" w:right="539" w:bottom="1440" w:gutter="0" w:footer="0" w:header="0"/>
        </w:sectPr>
      </w:pPr>
    </w:p>
    <w:bookmarkStart w:id="5" w:name="page6"/>
    <w:bookmarkEnd w:id="5"/>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3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(In Thousands, Excluding Share Amounts)</w:t>
      </w:r>
    </w:p>
    <w:p>
      <w:pPr>
        <w:sectPr>
          <w:pgSz w:w="11900" w:h="16838" w:orient="portrait"/>
          <w:cols w:equalWidth="0" w:num="1">
            <w:col w:w="11180"/>
          </w:cols>
          <w:pgMar w:left="480" w:top="13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Current assets:</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Accounts receivable, net</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Inventories</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Prepaid expenses</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Other current assets</w:t>
      </w:r>
    </w:p>
    <w:p>
      <w:pPr>
        <w:spacing w:after="0" w:line="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Total current assets</w:t>
      </w:r>
    </w:p>
    <w:p>
      <w:pPr>
        <w:spacing w:after="0" w:line="192" w:lineRule="exact"/>
        <w:rPr>
          <w:sz w:val="20"/>
          <w:szCs w:val="20"/>
          <w:color w:val="auto"/>
        </w:rPr>
      </w:pPr>
    </w:p>
    <w:p>
      <w:pPr>
        <w:ind w:left="20"/>
        <w:spacing w:after="0" w:line="292" w:lineRule="auto"/>
        <w:rPr>
          <w:sz w:val="20"/>
          <w:szCs w:val="20"/>
          <w:color w:val="auto"/>
        </w:rPr>
      </w:pPr>
      <w:r>
        <w:rPr>
          <w:rFonts w:ascii="Times New Roman" w:cs="Times New Roman" w:eastAsia="Times New Roman" w:hAnsi="Times New Roman"/>
          <w:sz w:val="14"/>
          <w:szCs w:val="14"/>
          <w:color w:val="auto"/>
        </w:rPr>
        <w:t>Property, plant and equipment, net Goodwill</w:t>
      </w:r>
    </w:p>
    <w:p>
      <w:pPr>
        <w:ind w:left="20"/>
        <w:spacing w:after="0"/>
        <w:rPr>
          <w:sz w:val="20"/>
          <w:szCs w:val="20"/>
          <w:color w:val="auto"/>
        </w:rPr>
      </w:pPr>
      <w:r>
        <w:rPr>
          <w:rFonts w:ascii="Times New Roman" w:cs="Times New Roman" w:eastAsia="Times New Roman" w:hAnsi="Times New Roman"/>
          <w:sz w:val="14"/>
          <w:szCs w:val="14"/>
          <w:color w:val="auto"/>
        </w:rPr>
        <w:t>Other intangible assets, net</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Operating lease right-of-use assets</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noncurrent assets</w:t>
      </w:r>
    </w:p>
    <w:p>
      <w:pPr>
        <w:spacing w:after="0" w:line="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Total assets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118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75"/>
        </w:trPr>
        <w:tc>
          <w:tcPr>
            <w:tcW w:w="41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r>
      <w:tr>
        <w:trPr>
          <w:trHeight w:val="187"/>
        </w:trPr>
        <w:tc>
          <w:tcPr>
            <w:tcW w:w="4400" w:type="dxa"/>
            <w:vAlign w:val="bottom"/>
            <w:gridSpan w:val="2"/>
          </w:tcPr>
          <w:p>
            <w:pPr>
              <w:jc w:val="right"/>
              <w:ind w:right="3830"/>
              <w:spacing w:after="0"/>
              <w:rPr>
                <w:sz w:val="20"/>
                <w:szCs w:val="20"/>
                <w:color w:val="auto"/>
              </w:rPr>
            </w:pPr>
            <w:r>
              <w:rPr>
                <w:rFonts w:ascii="Times New Roman" w:cs="Times New Roman" w:eastAsia="Times New Roman" w:hAnsi="Times New Roman"/>
                <w:sz w:val="14"/>
                <w:szCs w:val="14"/>
                <w:color w:val="auto"/>
                <w:w w:val="94"/>
              </w:rPr>
              <w:t>ASSETS</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549"/>
        </w:trPr>
        <w:tc>
          <w:tcPr>
            <w:tcW w:w="440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14,638</w:t>
            </w:r>
          </w:p>
        </w:tc>
        <w:tc>
          <w:tcPr>
            <w:tcW w:w="100" w:type="dxa"/>
            <w:vAlign w:val="bottom"/>
          </w:tcPr>
          <w:p>
            <w:pPr>
              <w:spacing w:after="0"/>
              <w:rPr>
                <w:sz w:val="24"/>
                <w:szCs w:val="24"/>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5,204</w:t>
            </w:r>
          </w:p>
        </w:tc>
      </w:tr>
      <w:tr>
        <w:trPr>
          <w:trHeight w:val="196"/>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104,491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89,038</w:t>
            </w:r>
          </w:p>
        </w:tc>
      </w:tr>
      <w:tr>
        <w:trPr>
          <w:trHeight w:val="196"/>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7,537</w:t>
            </w:r>
          </w:p>
        </w:tc>
      </w:tr>
      <w:tr>
        <w:trPr>
          <w:trHeight w:val="196"/>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7,464</w:t>
            </w:r>
          </w:p>
        </w:tc>
      </w:tr>
      <w:tr>
        <w:trPr>
          <w:trHeight w:val="196"/>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w:t>
            </w:r>
          </w:p>
        </w:tc>
      </w:tr>
      <w:tr>
        <w:trPr>
          <w:trHeight w:val="23"/>
        </w:trPr>
        <w:tc>
          <w:tcPr>
            <w:tcW w:w="4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75"/>
        </w:trPr>
        <w:tc>
          <w:tcPr>
            <w:tcW w:w="4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139,209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110,453</w:t>
            </w:r>
          </w:p>
        </w:tc>
      </w:tr>
      <w:tr>
        <w:trPr>
          <w:trHeight w:val="343"/>
        </w:trPr>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265,138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204,897</w:t>
            </w:r>
          </w:p>
        </w:tc>
      </w:tr>
      <w:tr>
        <w:trPr>
          <w:trHeight w:val="196"/>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7,001</w:t>
            </w:r>
          </w:p>
        </w:tc>
      </w:tr>
      <w:tr>
        <w:trPr>
          <w:trHeight w:val="196"/>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66,502</w:t>
            </w:r>
          </w:p>
        </w:tc>
      </w:tr>
      <w:tr>
        <w:trPr>
          <w:trHeight w:val="196"/>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9,401</w:t>
            </w:r>
          </w:p>
        </w:tc>
      </w:tr>
      <w:tr>
        <w:trPr>
          <w:trHeight w:val="196"/>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6,818</w:t>
            </w:r>
          </w:p>
        </w:tc>
      </w:tr>
      <w:tr>
        <w:trPr>
          <w:trHeight w:val="23"/>
        </w:trPr>
        <w:tc>
          <w:tcPr>
            <w:tcW w:w="440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2"/>
        </w:trPr>
        <w:tc>
          <w:tcPr>
            <w:tcW w:w="416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508,839</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405,072</w:t>
            </w:r>
          </w:p>
        </w:tc>
      </w:tr>
      <w:tr>
        <w:trPr>
          <w:trHeight w:val="26"/>
        </w:trPr>
        <w:tc>
          <w:tcPr>
            <w:tcW w:w="4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-1560830</wp:posOffset>
            </wp:positionH>
            <wp:positionV relativeFrom="paragraph">
              <wp:posOffset>-1990725</wp:posOffset>
            </wp:positionV>
            <wp:extent cx="7098665" cy="1244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66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-1767205</wp:posOffset>
            </wp:positionV>
            <wp:extent cx="7098665" cy="1244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66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-1518285</wp:posOffset>
            </wp:positionV>
            <wp:extent cx="7098665" cy="1244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66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-1268730</wp:posOffset>
            </wp:positionV>
            <wp:extent cx="7098665" cy="1244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66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-1019810</wp:posOffset>
            </wp:positionV>
            <wp:extent cx="7098665" cy="132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665" cy="132715"/>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-788035</wp:posOffset>
            </wp:positionV>
            <wp:extent cx="7098665" cy="1244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66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-538480</wp:posOffset>
            </wp:positionV>
            <wp:extent cx="7098665" cy="1244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66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-289560</wp:posOffset>
            </wp:positionV>
            <wp:extent cx="7098665" cy="1244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66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-15875</wp:posOffset>
            </wp:positionV>
            <wp:extent cx="7098665" cy="996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665" cy="9969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LIABILITIES AND SHAREHOLDERS’ EQUITY</w:t>
      </w:r>
    </w:p>
    <w:p>
      <w:pPr>
        <w:spacing w:after="0" w:line="44" w:lineRule="exact"/>
        <w:rPr>
          <w:sz w:val="20"/>
          <w:szCs w:val="20"/>
          <w:color w:val="auto"/>
        </w:rPr>
      </w:pPr>
    </w:p>
    <w:p>
      <w:pPr>
        <w:sectPr>
          <w:pgSz w:w="11900" w:h="16838" w:orient="portrait"/>
          <w:cols w:equalWidth="0" w:num="2">
            <w:col w:w="1940" w:space="520"/>
            <w:col w:w="8720"/>
          </w:cols>
          <w:pgMar w:left="480" w:top="1374" w:right="239" w:bottom="1440" w:gutter="0" w:footer="0" w:header="0"/>
          <w:type w:val="continuous"/>
        </w:sectPr>
      </w:pPr>
    </w:p>
    <w:tbl>
      <w:tblPr>
        <w:tblLayout w:type="fixed"/>
        <w:tblInd w:w="0" w:type="dxa"/>
        <w:tblCellMar>
          <w:top w:w="0" w:type="dxa"/>
          <w:left w:w="0" w:type="dxa"/>
          <w:bottom w:w="0" w:type="dxa"/>
          <w:right w:w="0" w:type="dxa"/>
        </w:tblCellMar>
      </w:tblPr>
      <w:tr>
        <w:trPr>
          <w:trHeight w:val="157"/>
        </w:trPr>
        <w:tc>
          <w:tcPr>
            <w:tcW w:w="78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5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44,702</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39,971</w:t>
            </w:r>
          </w:p>
        </w:tc>
        <w:tc>
          <w:tcPr>
            <w:tcW w:w="0" w:type="dxa"/>
            <w:vAlign w:val="bottom"/>
          </w:tcPr>
          <w:p>
            <w:pPr>
              <w:spacing w:after="0"/>
              <w:rPr>
                <w:sz w:val="1"/>
                <w:szCs w:val="1"/>
                <w:color w:val="auto"/>
              </w:rPr>
            </w:pPr>
          </w:p>
        </w:tc>
      </w:tr>
      <w:tr>
        <w:trPr>
          <w:trHeight w:val="189"/>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liabilities</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39,403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34,933</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 payable</w:t>
            </w: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10,853</w:t>
            </w:r>
          </w:p>
        </w:tc>
        <w:tc>
          <w:tcPr>
            <w:tcW w:w="0" w:type="dxa"/>
            <w:vAlign w:val="bottom"/>
          </w:tcPr>
          <w:p>
            <w:pPr>
              <w:spacing w:after="0"/>
              <w:rPr>
                <w:sz w:val="1"/>
                <w:szCs w:val="1"/>
                <w:color w:val="auto"/>
              </w:rPr>
            </w:pPr>
          </w:p>
        </w:tc>
      </w:tr>
      <w:tr>
        <w:trPr>
          <w:trHeight w:val="189"/>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revenue</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2,838</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2,501</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5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5,213</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4,388</w:t>
            </w:r>
          </w:p>
        </w:tc>
        <w:tc>
          <w:tcPr>
            <w:tcW w:w="0" w:type="dxa"/>
            <w:vAlign w:val="bottom"/>
          </w:tcPr>
          <w:p>
            <w:pPr>
              <w:spacing w:after="0"/>
              <w:rPr>
                <w:sz w:val="1"/>
                <w:szCs w:val="1"/>
                <w:color w:val="auto"/>
              </w:rPr>
            </w:pPr>
          </w:p>
        </w:tc>
      </w:tr>
      <w:tr>
        <w:trPr>
          <w:trHeight w:val="182"/>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5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92,238</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92,646</w:t>
            </w:r>
          </w:p>
        </w:tc>
        <w:tc>
          <w:tcPr>
            <w:tcW w:w="0" w:type="dxa"/>
            <w:vAlign w:val="bottom"/>
          </w:tcPr>
          <w:p>
            <w:pPr>
              <w:spacing w:after="0"/>
              <w:rPr>
                <w:sz w:val="1"/>
                <w:szCs w:val="1"/>
                <w:color w:val="auto"/>
              </w:rPr>
            </w:pPr>
          </w:p>
        </w:tc>
      </w:tr>
      <w:tr>
        <w:trPr>
          <w:trHeight w:val="164"/>
        </w:trPr>
        <w:tc>
          <w:tcPr>
            <w:tcW w:w="7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168,672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43,299</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3,558</w:t>
            </w: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6,655</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5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21,612</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21,916</w:t>
            </w:r>
          </w:p>
        </w:tc>
        <w:tc>
          <w:tcPr>
            <w:tcW w:w="0" w:type="dxa"/>
            <w:vAlign w:val="bottom"/>
          </w:tcPr>
          <w:p>
            <w:pPr>
              <w:spacing w:after="0"/>
              <w:rPr>
                <w:sz w:val="1"/>
                <w:szCs w:val="1"/>
                <w:color w:val="auto"/>
              </w:rPr>
            </w:pPr>
          </w:p>
        </w:tc>
      </w:tr>
      <w:tr>
        <w:trPr>
          <w:trHeight w:val="182"/>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liabilities</w:t>
            </w:r>
          </w:p>
        </w:tc>
        <w:tc>
          <w:tcPr>
            <w:tcW w:w="5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299,401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168,074</w:t>
            </w:r>
          </w:p>
        </w:tc>
        <w:tc>
          <w:tcPr>
            <w:tcW w:w="0" w:type="dxa"/>
            <w:vAlign w:val="bottom"/>
          </w:tcPr>
          <w:p>
            <w:pPr>
              <w:spacing w:after="0"/>
              <w:rPr>
                <w:sz w:val="1"/>
                <w:szCs w:val="1"/>
                <w:color w:val="auto"/>
              </w:rPr>
            </w:pPr>
          </w:p>
        </w:tc>
      </w:tr>
      <w:tr>
        <w:trPr>
          <w:trHeight w:val="164"/>
        </w:trPr>
        <w:tc>
          <w:tcPr>
            <w:tcW w:w="7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780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Common shares (no par value; 46,000,000 shares authorized, 13,134,259 shares and 14,067,721 shares issued, respectively, and</w:t>
            </w:r>
          </w:p>
        </w:tc>
        <w:tc>
          <w:tcPr>
            <w:tcW w:w="5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12,696,264 shares and 13,653,647 shares outstanding, respectively)</w:t>
            </w:r>
          </w:p>
        </w:tc>
        <w:tc>
          <w:tcPr>
            <w:tcW w:w="52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1,631,823</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(1,020,236)</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(980,720)</w:t>
            </w:r>
          </w:p>
        </w:tc>
        <w:tc>
          <w:tcPr>
            <w:tcW w:w="0" w:type="dxa"/>
            <w:vAlign w:val="bottom"/>
          </w:tcPr>
          <w:p>
            <w:pPr>
              <w:spacing w:after="0"/>
              <w:rPr>
                <w:sz w:val="1"/>
                <w:szCs w:val="1"/>
                <w:color w:val="auto"/>
              </w:rPr>
            </w:pPr>
          </w:p>
        </w:tc>
      </w:tr>
      <w:tr>
        <w:trPr>
          <w:trHeight w:val="189"/>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shares held in treasury at cost, 437,995 and 414,074 shares, respectively</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(10,130)</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5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(392,573)</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(404,600)</w:t>
            </w:r>
          </w:p>
        </w:tc>
        <w:tc>
          <w:tcPr>
            <w:tcW w:w="0" w:type="dxa"/>
            <w:vAlign w:val="bottom"/>
          </w:tcPr>
          <w:p>
            <w:pPr>
              <w:spacing w:after="0"/>
              <w:rPr>
                <w:sz w:val="1"/>
                <w:szCs w:val="1"/>
                <w:color w:val="auto"/>
              </w:rPr>
            </w:pPr>
          </w:p>
        </w:tc>
      </w:tr>
      <w:tr>
        <w:trPr>
          <w:trHeight w:val="182"/>
        </w:trPr>
        <w:tc>
          <w:tcPr>
            <w:tcW w:w="7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Total Civeo Corporation shareholders’ equity</w:t>
            </w:r>
          </w:p>
        </w:tc>
        <w:tc>
          <w:tcPr>
            <w:tcW w:w="5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209,438</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236,373</w:t>
            </w:r>
          </w:p>
        </w:tc>
        <w:tc>
          <w:tcPr>
            <w:tcW w:w="0" w:type="dxa"/>
            <w:vAlign w:val="bottom"/>
          </w:tcPr>
          <w:p>
            <w:pPr>
              <w:spacing w:after="0"/>
              <w:rPr>
                <w:sz w:val="1"/>
                <w:szCs w:val="1"/>
                <w:color w:val="auto"/>
              </w:rPr>
            </w:pPr>
          </w:p>
        </w:tc>
      </w:tr>
      <w:tr>
        <w:trPr>
          <w:trHeight w:val="19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5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0" w:type="dxa"/>
            <w:vAlign w:val="bottom"/>
          </w:tcPr>
          <w:p>
            <w:pPr>
              <w:spacing w:after="0"/>
              <w:rPr>
                <w:sz w:val="1"/>
                <w:szCs w:val="1"/>
                <w:color w:val="auto"/>
              </w:rPr>
            </w:pPr>
          </w:p>
        </w:tc>
      </w:tr>
      <w:tr>
        <w:trPr>
          <w:trHeight w:val="182"/>
        </w:trPr>
        <w:tc>
          <w:tcPr>
            <w:tcW w:w="7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5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209,438</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236,998</w:t>
            </w:r>
          </w:p>
        </w:tc>
        <w:tc>
          <w:tcPr>
            <w:tcW w:w="0" w:type="dxa"/>
            <w:vAlign w:val="bottom"/>
          </w:tcPr>
          <w:p>
            <w:pPr>
              <w:spacing w:after="0"/>
              <w:rPr>
                <w:sz w:val="1"/>
                <w:szCs w:val="1"/>
                <w:color w:val="auto"/>
              </w:rPr>
            </w:pPr>
          </w:p>
        </w:tc>
      </w:tr>
      <w:tr>
        <w:trPr>
          <w:trHeight w:val="221"/>
        </w:trPr>
        <w:tc>
          <w:tcPr>
            <w:tcW w:w="7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5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508,839</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405,072</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38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74295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480" w:top="1374" w:right="239" w:bottom="1440" w:gutter="0" w:footer="0" w:header="0"/>
          <w:type w:val="continuous"/>
        </w:sectPr>
      </w:pPr>
    </w:p>
    <w:bookmarkStart w:id="6" w:name="page7"/>
    <w:bookmarkEnd w:id="6"/>
    <w:p>
      <w:pPr>
        <w:jc w:val="center"/>
        <w:ind w:right="-91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w:t>
      </w:r>
    </w:p>
    <w:p>
      <w:pPr>
        <w:spacing w:after="0" w:line="34"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7"/>
          <w:szCs w:val="17"/>
          <w:b w:val="1"/>
          <w:bCs w:val="1"/>
          <w:color w:val="auto"/>
        </w:rPr>
        <w:t>CHANGES IN SHAREHOLDERS’ EQUITY</w:t>
      </w:r>
    </w:p>
    <w:p>
      <w:pPr>
        <w:spacing w:after="0" w:line="14"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2"/>
                <w:szCs w:val="12"/>
                <w:b w:val="1"/>
                <w:bCs w:val="1"/>
                <w:color w:val="auto"/>
              </w:rPr>
              <w:t>Attributable to Civeo</w:t>
            </w: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3"/>
          </w:tcPr>
          <w:p>
            <w:pPr>
              <w:jc w:val="center"/>
              <w:ind w:right="240"/>
              <w:spacing w:after="0" w:line="118" w:lineRule="exact"/>
              <w:rPr>
                <w:sz w:val="20"/>
                <w:szCs w:val="20"/>
                <w:color w:val="auto"/>
              </w:rPr>
            </w:pPr>
            <w:r>
              <w:rPr>
                <w:rFonts w:ascii="Times New Roman" w:cs="Times New Roman" w:eastAsia="Times New Roman" w:hAnsi="Times New Roman"/>
                <w:sz w:val="12"/>
                <w:szCs w:val="12"/>
                <w:b w:val="1"/>
                <w:bCs w:val="1"/>
                <w:color w:val="auto"/>
              </w:rPr>
              <w:t>Common</w:t>
            </w: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3"/>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5"/>
              </w:rPr>
              <w:t>Additional</w:t>
            </w: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vMerge w:val="restart"/>
          </w:tcPr>
          <w:p>
            <w:pPr>
              <w:jc w:val="center"/>
              <w:ind w:right="71"/>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98"/>
        </w:trPr>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40" w:type="dxa"/>
            <w:vAlign w:val="bottom"/>
          </w:tcPr>
          <w:p>
            <w:pPr>
              <w:spacing w:after="0"/>
              <w:rPr>
                <w:sz w:val="10"/>
                <w:szCs w:val="10"/>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120" w:type="dxa"/>
            <w:vAlign w:val="bottom"/>
          </w:tcPr>
          <w:p>
            <w:pPr>
              <w:spacing w:after="0"/>
              <w:rPr>
                <w:sz w:val="10"/>
                <w:szCs w:val="10"/>
                <w:color w:val="auto"/>
              </w:rPr>
            </w:pPr>
          </w:p>
        </w:tc>
        <w:tc>
          <w:tcPr>
            <w:tcW w:w="114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0"/>
                <w:szCs w:val="10"/>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51"/>
              <w:spacing w:after="0" w:line="118" w:lineRule="exact"/>
              <w:rPr>
                <w:sz w:val="20"/>
                <w:szCs w:val="20"/>
                <w:color w:val="auto"/>
              </w:rPr>
            </w:pPr>
            <w:r>
              <w:rPr>
                <w:rFonts w:ascii="Times New Roman" w:cs="Times New Roman" w:eastAsia="Times New Roman" w:hAnsi="Times New Roman"/>
                <w:sz w:val="12"/>
                <w:szCs w:val="12"/>
                <w:b w:val="1"/>
                <w:bCs w:val="1"/>
                <w:color w:val="auto"/>
                <w:w w:val="99"/>
              </w:rPr>
              <w:t>Shareholders’</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Par Value</w:t>
            </w:r>
          </w:p>
        </w:tc>
        <w:tc>
          <w:tcPr>
            <w:tcW w:w="240" w:type="dxa"/>
            <w:vAlign w:val="bottom"/>
          </w:tcPr>
          <w:p>
            <w:pPr>
              <w:spacing w:after="0"/>
              <w:rPr>
                <w:sz w:val="15"/>
                <w:szCs w:val="15"/>
                <w:color w:val="auto"/>
              </w:rPr>
            </w:pPr>
          </w:p>
        </w:tc>
        <w:tc>
          <w:tcPr>
            <w:tcW w:w="84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40" w:type="dxa"/>
            <w:vAlign w:val="bottom"/>
          </w:tcPr>
          <w:p>
            <w:pPr>
              <w:spacing w:after="0"/>
              <w:rPr>
                <w:sz w:val="15"/>
                <w:szCs w:val="15"/>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Interest</w:t>
            </w:r>
          </w:p>
        </w:tc>
        <w:tc>
          <w:tcPr>
            <w:tcW w:w="140" w:type="dxa"/>
            <w:vAlign w:val="bottom"/>
          </w:tcPr>
          <w:p>
            <w:pPr>
              <w:spacing w:after="0"/>
              <w:rPr>
                <w:sz w:val="15"/>
                <w:szCs w:val="15"/>
                <w:color w:val="auto"/>
              </w:rPr>
            </w:pP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96"/>
        </w:trPr>
        <w:tc>
          <w:tcPr>
            <w:tcW w:w="27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right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1,629,521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(931,135)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(10,130)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(390,877)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2,731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300,110</w:t>
            </w:r>
          </w:p>
        </w:tc>
        <w:tc>
          <w:tcPr>
            <w:tcW w:w="0" w:type="dxa"/>
            <w:vAlign w:val="bottom"/>
          </w:tcPr>
          <w:p>
            <w:pPr>
              <w:spacing w:after="0"/>
              <w:rPr>
                <w:sz w:val="1"/>
                <w:szCs w:val="1"/>
                <w:color w:val="auto"/>
              </w:rPr>
            </w:pPr>
          </w:p>
        </w:tc>
      </w:tr>
      <w:tr>
        <w:trPr>
          <w:trHeight w:val="189"/>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Pr>
          <w:p>
            <w:pPr>
              <w:spacing w:after="0"/>
              <w:rPr>
                <w:sz w:val="16"/>
                <w:szCs w:val="16"/>
                <w:color w:val="auto"/>
              </w:rPr>
            </w:pPr>
          </w:p>
        </w:tc>
        <w:tc>
          <w:tcPr>
            <w:tcW w:w="84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7,487</w:t>
            </w: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w:t>
            </w:r>
          </w:p>
        </w:tc>
        <w:tc>
          <w:tcPr>
            <w:tcW w:w="0" w:type="dxa"/>
            <w:vAlign w:val="bottom"/>
          </w:tcPr>
          <w:p>
            <w:pPr>
              <w:spacing w:after="0"/>
              <w:rPr>
                <w:sz w:val="1"/>
                <w:szCs w:val="1"/>
                <w:color w:val="auto"/>
              </w:rPr>
            </w:pPr>
          </w:p>
        </w:tc>
      </w:tr>
      <w:tr>
        <w:trPr>
          <w:trHeight w:val="189"/>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 paid</w:t>
            </w:r>
          </w:p>
        </w:tc>
        <w:tc>
          <w:tcPr>
            <w:tcW w:w="140" w:type="dxa"/>
            <w:vAlign w:val="bottom"/>
          </w:tcPr>
          <w:p>
            <w:pPr>
              <w:spacing w:after="0"/>
              <w:rPr>
                <w:sz w:val="16"/>
                <w:szCs w:val="16"/>
                <w:color w:val="auto"/>
              </w:rPr>
            </w:pPr>
          </w:p>
        </w:tc>
        <w:tc>
          <w:tcPr>
            <w:tcW w:w="84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(3,662)</w:t>
            </w: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repurchased</w:t>
            </w:r>
          </w:p>
        </w:tc>
        <w:tc>
          <w:tcPr>
            <w:tcW w:w="1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(6,644)</w:t>
            </w:r>
          </w:p>
        </w:tc>
        <w:tc>
          <w:tcPr>
            <w:tcW w:w="0" w:type="dxa"/>
            <w:vAlign w:val="bottom"/>
          </w:tcPr>
          <w:p>
            <w:pPr>
              <w:spacing w:after="0"/>
              <w:rPr>
                <w:sz w:val="1"/>
                <w:szCs w:val="1"/>
                <w:color w:val="auto"/>
              </w:rPr>
            </w:pPr>
          </w:p>
        </w:tc>
      </w:tr>
      <w:tr>
        <w:trPr>
          <w:trHeight w:val="189"/>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Excise tax on common shares repurchased</w:t>
            </w:r>
          </w:p>
        </w:tc>
        <w:tc>
          <w:tcPr>
            <w:tcW w:w="140" w:type="dxa"/>
            <w:vAlign w:val="bottom"/>
          </w:tcPr>
          <w:p>
            <w:pPr>
              <w:spacing w:after="0"/>
              <w:rPr>
                <w:sz w:val="16"/>
                <w:szCs w:val="16"/>
                <w:color w:val="auto"/>
              </w:rPr>
            </w:pPr>
          </w:p>
        </w:tc>
        <w:tc>
          <w:tcPr>
            <w:tcW w:w="84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0" w:type="dxa"/>
            <w:vAlign w:val="bottom"/>
          </w:tcPr>
          <w:p>
            <w:pPr>
              <w:spacing w:after="0"/>
              <w:rPr>
                <w:sz w:val="1"/>
                <w:szCs w:val="1"/>
                <w:color w:val="auto"/>
              </w:rPr>
            </w:pPr>
          </w:p>
        </w:tc>
      </w:tr>
      <w:tr>
        <w:trPr>
          <w:trHeight w:val="189"/>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1,630,130</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(933,346)</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(10,130)</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(389,229)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1,963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299,388</w:t>
            </w: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2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40" w:type="dxa"/>
            <w:vAlign w:val="bottom"/>
            <w:tcBorders>
              <w:right w:val="single" w:sz="8" w:color="CCEEFF"/>
            </w:tcBorders>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1,632,420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(997,400)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(10,775)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(403,507)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220,738</w:t>
            </w:r>
          </w:p>
        </w:tc>
        <w:tc>
          <w:tcPr>
            <w:tcW w:w="0" w:type="dxa"/>
            <w:vAlign w:val="bottom"/>
          </w:tcPr>
          <w:p>
            <w:pPr>
              <w:spacing w:after="0"/>
              <w:rPr>
                <w:sz w:val="1"/>
                <w:szCs w:val="1"/>
                <w:color w:val="auto"/>
              </w:rPr>
            </w:pPr>
          </w:p>
        </w:tc>
      </w:tr>
      <w:tr>
        <w:trPr>
          <w:trHeight w:val="202"/>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(3,311)</w:t>
            </w:r>
          </w:p>
        </w:tc>
        <w:tc>
          <w:tcPr>
            <w:tcW w:w="0" w:type="dxa"/>
            <w:vAlign w:val="bottom"/>
          </w:tcPr>
          <w:p>
            <w:pPr>
              <w:spacing w:after="0"/>
              <w:rPr>
                <w:sz w:val="1"/>
                <w:szCs w:val="1"/>
                <w:color w:val="auto"/>
              </w:rPr>
            </w:pPr>
          </w:p>
        </w:tc>
      </w:tr>
      <w:tr>
        <w:trPr>
          <w:trHeight w:val="189"/>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40" w:type="dxa"/>
            <w:vAlign w:val="bottom"/>
          </w:tcPr>
          <w:p>
            <w:pPr>
              <w:spacing w:after="0"/>
              <w:rPr>
                <w:sz w:val="16"/>
                <w:szCs w:val="16"/>
                <w:color w:val="auto"/>
              </w:rPr>
            </w:pPr>
          </w:p>
        </w:tc>
        <w:tc>
          <w:tcPr>
            <w:tcW w:w="84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10,935</w:t>
            </w: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paid</w:t>
            </w:r>
          </w:p>
        </w:tc>
        <w:tc>
          <w:tcPr>
            <w:tcW w:w="1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9"/>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shares repurchased</w:t>
            </w:r>
          </w:p>
        </w:tc>
        <w:tc>
          <w:tcPr>
            <w:tcW w:w="140" w:type="dxa"/>
            <w:vAlign w:val="bottom"/>
          </w:tcPr>
          <w:p>
            <w:pPr>
              <w:spacing w:after="0"/>
              <w:rPr>
                <w:sz w:val="16"/>
                <w:szCs w:val="16"/>
                <w:color w:val="auto"/>
              </w:rPr>
            </w:pPr>
          </w:p>
        </w:tc>
        <w:tc>
          <w:tcPr>
            <w:tcW w:w="84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(19,140)</w:t>
            </w: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Excise tax on common shares repurchased</w:t>
            </w:r>
          </w:p>
        </w:tc>
        <w:tc>
          <w:tcPr>
            <w:tcW w:w="1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0" w:type="dxa"/>
            <w:vAlign w:val="bottom"/>
          </w:tcPr>
          <w:p>
            <w:pPr>
              <w:spacing w:after="0"/>
              <w:rPr>
                <w:sz w:val="1"/>
                <w:szCs w:val="1"/>
                <w:color w:val="auto"/>
              </w:rPr>
            </w:pPr>
          </w:p>
        </w:tc>
      </w:tr>
      <w:tr>
        <w:trPr>
          <w:trHeight w:val="189"/>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40" w:type="dxa"/>
            <w:vAlign w:val="bottom"/>
          </w:tcPr>
          <w:p>
            <w:pPr>
              <w:spacing w:after="0"/>
              <w:rPr>
                <w:sz w:val="16"/>
                <w:szCs w:val="16"/>
                <w:color w:val="auto"/>
              </w:rPr>
            </w:pPr>
          </w:p>
        </w:tc>
        <w:tc>
          <w:tcPr>
            <w:tcW w:w="84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221"/>
        </w:trPr>
        <w:tc>
          <w:tcPr>
            <w:tcW w:w="2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right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1,633,022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(1,020,236)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(10,775)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(392,573)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209,438</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right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1,628,972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(919,023)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(9,063)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(380,715)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323,038</w:t>
            </w:r>
          </w:p>
        </w:tc>
        <w:tc>
          <w:tcPr>
            <w:tcW w:w="0" w:type="dxa"/>
            <w:vAlign w:val="bottom"/>
          </w:tcPr>
          <w:p>
            <w:pPr>
              <w:spacing w:after="0"/>
              <w:rPr>
                <w:sz w:val="1"/>
                <w:szCs w:val="1"/>
                <w:color w:val="auto"/>
              </w:rPr>
            </w:pPr>
          </w:p>
        </w:tc>
      </w:tr>
      <w:tr>
        <w:trPr>
          <w:trHeight w:val="189"/>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Pr>
          <w:p>
            <w:pPr>
              <w:spacing w:after="0"/>
              <w:rPr>
                <w:sz w:val="16"/>
                <w:szCs w:val="16"/>
                <w:color w:val="auto"/>
              </w:rPr>
            </w:pPr>
          </w:p>
        </w:tc>
        <w:tc>
          <w:tcPr>
            <w:tcW w:w="84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2,291</w:t>
            </w: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(8,610)</w:t>
            </w:r>
          </w:p>
        </w:tc>
        <w:tc>
          <w:tcPr>
            <w:tcW w:w="0" w:type="dxa"/>
            <w:vAlign w:val="bottom"/>
          </w:tcPr>
          <w:p>
            <w:pPr>
              <w:spacing w:after="0"/>
              <w:rPr>
                <w:sz w:val="1"/>
                <w:szCs w:val="1"/>
                <w:color w:val="auto"/>
              </w:rPr>
            </w:pPr>
          </w:p>
        </w:tc>
      </w:tr>
      <w:tr>
        <w:trPr>
          <w:trHeight w:val="189"/>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 paid</w:t>
            </w:r>
          </w:p>
        </w:tc>
        <w:tc>
          <w:tcPr>
            <w:tcW w:w="140" w:type="dxa"/>
            <w:vAlign w:val="bottom"/>
          </w:tcPr>
          <w:p>
            <w:pPr>
              <w:spacing w:after="0"/>
              <w:rPr>
                <w:sz w:val="16"/>
                <w:szCs w:val="16"/>
                <w:color w:val="auto"/>
              </w:rPr>
            </w:pPr>
          </w:p>
        </w:tc>
        <w:tc>
          <w:tcPr>
            <w:tcW w:w="84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(7,373)</w:t>
            </w: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repurchased</w:t>
            </w:r>
          </w:p>
        </w:tc>
        <w:tc>
          <w:tcPr>
            <w:tcW w:w="1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(9,852)</w:t>
            </w:r>
          </w:p>
        </w:tc>
        <w:tc>
          <w:tcPr>
            <w:tcW w:w="0" w:type="dxa"/>
            <w:vAlign w:val="bottom"/>
          </w:tcPr>
          <w:p>
            <w:pPr>
              <w:spacing w:after="0"/>
              <w:rPr>
                <w:sz w:val="1"/>
                <w:szCs w:val="1"/>
                <w:color w:val="auto"/>
              </w:rPr>
            </w:pPr>
          </w:p>
        </w:tc>
      </w:tr>
      <w:tr>
        <w:trPr>
          <w:trHeight w:val="189"/>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Excise tax on common shares repurchased</w:t>
            </w:r>
          </w:p>
        </w:tc>
        <w:tc>
          <w:tcPr>
            <w:tcW w:w="140" w:type="dxa"/>
            <w:vAlign w:val="bottom"/>
          </w:tcPr>
          <w:p>
            <w:pPr>
              <w:spacing w:after="0"/>
              <w:rPr>
                <w:sz w:val="16"/>
                <w:szCs w:val="16"/>
                <w:color w:val="auto"/>
              </w:rPr>
            </w:pPr>
          </w:p>
        </w:tc>
        <w:tc>
          <w:tcPr>
            <w:tcW w:w="84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89"/>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1,630,130</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(933,346)</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(10,130)</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(389,229)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1,963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299,388</w:t>
            </w: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2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40" w:type="dxa"/>
            <w:vAlign w:val="bottom"/>
            <w:tcBorders>
              <w:right w:val="single" w:sz="8" w:color="CCEEFF"/>
            </w:tcBorders>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1,631,823</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(980,720)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(10,130)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(404,600)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236,998</w:t>
            </w:r>
          </w:p>
        </w:tc>
        <w:tc>
          <w:tcPr>
            <w:tcW w:w="0" w:type="dxa"/>
            <w:vAlign w:val="bottom"/>
          </w:tcPr>
          <w:p>
            <w:pPr>
              <w:spacing w:after="0"/>
              <w:rPr>
                <w:sz w:val="1"/>
                <w:szCs w:val="1"/>
                <w:color w:val="auto"/>
              </w:rPr>
            </w:pPr>
          </w:p>
        </w:tc>
      </w:tr>
      <w:tr>
        <w:trPr>
          <w:trHeight w:val="202"/>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(13,161)</w:t>
            </w:r>
          </w:p>
        </w:tc>
        <w:tc>
          <w:tcPr>
            <w:tcW w:w="0" w:type="dxa"/>
            <w:vAlign w:val="bottom"/>
          </w:tcPr>
          <w:p>
            <w:pPr>
              <w:spacing w:after="0"/>
              <w:rPr>
                <w:sz w:val="1"/>
                <w:szCs w:val="1"/>
                <w:color w:val="auto"/>
              </w:rPr>
            </w:pPr>
          </w:p>
        </w:tc>
      </w:tr>
      <w:tr>
        <w:trPr>
          <w:trHeight w:val="189"/>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40" w:type="dxa"/>
            <w:vAlign w:val="bottom"/>
          </w:tcPr>
          <w:p>
            <w:pPr>
              <w:spacing w:after="0"/>
              <w:rPr>
                <w:sz w:val="16"/>
                <w:szCs w:val="16"/>
                <w:color w:val="auto"/>
              </w:rPr>
            </w:pPr>
          </w:p>
        </w:tc>
        <w:tc>
          <w:tcPr>
            <w:tcW w:w="84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12,028</w:t>
            </w: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paid</w:t>
            </w:r>
          </w:p>
        </w:tc>
        <w:tc>
          <w:tcPr>
            <w:tcW w:w="1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(4,058)</w:t>
            </w:r>
          </w:p>
        </w:tc>
        <w:tc>
          <w:tcPr>
            <w:tcW w:w="0" w:type="dxa"/>
            <w:vAlign w:val="bottom"/>
          </w:tcPr>
          <w:p>
            <w:pPr>
              <w:spacing w:after="0"/>
              <w:rPr>
                <w:sz w:val="1"/>
                <w:szCs w:val="1"/>
                <w:color w:val="auto"/>
              </w:rPr>
            </w:pPr>
          </w:p>
        </w:tc>
      </w:tr>
      <w:tr>
        <w:trPr>
          <w:trHeight w:val="189"/>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shares repurchased</w:t>
            </w:r>
          </w:p>
        </w:tc>
        <w:tc>
          <w:tcPr>
            <w:tcW w:w="140" w:type="dxa"/>
            <w:vAlign w:val="bottom"/>
          </w:tcPr>
          <w:p>
            <w:pPr>
              <w:spacing w:after="0"/>
              <w:rPr>
                <w:sz w:val="16"/>
                <w:szCs w:val="16"/>
                <w:color w:val="auto"/>
              </w:rPr>
            </w:pPr>
          </w:p>
        </w:tc>
        <w:tc>
          <w:tcPr>
            <w:tcW w:w="84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(22,474)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(22,474)</w:t>
            </w: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Excise tax on common shares repurchased</w:t>
            </w:r>
          </w:p>
        </w:tc>
        <w:tc>
          <w:tcPr>
            <w:tcW w:w="1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0" w:type="dxa"/>
            <w:vAlign w:val="bottom"/>
          </w:tcPr>
          <w:p>
            <w:pPr>
              <w:spacing w:after="0"/>
              <w:rPr>
                <w:sz w:val="1"/>
                <w:szCs w:val="1"/>
                <w:color w:val="auto"/>
              </w:rPr>
            </w:pPr>
          </w:p>
        </w:tc>
      </w:tr>
      <w:tr>
        <w:trPr>
          <w:trHeight w:val="189"/>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40" w:type="dxa"/>
            <w:vAlign w:val="bottom"/>
          </w:tcPr>
          <w:p>
            <w:pPr>
              <w:spacing w:after="0"/>
              <w:rPr>
                <w:sz w:val="16"/>
                <w:szCs w:val="16"/>
                <w:color w:val="auto"/>
              </w:rPr>
            </w:pPr>
          </w:p>
        </w:tc>
        <w:tc>
          <w:tcPr>
            <w:tcW w:w="84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0" w:type="dxa"/>
            <w:vAlign w:val="bottom"/>
          </w:tcPr>
          <w:p>
            <w:pPr>
              <w:spacing w:after="0"/>
              <w:rPr>
                <w:sz w:val="1"/>
                <w:szCs w:val="1"/>
                <w:color w:val="auto"/>
              </w:rPr>
            </w:pPr>
          </w:p>
        </w:tc>
      </w:tr>
      <w:tr>
        <w:trPr>
          <w:trHeight w:val="221"/>
        </w:trPr>
        <w:tc>
          <w:tcPr>
            <w:tcW w:w="2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right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1,633,022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(1,020,236)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(10,775)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(392,573)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209,438</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3"/>
          </w:tcPr>
          <w:p>
            <w:pPr>
              <w:jc w:val="center"/>
              <w:ind w:left="171"/>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center"/>
              <w:ind w:left="171"/>
              <w:spacing w:after="0" w:line="142" w:lineRule="exact"/>
              <w:rPr>
                <w:sz w:val="20"/>
                <w:szCs w:val="20"/>
                <w:color w:val="auto"/>
              </w:rPr>
            </w:pPr>
            <w:r>
              <w:rPr>
                <w:rFonts w:ascii="Times New Roman" w:cs="Times New Roman" w:eastAsia="Times New Roman" w:hAnsi="Times New Roman"/>
                <w:sz w:val="14"/>
                <w:szCs w:val="14"/>
                <w:b w:val="1"/>
                <w:bCs w:val="1"/>
                <w:color w:val="auto"/>
                <w:w w:val="99"/>
              </w:rPr>
              <w:t>Shares (in</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6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40" w:type="dxa"/>
            <w:vAlign w:val="bottom"/>
            <w:shd w:val="clear" w:color="auto" w:fill="CCEEFF"/>
          </w:tcPr>
          <w:p>
            <w:pPr>
              <w:spacing w:after="0"/>
              <w:rPr>
                <w:sz w:val="16"/>
                <w:szCs w:val="16"/>
                <w:color w:val="auto"/>
              </w:rPr>
            </w:pPr>
          </w:p>
        </w:tc>
        <w:tc>
          <w:tcPr>
            <w:tcW w:w="108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13,654</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repurchased</w:t>
            </w:r>
          </w:p>
        </w:tc>
        <w:tc>
          <w:tcPr>
            <w:tcW w:w="140" w:type="dxa"/>
            <w:vAlign w:val="bottom"/>
            <w:shd w:val="clear" w:color="auto" w:fill="CCEEFF"/>
          </w:tcPr>
          <w:p>
            <w:pPr>
              <w:spacing w:after="0"/>
              <w:rPr>
                <w:sz w:val="17"/>
                <w:szCs w:val="17"/>
                <w:color w:val="auto"/>
              </w:rPr>
            </w:pPr>
          </w:p>
        </w:tc>
        <w:tc>
          <w:tcPr>
            <w:tcW w:w="1080" w:type="dxa"/>
            <w:vAlign w:val="bottom"/>
            <w:tcBorders>
              <w:bottom w:val="single" w:sz="8" w:color="auto"/>
              <w:right w:val="single" w:sz="8" w:color="CCEEFF"/>
            </w:tcBorders>
            <w:gridSpan w:val="4"/>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97"/>
              </w:rPr>
              <w:t>(1,036)</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2025</w:t>
            </w:r>
          </w:p>
        </w:tc>
        <w:tc>
          <w:tcPr>
            <w:tcW w:w="140" w:type="dxa"/>
            <w:vAlign w:val="bottom"/>
          </w:tcPr>
          <w:p>
            <w:pPr>
              <w:spacing w:after="0"/>
              <w:rPr>
                <w:sz w:val="17"/>
                <w:szCs w:val="17"/>
                <w:color w:val="auto"/>
              </w:rPr>
            </w:pPr>
          </w:p>
        </w:tc>
        <w:tc>
          <w:tcPr>
            <w:tcW w:w="1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12,696</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3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480"/>
          </w:cols>
          <w:pgMar w:left="320" w:top="1374" w:right="1099" w:bottom="1440" w:gutter="0" w:footer="0" w:header="0"/>
        </w:sectPr>
      </w:pPr>
    </w:p>
    <w:bookmarkStart w:id="7" w:name="page8"/>
    <w:bookmarkEnd w:id="7"/>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CASH FLOWS</w:t>
      </w:r>
    </w:p>
    <w:p>
      <w:pPr>
        <w:spacing w:after="0" w:line="3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17" w:lineRule="exact"/>
        <w:rPr>
          <w:sz w:val="20"/>
          <w:szCs w:val="20"/>
          <w:color w:val="auto"/>
        </w:rPr>
      </w:pPr>
    </w:p>
    <w:p>
      <w:pPr>
        <w:jc w:val="center"/>
        <w:ind w:left="77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77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8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5"/>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8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89"/>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(13,161)</w:t>
            </w:r>
          </w:p>
        </w:tc>
        <w:tc>
          <w:tcPr>
            <w:tcW w:w="12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2,291</w:t>
            </w:r>
          </w:p>
        </w:tc>
      </w:tr>
      <w:tr>
        <w:trPr>
          <w:trHeight w:val="20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9"/>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34,080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33,829</w:t>
            </w: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Impairment charges</w:t>
            </w:r>
          </w:p>
        </w:tc>
        <w:tc>
          <w:tcPr>
            <w:tcW w:w="8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7,823</w:t>
            </w:r>
          </w:p>
        </w:tc>
      </w:tr>
      <w:tr>
        <w:trPr>
          <w:trHeight w:val="189"/>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income tax benefit</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(4,344)</w:t>
            </w: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Non-cash compensation charge</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w:t>
            </w:r>
          </w:p>
        </w:tc>
      </w:tr>
      <w:tr>
        <w:trPr>
          <w:trHeight w:val="189"/>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Gains on disposals of assets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(6,104)</w:t>
            </w: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 (benefit) for credit losses, net of recoveries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89"/>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w:t>
            </w: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9"/>
        </w:trPr>
        <w:tc>
          <w:tcPr>
            <w:tcW w:w="7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15,229</w:t>
            </w:r>
          </w:p>
        </w:tc>
      </w:tr>
      <w:tr>
        <w:trPr>
          <w:trHeight w:val="203"/>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Inventories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w:t>
            </w:r>
          </w:p>
        </w:tc>
      </w:tr>
      <w:tr>
        <w:trPr>
          <w:trHeight w:val="189"/>
        </w:trPr>
        <w:tc>
          <w:tcPr>
            <w:tcW w:w="7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(17,166)</w:t>
            </w:r>
          </w:p>
        </w:tc>
      </w:tr>
      <w:tr>
        <w:trPr>
          <w:trHeight w:val="203"/>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Taxes payable</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5,836</w:t>
            </w:r>
          </w:p>
        </w:tc>
      </w:tr>
      <w:tr>
        <w:trPr>
          <w:trHeight w:val="189"/>
        </w:trPr>
        <w:tc>
          <w:tcPr>
            <w:tcW w:w="7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current and noncurrent assets and liabilities, net</w:t>
            </w: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9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flows provided by (used in) operating activities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38,343</w:t>
            </w:r>
          </w:p>
        </w:tc>
      </w:tr>
      <w:tr>
        <w:trPr>
          <w:trHeight w:val="105"/>
        </w:trPr>
        <w:tc>
          <w:tcPr>
            <w:tcW w:w="7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19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9"/>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(10,929)</w:t>
            </w: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related to acquisitions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(64,948)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dispositions of property, plant and equipment</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10,617</w:t>
            </w: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8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r>
      <w:tr>
        <w:trPr>
          <w:trHeight w:val="182"/>
        </w:trPr>
        <w:tc>
          <w:tcPr>
            <w:tcW w:w="7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cash flows used in investing activities</w:t>
            </w: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(74,444)</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111"/>
        </w:trPr>
        <w:tc>
          <w:tcPr>
            <w:tcW w:w="79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r>
      <w:tr>
        <w:trPr>
          <w:trHeight w:val="189"/>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Revolving credit borrowings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232,902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120,816</w:t>
            </w:r>
          </w:p>
        </w:tc>
      </w:tr>
      <w:tr>
        <w:trPr>
          <w:trHeight w:val="189"/>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Revolving credit repayments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4"/>
              </w:rPr>
              <w:t>(113,679)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(136,641)</w:t>
            </w: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Debt issuance costs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paid</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(7,368)</w:t>
            </w: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Repurchases of common shares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(22,474)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(9,852)</w:t>
            </w:r>
          </w:p>
        </w:tc>
      </w:tr>
      <w:tr>
        <w:trPr>
          <w:trHeight w:val="189"/>
        </w:trPr>
        <w:tc>
          <w:tcPr>
            <w:tcW w:w="7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Taxes paid on vested shares</w:t>
            </w: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(1,067)</w:t>
            </w:r>
          </w:p>
        </w:tc>
      </w:tr>
      <w:tr>
        <w:trPr>
          <w:trHeight w:val="19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flows provided by (used in) financing activities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92,244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(34,112)</w:t>
            </w:r>
          </w:p>
        </w:tc>
      </w:tr>
      <w:tr>
        <w:trPr>
          <w:trHeight w:val="105"/>
        </w:trPr>
        <w:tc>
          <w:tcPr>
            <w:tcW w:w="7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19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8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2,392</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2"/>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4,112</w:t>
            </w:r>
          </w:p>
        </w:tc>
      </w:tr>
      <w:tr>
        <w:trPr>
          <w:trHeight w:val="19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8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5,204</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3,323</w:t>
            </w:r>
          </w:p>
        </w:tc>
      </w:tr>
      <w:tr>
        <w:trPr>
          <w:trHeight w:val="91"/>
        </w:trPr>
        <w:tc>
          <w:tcPr>
            <w:tcW w:w="7980" w:type="dxa"/>
            <w:vAlign w:val="bottom"/>
          </w:tcPr>
          <w:p>
            <w:pPr>
              <w:spacing w:after="0"/>
              <w:rPr>
                <w:sz w:val="7"/>
                <w:szCs w:val="7"/>
                <w:color w:val="auto"/>
              </w:rPr>
            </w:pPr>
          </w:p>
        </w:tc>
        <w:tc>
          <w:tcPr>
            <w:tcW w:w="8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221"/>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88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60"/>
          </w:cols>
          <w:pgMar w:left="320" w:top="1374" w:right="619" w:bottom="1440" w:gutter="0" w:footer="0" w:header="0"/>
        </w:sectPr>
      </w:pPr>
    </w:p>
    <w:bookmarkStart w:id="8" w:name="page9"/>
    <w:bookmarkEnd w:id="8"/>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20" w:hanging="315"/>
        <w:spacing w:after="0"/>
        <w:tabs>
          <w:tab w:leader="none" w:pos="32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DESCRIPTION OF BUSINESS AND BASIS OF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Description of the Business</w:t>
      </w:r>
    </w:p>
    <w:p>
      <w:pPr>
        <w:spacing w:after="0" w:line="227"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We provide hospitality services to remote workforces in Australia and Canada, including catering and food service, lodging, housekeeping and maintenance at accommodation facilities that we or our customers own. We provide services that support the day-to-day operations of these facilities, such as laundry, facility management and maintenance, water and wastewater treatment, power generation, communication systems, security and logistics. We also manage development activities for workforce accommodation facilities, including site selection, permitting, engineering and design and manufacturing and site construction management, along with providing hospitality services once the facility is constructed. We primarily operate in some of the world’s most active metallurgical (met) coal, oil, liquefied natural gas (LNG) and iron ore producing regions, and our customers include mining companies, major and independent oil companies, engineering companies and oilfield and mining service companies. We operate in two principal reportable business segments – Australia and Canada.</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227"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Unless otherwise stated or the context otherwise indicates: (i) all references in these consolidated financial statements to “Civeo,” “us,” “our” or “we” refer to Civeo Corporation and its consolidated subsidiaries; and (ii) all references in this report to “dollars” or “$” are to United States (U.S.) dollars. Certain reclassifications have been made to the prior year financial statements for them to conform with the 2025 presentation.</w:t>
      </w:r>
    </w:p>
    <w:p>
      <w:pPr>
        <w:spacing w:after="0" w:line="162"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The accompanying unaudited consolidated financial statements of Civeo have been prepared pursuant to the rules and regulations of the Securities and Exchange Commission (the SEC) pertaining to interim financial information. Certain information in footnote disclosures normally included in financial statements prepared in accordance with U.S. Generally Accepted Accounting Principles (GAAP) has been condensed or omitted pursuant to those rules and regulations. The unaudited consolidated financial statements included in this report reflect all the adjustments, consisting of normal recurring adjustments, which Civeo considers necessary for a fair presentation of the results of operations for the interim periods covered and for the financial condition of Civeo at the date of the interim balance sheet. Results for the interim periods are not necessarily indicative of results for the full year.</w:t>
      </w:r>
    </w:p>
    <w:p>
      <w:pPr>
        <w:spacing w:after="0" w:line="200"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spacing w:after="0" w:line="169"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unaudited consolidated financial statements included in this report should be read in conjunction with our audited consolidated financial statements and accompanying notes included in our Annual Report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203" w:lineRule="exact"/>
        <w:rPr>
          <w:sz w:val="20"/>
          <w:szCs w:val="20"/>
          <w:color w:val="auto"/>
        </w:rPr>
      </w:pPr>
    </w:p>
    <w:p>
      <w:pPr>
        <w:ind w:left="320" w:hanging="315"/>
        <w:spacing w:after="0"/>
        <w:tabs>
          <w:tab w:leader="none" w:pos="32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w:t>
      </w:r>
    </w:p>
    <w:p>
      <w:pPr>
        <w:spacing w:after="0" w:line="225" w:lineRule="exact"/>
        <w:rPr>
          <w:sz w:val="20"/>
          <w:szCs w:val="20"/>
          <w:color w:val="auto"/>
        </w:rPr>
      </w:pPr>
    </w:p>
    <w:p>
      <w:pPr>
        <w:ind w:right="240" w:firstLine="470"/>
        <w:spacing w:after="0" w:line="282" w:lineRule="auto"/>
        <w:rPr>
          <w:sz w:val="20"/>
          <w:szCs w:val="20"/>
          <w:color w:val="auto"/>
        </w:rPr>
      </w:pPr>
      <w:r>
        <w:rPr>
          <w:rFonts w:ascii="Times New Roman" w:cs="Times New Roman" w:eastAsia="Times New Roman" w:hAnsi="Times New Roman"/>
          <w:sz w:val="17"/>
          <w:szCs w:val="17"/>
          <w:color w:val="auto"/>
        </w:rPr>
        <w:t>The following table disaggregates our revenue by our two reportable segments (Australia and Canada) into major categories for the periods indicated (in thousands):</w:t>
      </w:r>
    </w:p>
    <w:tbl>
      <w:tblPr>
        <w:tblLayout w:type="fixed"/>
        <w:tblInd w:w="480" w:type="dxa"/>
        <w:tblCellMar>
          <w:top w:w="0" w:type="dxa"/>
          <w:left w:w="0" w:type="dxa"/>
          <w:bottom w:w="0" w:type="dxa"/>
          <w:right w:w="0" w:type="dxa"/>
        </w:tblCellMar>
      </w:tblPr>
      <w:tr>
        <w:trPr>
          <w:trHeight w:val="160"/>
        </w:trPr>
        <w:tc>
          <w:tcPr>
            <w:tcW w:w="5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60" w:type="dxa"/>
            <w:vAlign w:val="bottom"/>
            <w:gridSpan w:val="5"/>
          </w:tcPr>
          <w:p>
            <w:pPr>
              <w:ind w:left="360"/>
              <w:spacing w:after="0" w:line="160"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3"/>
                <w:szCs w:val="13"/>
                <w:color w:val="auto"/>
              </w:rPr>
            </w:pPr>
          </w:p>
        </w:tc>
        <w:tc>
          <w:tcPr>
            <w:tcW w:w="2120" w:type="dxa"/>
            <w:vAlign w:val="bottom"/>
            <w:gridSpan w:val="4"/>
          </w:tcPr>
          <w:p>
            <w:pPr>
              <w:jc w:val="right"/>
              <w:ind w:right="354"/>
              <w:spacing w:after="0" w:line="160" w:lineRule="exact"/>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7"/>
        </w:trPr>
        <w:tc>
          <w:tcPr>
            <w:tcW w:w="55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40" w:type="dxa"/>
            <w:vAlign w:val="bottom"/>
            <w:tcBorders>
              <w:bottom w:val="single" w:sz="8" w:color="auto"/>
            </w:tcBorders>
          </w:tcPr>
          <w:p>
            <w:pPr>
              <w:spacing w:after="0"/>
              <w:rPr>
                <w:sz w:val="18"/>
                <w:szCs w:val="18"/>
                <w:color w:val="auto"/>
              </w:rPr>
            </w:pPr>
          </w:p>
        </w:tc>
      </w:tr>
      <w:tr>
        <w:trPr>
          <w:trHeight w:val="202"/>
        </w:trPr>
        <w:tc>
          <w:tcPr>
            <w:tcW w:w="5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4"/>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Australia</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2"/>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Accommodation revenues</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52,682</w:t>
            </w:r>
          </w:p>
        </w:tc>
        <w:tc>
          <w:tcPr>
            <w:tcW w:w="10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48,914</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99,505</w:t>
            </w:r>
          </w:p>
        </w:tc>
        <w:tc>
          <w:tcPr>
            <w:tcW w:w="10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2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Food service and other services revenues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15"/>
        </w:trPr>
        <w:tc>
          <w:tcPr>
            <w:tcW w:w="5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Australia revenues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112,672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108,608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216,318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r>
      <w:tr>
        <w:trPr>
          <w:trHeight w:val="209"/>
        </w:trPr>
        <w:tc>
          <w:tcPr>
            <w:tcW w:w="5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22"/>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Canada</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Accommodation revenues</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r>
      <w:tr>
        <w:trPr>
          <w:trHeight w:val="222"/>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Mobile facility rental revenues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Food service and other services revenues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5"/>
        </w:trPr>
        <w:tc>
          <w:tcPr>
            <w:tcW w:w="5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Canada revenues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90,420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r>
      <w:tr>
        <w:trPr>
          <w:trHeight w:val="209"/>
        </w:trPr>
        <w:tc>
          <w:tcPr>
            <w:tcW w:w="5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22"/>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revenues</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5"/>
        </w:trPr>
        <w:tc>
          <w:tcPr>
            <w:tcW w:w="5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other revenues</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09"/>
        </w:trPr>
        <w:tc>
          <w:tcPr>
            <w:tcW w:w="55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r>
      <w:tr>
        <w:trPr>
          <w:trHeight w:val="215"/>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162,694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188,713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306,738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75"/>
        </w:trPr>
        <w:tc>
          <w:tcPr>
            <w:tcW w:w="5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bl>
    <w:p>
      <w:pPr>
        <w:spacing w:after="0" w:line="282" w:lineRule="exact"/>
        <w:rPr>
          <w:sz w:val="20"/>
          <w:szCs w:val="20"/>
          <w:color w:val="auto"/>
        </w:rPr>
      </w:pPr>
    </w:p>
    <w:p>
      <w:pPr>
        <w:jc w:val="both"/>
        <w:ind w:right="100" w:firstLine="470"/>
        <w:spacing w:after="0" w:line="276" w:lineRule="auto"/>
        <w:rPr>
          <w:sz w:val="20"/>
          <w:szCs w:val="20"/>
          <w:color w:val="auto"/>
        </w:rPr>
      </w:pPr>
      <w:r>
        <w:rPr>
          <w:rFonts w:ascii="Times New Roman" w:cs="Times New Roman" w:eastAsia="Times New Roman" w:hAnsi="Times New Roman"/>
          <w:sz w:val="17"/>
          <w:szCs w:val="17"/>
          <w:color w:val="auto"/>
        </w:rPr>
        <w:t>Our payment terms vary by the type and location of our customer and the services offered. The time between invoicing and when our performance obligations are satisfied is not significant. Payment terms are generally within 30 days and in most cases do not extend beyond 60 days. We do not have significant financing components or significant payment terms.</w:t>
      </w:r>
    </w:p>
    <w:p>
      <w:pPr>
        <w:spacing w:after="0" w:line="188" w:lineRule="exact"/>
        <w:rPr>
          <w:sz w:val="20"/>
          <w:szCs w:val="20"/>
          <w:color w:val="auto"/>
        </w:rPr>
      </w:pPr>
    </w:p>
    <w:p>
      <w:pPr>
        <w:jc w:val="both"/>
        <w:ind w:right="100" w:firstLine="470"/>
        <w:spacing w:after="0" w:line="276" w:lineRule="auto"/>
        <w:rPr>
          <w:sz w:val="20"/>
          <w:szCs w:val="20"/>
          <w:color w:val="auto"/>
        </w:rPr>
      </w:pPr>
      <w:r>
        <w:rPr>
          <w:rFonts w:ascii="Times New Roman" w:cs="Times New Roman" w:eastAsia="Times New Roman" w:hAnsi="Times New Roman"/>
          <w:sz w:val="17"/>
          <w:szCs w:val="17"/>
          <w:color w:val="auto"/>
        </w:rPr>
        <w:t>As of June 30, 2025, for contracts that are greater than one year, the table below discloses the estimated revenues related to performance obligations that are unsatisfied (or partially unsatisfied) and when we expect to recognize the revenue. The table only includes revenue expected to be recognized from contracts where the quantity of service is certain (in thousands):</w:t>
      </w:r>
    </w:p>
    <w:p>
      <w:pPr>
        <w:spacing w:after="0" w:line="230"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3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gridSpan w:val="8"/>
          </w:tcPr>
          <w:p>
            <w:pPr>
              <w:ind w:left="640"/>
              <w:spacing w:after="0"/>
              <w:rPr>
                <w:sz w:val="20"/>
                <w:szCs w:val="20"/>
                <w:color w:val="auto"/>
              </w:rPr>
            </w:pPr>
            <w:r>
              <w:rPr>
                <w:rFonts w:ascii="Times New Roman" w:cs="Times New Roman" w:eastAsia="Times New Roman" w:hAnsi="Times New Roman"/>
                <w:sz w:val="16"/>
                <w:szCs w:val="16"/>
                <w:b w:val="1"/>
                <w:bCs w:val="1"/>
                <w:color w:val="auto"/>
              </w:rPr>
              <w:t>For the years ending December 31,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04"/>
        </w:trPr>
        <w:tc>
          <w:tcPr>
            <w:tcW w:w="3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300" w:type="dxa"/>
            <w:vAlign w:val="bottom"/>
          </w:tcPr>
          <w:p>
            <w:pPr>
              <w:spacing w:after="0"/>
              <w:rPr>
                <w:sz w:val="17"/>
                <w:szCs w:val="17"/>
                <w:color w:val="auto"/>
              </w:rPr>
            </w:pPr>
          </w:p>
        </w:tc>
        <w:tc>
          <w:tcPr>
            <w:tcW w:w="104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4"/>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8"/>
              </w:rPr>
              <w:t>Revenue expected to be recognized as of June 30, 2025</w:t>
            </w: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107,593</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178,520</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141,889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282,781</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710,783</w:t>
            </w:r>
          </w:p>
        </w:tc>
      </w:tr>
    </w:tbl>
    <w:p>
      <w:pPr>
        <w:spacing w:after="0" w:line="295" w:lineRule="exact"/>
        <w:rPr>
          <w:sz w:val="20"/>
          <w:szCs w:val="20"/>
          <w:color w:val="auto"/>
        </w:rPr>
      </w:pPr>
    </w:p>
    <w:p>
      <w:pPr>
        <w:jc w:val="both"/>
        <w:ind w:right="100" w:firstLine="470"/>
        <w:spacing w:after="0" w:line="269" w:lineRule="auto"/>
        <w:rPr>
          <w:sz w:val="20"/>
          <w:szCs w:val="20"/>
          <w:color w:val="auto"/>
        </w:rPr>
      </w:pPr>
      <w:r>
        <w:rPr>
          <w:rFonts w:ascii="Times New Roman" w:cs="Times New Roman" w:eastAsia="Times New Roman" w:hAnsi="Times New Roman"/>
          <w:sz w:val="17"/>
          <w:szCs w:val="17"/>
          <w:color w:val="auto"/>
        </w:rPr>
        <w:t>We applied the practical expedient and do not disclose consideration for remaining performance obligations with an original expected duration of one year or less. In addition, we do not estimate revenues expected to be recognized related to unsatisfied performance obligations for contracts without minimum room commitments. The table above represents only a portion of our expected future consolidated revenues and it is not necessarily indicative of the expected trend in total revenues.</w:t>
      </w:r>
    </w:p>
    <w:p>
      <w:pPr>
        <w:spacing w:after="0" w:line="193" w:lineRule="exact"/>
        <w:rPr>
          <w:sz w:val="20"/>
          <w:szCs w:val="20"/>
          <w:color w:val="auto"/>
        </w:rPr>
      </w:pPr>
    </w:p>
    <w:p>
      <w:pPr>
        <w:ind w:left="320" w:hanging="315"/>
        <w:spacing w:after="0"/>
        <w:tabs>
          <w:tab w:leader="none" w:pos="32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IMPAIRMENT CHARGES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 impairment expense was recorded during the first or second quarters of 2025.</w:t>
      </w:r>
    </w:p>
    <w:p>
      <w:pPr>
        <w:spacing w:after="0" w:line="118" w:lineRule="exact"/>
        <w:rPr>
          <w:sz w:val="20"/>
          <w:szCs w:val="20"/>
          <w:color w:val="auto"/>
        </w:rPr>
      </w:pPr>
    </w:p>
    <w:p>
      <w:pPr>
        <w:ind w:right="100" w:firstLine="470"/>
        <w:spacing w:after="0" w:line="295" w:lineRule="auto"/>
        <w:rPr>
          <w:sz w:val="20"/>
          <w:szCs w:val="20"/>
          <w:color w:val="auto"/>
        </w:rPr>
      </w:pPr>
      <w:r>
        <w:rPr>
          <w:rFonts w:ascii="Times New Roman" w:cs="Times New Roman" w:eastAsia="Times New Roman" w:hAnsi="Times New Roman"/>
          <w:sz w:val="17"/>
          <w:szCs w:val="17"/>
          <w:color w:val="auto"/>
        </w:rPr>
        <w:t>The following summarizes pre-tax impairment charges recorded during 2024, which are included in Impairment expense in our consolidated statements of operations (in thousands):</w:t>
      </w:r>
    </w:p>
    <w:p>
      <w:pPr>
        <w:spacing w:after="0" w:line="79" w:lineRule="exact"/>
        <w:rPr>
          <w:sz w:val="20"/>
          <w:szCs w:val="20"/>
          <w:color w:val="auto"/>
        </w:rPr>
      </w:pPr>
    </w:p>
    <w:tbl>
      <w:tblPr>
        <w:tblLayout w:type="fixed"/>
        <w:tblInd w:w="1120" w:type="dxa"/>
        <w:tblCellMar>
          <w:top w:w="0" w:type="dxa"/>
          <w:left w:w="0" w:type="dxa"/>
          <w:bottom w:w="0" w:type="dxa"/>
          <w:right w:w="0" w:type="dxa"/>
        </w:tblCellMar>
      </w:tblPr>
      <w:tr>
        <w:trPr>
          <w:trHeight w:val="229"/>
        </w:trPr>
        <w:tc>
          <w:tcPr>
            <w:tcW w:w="4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Australia</w:t>
            </w:r>
          </w:p>
        </w:tc>
        <w:tc>
          <w:tcPr>
            <w:tcW w:w="30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U.S.</w:t>
            </w:r>
          </w:p>
        </w:tc>
        <w:tc>
          <w:tcPr>
            <w:tcW w:w="280" w:type="dxa"/>
            <w:vAlign w:val="bottom"/>
          </w:tcPr>
          <w:p>
            <w:pPr>
              <w:spacing w:after="0"/>
              <w:rPr>
                <w:sz w:val="19"/>
                <w:szCs w:val="19"/>
                <w:color w:val="auto"/>
              </w:rPr>
            </w:pPr>
          </w:p>
        </w:tc>
        <w:tc>
          <w:tcPr>
            <w:tcW w:w="104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2"/>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Quarter ended March 31, 2024</w:t>
            </w: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22"/>
        </w:trPr>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Long-lived assets</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5,749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7,823</w:t>
            </w:r>
          </w:p>
        </w:tc>
      </w:tr>
      <w:tr>
        <w:trPr>
          <w:trHeight w:val="240"/>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7,823</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320" w:top="119" w:right="2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type w:val="continuous"/>
        </w:sectPr>
      </w:pPr>
    </w:p>
    <w:bookmarkStart w:id="10" w:name="page11"/>
    <w:bookmarkEnd w:id="10"/>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40" w:lineRule="exact"/>
        <w:rPr>
          <w:sz w:val="20"/>
          <w:szCs w:val="20"/>
          <w:color w:val="auto"/>
        </w:rPr>
      </w:pPr>
    </w:p>
    <w:p>
      <w:pPr>
        <w:jc w:val="both"/>
        <w:ind w:firstLine="470"/>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Quarter ended March 31, 2024</w:t>
      </w:r>
      <w:r>
        <w:rPr>
          <w:rFonts w:ascii="Times New Roman" w:cs="Times New Roman" w:eastAsia="Times New Roman" w:hAnsi="Times New Roman"/>
          <w:sz w:val="17"/>
          <w:szCs w:val="17"/>
          <w:color w:val="auto"/>
        </w:rPr>
        <w:t>. During the first quarter of 2024, we recorded impairment expense of $5.7 million related to various undeveloped land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positions and related permitting costs in Australia. At March 31, 2024, we identified an impairment trigger related to certain of these properties due to the denial of development permit applications in Australia. Accordingly, the assets were written down to their estimated fair value of $0.6 million.</w:t>
      </w:r>
    </w:p>
    <w:p>
      <w:pPr>
        <w:spacing w:after="0" w:line="2" w:lineRule="exact"/>
        <w:rPr>
          <w:sz w:val="20"/>
          <w:szCs w:val="20"/>
          <w:color w:val="auto"/>
        </w:rPr>
      </w:pPr>
    </w:p>
    <w:p>
      <w:pPr>
        <w:jc w:val="both"/>
        <w:ind w:firstLine="470"/>
        <w:spacing w:after="0" w:line="273" w:lineRule="auto"/>
        <w:rPr>
          <w:sz w:val="20"/>
          <w:szCs w:val="20"/>
          <w:color w:val="auto"/>
        </w:rPr>
      </w:pPr>
      <w:r>
        <w:rPr>
          <w:rFonts w:ascii="Times New Roman" w:cs="Times New Roman" w:eastAsia="Times New Roman" w:hAnsi="Times New Roman"/>
          <w:sz w:val="17"/>
          <w:szCs w:val="17"/>
          <w:color w:val="auto"/>
        </w:rPr>
        <w:t>In addition, during the first quarter of 2024, we recorded impairment expense of $2.1 million, related to land located in the U.S. The land was written down to its estimated fair value (less costs to sell) of $3.8 million.</w:t>
      </w:r>
    </w:p>
    <w:p>
      <w:pPr>
        <w:spacing w:after="0" w:line="189" w:lineRule="exact"/>
        <w:rPr>
          <w:sz w:val="20"/>
          <w:szCs w:val="20"/>
          <w:color w:val="auto"/>
        </w:rPr>
      </w:pPr>
    </w:p>
    <w:p>
      <w:pPr>
        <w:ind w:left="320" w:hanging="315"/>
        <w:spacing w:after="0"/>
        <w:tabs>
          <w:tab w:leader="none" w:pos="32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225"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Our financial instruments consist of cash and cash equivalents, receivables, payables and debt instruments. We believe that the carrying values of these instruments on the accompanying consolidated balance sheets approximate their fair values.</w:t>
      </w:r>
    </w:p>
    <w:p>
      <w:pPr>
        <w:spacing w:after="0" w:line="147"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As of June 30, 2025 and December 31, 2024, we believe the carrying value of our floating-rate debt outstanding under our revolving credit facilities approximates fair value because the terms include short-term interest rates and exclude penalties for prepayment. We estimated the fair value of our floating-rate revolving credit facilities using significant other observable inputs, representative of a Level 2 fair value measurement, including terms and credit spreads for these loans.</w:t>
      </w:r>
    </w:p>
    <w:p>
      <w:pPr>
        <w:spacing w:after="0" w:line="195"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During the second quarter of 2025, we acquired accommodation assets, land and customer contracts and recorded them at fair value. Determining the fair value of assets acquired and liabilities assumed required the exercise of judgment, which included the use of a multi-period excess earnings income approach to determine the fair value of the customer relationships. Specifically, the fair value of the customer relationships was determined by calculating the present value of expected cash flows by applying a discount rate that represents the estimated rate that market participants would require for such intangible assets. The expected cash flows and related discount rate are significant unobservable inputs categorized within Level 3 of the fair value hierarchy. The cash flows employed in the valuation are based on our best estimates of future sales, earnings and cash flows after considering factors such as general market conditions, expected future customer orders, contracts with suppliers, labor costs, changes in working capital, long-term business plans and recent operating performance.</w:t>
      </w:r>
    </w:p>
    <w:p>
      <w:pPr>
        <w:spacing w:after="0" w:line="199"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During the first quarter of 2024, we wrote down certain long-lived assets to fair value. Our estimate of the fair value of undeveloped land positions in Australia that were impaired was based on appraisals from third parties.</w:t>
      </w:r>
    </w:p>
    <w:p>
      <w:pPr>
        <w:spacing w:after="0" w:line="171" w:lineRule="exact"/>
        <w:rPr>
          <w:sz w:val="20"/>
          <w:szCs w:val="20"/>
          <w:color w:val="auto"/>
        </w:rPr>
      </w:pPr>
    </w:p>
    <w:p>
      <w:pPr>
        <w:ind w:left="320" w:hanging="315"/>
        <w:spacing w:after="0"/>
        <w:tabs>
          <w:tab w:leader="none" w:pos="3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DETAILS OF SELECTED BALANCE SHEET ACCOUNTS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Additional information regarding selected balance sheet accounts at June 30, 2025 and December 31, 2024 is presented below (in thousands):</w:t>
      </w:r>
    </w:p>
    <w:p>
      <w:pPr>
        <w:spacing w:after="0" w:line="356" w:lineRule="exact"/>
        <w:rPr>
          <w:sz w:val="20"/>
          <w:szCs w:val="20"/>
          <w:color w:val="auto"/>
        </w:rPr>
      </w:pPr>
    </w:p>
    <w:tbl>
      <w:tblPr>
        <w:tblLayout w:type="fixed"/>
        <w:tblInd w:w="540" w:type="dxa"/>
        <w:tblCellMar>
          <w:top w:w="0" w:type="dxa"/>
          <w:left w:w="0" w:type="dxa"/>
          <w:bottom w:w="0" w:type="dxa"/>
          <w:right w:w="0" w:type="dxa"/>
        </w:tblCellMar>
      </w:tblPr>
      <w:tr>
        <w:trPr>
          <w:trHeight w:val="209"/>
        </w:trPr>
        <w:tc>
          <w:tcPr>
            <w:tcW w:w="7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5"/>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Accounts receivable, net:</w:t>
            </w: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06"/>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84,144</w:t>
            </w:r>
          </w:p>
        </w:tc>
        <w:tc>
          <w:tcPr>
            <w:tcW w:w="120" w:type="dxa"/>
            <w:vAlign w:val="bottom"/>
          </w:tcPr>
          <w:p>
            <w:pPr>
              <w:spacing w:after="0"/>
              <w:rPr>
                <w:sz w:val="17"/>
                <w:szCs w:val="17"/>
                <w:color w:val="auto"/>
              </w:rPr>
            </w:pPr>
          </w:p>
        </w:tc>
        <w:tc>
          <w:tcPr>
            <w:tcW w:w="50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72,819</w:t>
            </w:r>
          </w:p>
        </w:tc>
      </w:tr>
      <w:tr>
        <w:trPr>
          <w:trHeight w:val="212"/>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Unbilled revenue</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12,883</w:t>
            </w:r>
          </w:p>
        </w:tc>
      </w:tr>
      <w:tr>
        <w:trPr>
          <w:trHeight w:val="206"/>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3,244</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3,544</w:t>
            </w:r>
          </w:p>
        </w:tc>
      </w:tr>
      <w:tr>
        <w:trPr>
          <w:trHeight w:val="205"/>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accounts receivable</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104,701</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89,246</w:t>
            </w:r>
          </w:p>
        </w:tc>
      </w:tr>
      <w:tr>
        <w:trPr>
          <w:trHeight w:val="206"/>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w:t>
            </w:r>
          </w:p>
        </w:tc>
      </w:tr>
      <w:tr>
        <w:trPr>
          <w:trHeight w:val="230"/>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accounts receivable, net</w:t>
            </w: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104,491</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89,038</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tbl>
      <w:tblPr>
        <w:tblLayout w:type="fixed"/>
        <w:tblInd w:w="620" w:type="dxa"/>
        <w:tblCellMar>
          <w:top w:w="0" w:type="dxa"/>
          <w:left w:w="0" w:type="dxa"/>
          <w:bottom w:w="0" w:type="dxa"/>
          <w:right w:w="0" w:type="dxa"/>
        </w:tblCellMar>
      </w:tblPr>
      <w:tr>
        <w:trPr>
          <w:trHeight w:val="209"/>
        </w:trPr>
        <w:tc>
          <w:tcPr>
            <w:tcW w:w="7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5"/>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Inventories:</w:t>
            </w: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06"/>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Finished goods, including purchased food, housekeeping and retail inventory</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4,240</w:t>
            </w:r>
          </w:p>
        </w:tc>
        <w:tc>
          <w:tcPr>
            <w:tcW w:w="100" w:type="dxa"/>
            <w:vAlign w:val="bottom"/>
          </w:tcPr>
          <w:p>
            <w:pPr>
              <w:spacing w:after="0"/>
              <w:rPr>
                <w:sz w:val="17"/>
                <w:szCs w:val="17"/>
                <w:color w:val="auto"/>
              </w:rPr>
            </w:pPr>
          </w:p>
        </w:tc>
        <w:tc>
          <w:tcPr>
            <w:tcW w:w="56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6,134</w:t>
            </w:r>
          </w:p>
        </w:tc>
      </w:tr>
      <w:tr>
        <w:trPr>
          <w:trHeight w:val="20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w:t>
            </w:r>
          </w:p>
        </w:tc>
      </w:tr>
      <w:tr>
        <w:trPr>
          <w:trHeight w:val="205"/>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inventories</w:t>
            </w: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5,822</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7,537</w:t>
            </w:r>
          </w:p>
        </w:tc>
      </w:tr>
      <w:tr>
        <w:trPr>
          <w:trHeight w:val="20"/>
        </w:trPr>
        <w:tc>
          <w:tcPr>
            <w:tcW w:w="7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27"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Estimated</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6100" w:type="dxa"/>
            <w:vAlign w:val="bottom"/>
          </w:tcPr>
          <w:p>
            <w:pPr>
              <w:spacing w:after="0"/>
              <w:rPr>
                <w:sz w:val="13"/>
                <w:szCs w:val="13"/>
                <w:color w:val="auto"/>
              </w:rPr>
            </w:pPr>
          </w:p>
        </w:tc>
        <w:tc>
          <w:tcPr>
            <w:tcW w:w="1440" w:type="dxa"/>
            <w:vAlign w:val="bottom"/>
            <w:gridSpan w:val="4"/>
          </w:tcPr>
          <w:p>
            <w:pPr>
              <w:jc w:val="center"/>
              <w:ind w:right="140"/>
              <w:spacing w:after="0" w:line="157" w:lineRule="exact"/>
              <w:rPr>
                <w:sz w:val="20"/>
                <w:szCs w:val="20"/>
                <w:color w:val="auto"/>
              </w:rPr>
            </w:pPr>
            <w:r>
              <w:rPr>
                <w:rFonts w:ascii="Times New Roman" w:cs="Times New Roman" w:eastAsia="Times New Roman" w:hAnsi="Times New Roman"/>
                <w:sz w:val="16"/>
                <w:szCs w:val="16"/>
                <w:b w:val="1"/>
                <w:bCs w:val="1"/>
                <w:color w:val="auto"/>
                <w:w w:val="98"/>
              </w:rPr>
              <w:t>Useful Life</w:t>
            </w:r>
          </w:p>
        </w:tc>
        <w:tc>
          <w:tcPr>
            <w:tcW w:w="180" w:type="dxa"/>
            <w:vAlign w:val="bottom"/>
          </w:tcPr>
          <w:p>
            <w:pPr>
              <w:spacing w:after="0"/>
              <w:rPr>
                <w:sz w:val="13"/>
                <w:szCs w:val="13"/>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07"/>
        </w:trPr>
        <w:tc>
          <w:tcPr>
            <w:tcW w:w="6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6"/>
              </w:rPr>
              <w:t>(in years)</w:t>
            </w:r>
          </w:p>
        </w:tc>
        <w:tc>
          <w:tcPr>
            <w:tcW w:w="18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3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29,131</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24,052</w:t>
            </w:r>
          </w:p>
        </w:tc>
        <w:tc>
          <w:tcPr>
            <w:tcW w:w="0" w:type="dxa"/>
            <w:vAlign w:val="bottom"/>
          </w:tcPr>
          <w:p>
            <w:pPr>
              <w:spacing w:after="0"/>
              <w:rPr>
                <w:sz w:val="1"/>
                <w:szCs w:val="1"/>
                <w:color w:val="auto"/>
              </w:rPr>
            </w:pPr>
          </w:p>
        </w:tc>
      </w:tr>
      <w:tr>
        <w:trPr>
          <w:trHeight w:val="21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Accommodations assets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1,411,160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1,272,515</w:t>
            </w:r>
          </w:p>
        </w:tc>
        <w:tc>
          <w:tcPr>
            <w:tcW w:w="0" w:type="dxa"/>
            <w:vAlign w:val="bottom"/>
          </w:tcPr>
          <w:p>
            <w:pPr>
              <w:spacing w:after="0"/>
              <w:rPr>
                <w:sz w:val="1"/>
                <w:szCs w:val="1"/>
                <w:color w:val="auto"/>
              </w:rPr>
            </w:pPr>
          </w:p>
        </w:tc>
      </w:tr>
      <w:tr>
        <w:trPr>
          <w:trHeight w:val="206"/>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12,386</w:t>
            </w:r>
          </w:p>
        </w:tc>
        <w:tc>
          <w:tcPr>
            <w:tcW w:w="0" w:type="dxa"/>
            <w:vAlign w:val="bottom"/>
          </w:tcPr>
          <w:p>
            <w:pPr>
              <w:spacing w:after="0"/>
              <w:rPr>
                <w:sz w:val="1"/>
                <w:szCs w:val="1"/>
                <w:color w:val="auto"/>
              </w:rPr>
            </w:pPr>
          </w:p>
        </w:tc>
      </w:tr>
      <w:tr>
        <w:trPr>
          <w:trHeight w:val="21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13,624</w:t>
            </w:r>
          </w:p>
        </w:tc>
        <w:tc>
          <w:tcPr>
            <w:tcW w:w="0" w:type="dxa"/>
            <w:vAlign w:val="bottom"/>
          </w:tcPr>
          <w:p>
            <w:pPr>
              <w:spacing w:after="0"/>
              <w:rPr>
                <w:sz w:val="1"/>
                <w:szCs w:val="1"/>
                <w:color w:val="auto"/>
              </w:rPr>
            </w:pPr>
          </w:p>
        </w:tc>
      </w:tr>
      <w:tr>
        <w:trPr>
          <w:trHeight w:val="206"/>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64,699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65,830</w:t>
            </w:r>
          </w:p>
        </w:tc>
        <w:tc>
          <w:tcPr>
            <w:tcW w:w="0" w:type="dxa"/>
            <w:vAlign w:val="bottom"/>
          </w:tcPr>
          <w:p>
            <w:pPr>
              <w:spacing w:after="0"/>
              <w:rPr>
                <w:sz w:val="1"/>
                <w:szCs w:val="1"/>
                <w:color w:val="auto"/>
              </w:rPr>
            </w:pPr>
          </w:p>
        </w:tc>
      </w:tr>
      <w:tr>
        <w:trPr>
          <w:trHeight w:val="21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8,775</w:t>
            </w:r>
          </w:p>
        </w:tc>
        <w:tc>
          <w:tcPr>
            <w:tcW w:w="0" w:type="dxa"/>
            <w:vAlign w:val="bottom"/>
          </w:tcPr>
          <w:p>
            <w:pPr>
              <w:spacing w:after="0"/>
              <w:rPr>
                <w:sz w:val="1"/>
                <w:szCs w:val="1"/>
                <w:color w:val="auto"/>
              </w:rPr>
            </w:pPr>
          </w:p>
        </w:tc>
      </w:tr>
      <w:tr>
        <w:trPr>
          <w:trHeight w:val="206"/>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32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6,835</w:t>
            </w:r>
          </w:p>
        </w:tc>
        <w:tc>
          <w:tcPr>
            <w:tcW w:w="0" w:type="dxa"/>
            <w:vAlign w:val="bottom"/>
          </w:tcPr>
          <w:p>
            <w:pPr>
              <w:spacing w:after="0"/>
              <w:rPr>
                <w:sz w:val="1"/>
                <w:szCs w:val="1"/>
                <w:color w:val="auto"/>
              </w:rPr>
            </w:pPr>
          </w:p>
        </w:tc>
      </w:tr>
      <w:tr>
        <w:trPr>
          <w:trHeight w:val="205"/>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property, plant and equipment</w:t>
            </w: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1,544,508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1,404,017</w:t>
            </w:r>
          </w:p>
        </w:tc>
        <w:tc>
          <w:tcPr>
            <w:tcW w:w="0" w:type="dxa"/>
            <w:vAlign w:val="bottom"/>
          </w:tcPr>
          <w:p>
            <w:pPr>
              <w:spacing w:after="0"/>
              <w:rPr>
                <w:sz w:val="1"/>
                <w:szCs w:val="1"/>
                <w:color w:val="auto"/>
              </w:rPr>
            </w:pPr>
          </w:p>
        </w:tc>
      </w:tr>
      <w:tr>
        <w:trPr>
          <w:trHeight w:val="206"/>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32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(1,279,370)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(1,199,120)</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property, plant and equipment, net</w:t>
            </w:r>
          </w:p>
        </w:tc>
        <w:tc>
          <w:tcPr>
            <w:tcW w:w="3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265,138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204,897</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tbl>
      <w:tblPr>
        <w:tblLayout w:type="fixed"/>
        <w:tblInd w:w="780" w:type="dxa"/>
        <w:tblCellMar>
          <w:top w:w="0" w:type="dxa"/>
          <w:left w:w="0" w:type="dxa"/>
          <w:bottom w:w="0" w:type="dxa"/>
          <w:right w:w="0" w:type="dxa"/>
        </w:tblCellMar>
      </w:tblPr>
      <w:tr>
        <w:trPr>
          <w:trHeight w:val="209"/>
        </w:trPr>
        <w:tc>
          <w:tcPr>
            <w:tcW w:w="7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5"/>
        </w:trPr>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Accrued liabilities:</w:t>
            </w: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06"/>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Accrued compensation</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25,728</w:t>
            </w:r>
          </w:p>
        </w:tc>
        <w:tc>
          <w:tcPr>
            <w:tcW w:w="100" w:type="dxa"/>
            <w:vAlign w:val="bottom"/>
          </w:tcPr>
          <w:p>
            <w:pPr>
              <w:spacing w:after="0"/>
              <w:rPr>
                <w:sz w:val="17"/>
                <w:szCs w:val="17"/>
                <w:color w:val="auto"/>
              </w:rPr>
            </w:pPr>
          </w:p>
        </w:tc>
        <w:tc>
          <w:tcPr>
            <w:tcW w:w="50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29,209</w:t>
            </w:r>
          </w:p>
        </w:tc>
      </w:tr>
      <w:tr>
        <w:trPr>
          <w:trHeight w:val="212"/>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taxes, other than income taxes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4,135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3,327</w:t>
            </w:r>
          </w:p>
        </w:tc>
      </w:tr>
      <w:tr>
        <w:trPr>
          <w:trHeight w:val="206"/>
        </w:trPr>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9,540</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2,397</w:t>
            </w:r>
          </w:p>
        </w:tc>
      </w:tr>
      <w:tr>
        <w:trPr>
          <w:trHeight w:val="230"/>
        </w:trPr>
        <w:tc>
          <w:tcPr>
            <w:tcW w:w="7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accrued liabilities</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39,403</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34,933</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tbl>
      <w:tblPr>
        <w:tblLayout w:type="fixed"/>
        <w:tblInd w:w="160" w:type="dxa"/>
        <w:tblCellMar>
          <w:top w:w="0" w:type="dxa"/>
          <w:left w:w="0" w:type="dxa"/>
          <w:bottom w:w="0" w:type="dxa"/>
          <w:right w:w="0" w:type="dxa"/>
        </w:tblCellMar>
      </w:tblPr>
      <w:tr>
        <w:trPr>
          <w:trHeight w:val="209"/>
        </w:trPr>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December 31, 2024</w:t>
            </w:r>
          </w:p>
        </w:tc>
      </w:tr>
      <w:tr>
        <w:trPr>
          <w:trHeight w:val="192"/>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Contract liabilities (Deferred revenue):</w:t>
            </w:r>
          </w:p>
        </w:tc>
        <w:tc>
          <w:tcPr>
            <w:tcW w:w="16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r>
      <w:tr>
        <w:trPr>
          <w:trHeight w:val="209"/>
        </w:trPr>
        <w:tc>
          <w:tcPr>
            <w:tcW w:w="7620" w:type="dxa"/>
            <w:vAlign w:val="bottom"/>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Current contract liabilities </w:t>
            </w:r>
            <w:r>
              <w:rPr>
                <w:rFonts w:ascii="Times New Roman" w:cs="Times New Roman" w:eastAsia="Times New Roman" w:hAnsi="Times New Roman"/>
                <w:sz w:val="20"/>
                <w:szCs w:val="20"/>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2,838</w:t>
            </w:r>
          </w:p>
        </w:tc>
        <w:tc>
          <w:tcPr>
            <w:tcW w:w="220" w:type="dxa"/>
            <w:vAlign w:val="bottom"/>
          </w:tcPr>
          <w:p>
            <w:pPr>
              <w:spacing w:after="0"/>
              <w:rPr>
                <w:sz w:val="18"/>
                <w:szCs w:val="18"/>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2,501</w:t>
            </w:r>
          </w:p>
        </w:tc>
      </w:tr>
      <w:tr>
        <w:trPr>
          <w:trHeight w:val="209"/>
        </w:trPr>
        <w:tc>
          <w:tcPr>
            <w:tcW w:w="762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Noncurrent contract liabilities </w:t>
            </w:r>
            <w:r>
              <w:rPr>
                <w:rFonts w:ascii="Times New Roman" w:cs="Times New Roman" w:eastAsia="Times New Roman" w:hAnsi="Times New Roman"/>
                <w:sz w:val="20"/>
                <w:szCs w:val="20"/>
                <w:color w:val="auto"/>
                <w:vertAlign w:val="superscript"/>
              </w:rPr>
              <w:t>(1)</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4,138</w:t>
            </w:r>
          </w:p>
        </w:tc>
        <w:tc>
          <w:tcPr>
            <w:tcW w:w="2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5,098</w:t>
            </w:r>
          </w:p>
        </w:tc>
      </w:tr>
      <w:tr>
        <w:trPr>
          <w:trHeight w:val="202"/>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contract liabilities (Deferred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6,976</w:t>
            </w:r>
          </w:p>
        </w:tc>
        <w:tc>
          <w:tcPr>
            <w:tcW w:w="220" w:type="dxa"/>
            <w:vAlign w:val="bottom"/>
          </w:tcPr>
          <w:p>
            <w:pPr>
              <w:spacing w:after="0"/>
              <w:rPr>
                <w:sz w:val="17"/>
                <w:szCs w:val="17"/>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7,599</w:t>
            </w:r>
          </w:p>
        </w:tc>
      </w:tr>
      <w:tr>
        <w:trPr>
          <w:trHeight w:val="20"/>
        </w:trPr>
        <w:tc>
          <w:tcPr>
            <w:tcW w:w="7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left="640" w:hanging="322"/>
        <w:spacing w:after="0" w:line="295" w:lineRule="auto"/>
        <w:tabs>
          <w:tab w:leader="none" w:pos="628" w:val="left"/>
        </w:tabs>
        <w:numPr>
          <w:ilvl w:val="0"/>
          <w:numId w:val="8"/>
        </w:numPr>
        <w:rPr>
          <w:rFonts w:ascii="Times New Roman" w:cs="Times New Roman" w:eastAsia="Times New Roman" w:hAnsi="Times New Roman"/>
          <w:sz w:val="10"/>
          <w:szCs w:val="10"/>
          <w:color w:val="auto"/>
        </w:rPr>
      </w:pPr>
      <w:r>
        <w:rPr>
          <w:rFonts w:ascii="Times New Roman" w:cs="Times New Roman" w:eastAsia="Times New Roman" w:hAnsi="Times New Roman"/>
          <w:sz w:val="17"/>
          <w:szCs w:val="17"/>
          <w:color w:val="auto"/>
        </w:rPr>
        <w:t>Current contract liabilities and Noncurrent contract liabilities are included in "Deferred revenue" and "Other noncurrent liabilities," respectively, in our unaudited consolidated balance sheets.</w:t>
      </w:r>
    </w:p>
    <w:p>
      <w:pPr>
        <w:spacing w:after="0" w:line="173"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Deferred revenue typically consists of upfront payments received before we satisfy the associated performance obligation. The decrease in deferred revenue from December 31, 2024 to June 30, 2025 was due to revenue recognized over the contracted terms related to advance payments received from a customer for village enhancements in Australia.</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07" w:lineRule="exact"/>
        <w:rPr>
          <w:sz w:val="20"/>
          <w:szCs w:val="20"/>
          <w:color w:val="auto"/>
        </w:rPr>
      </w:pPr>
    </w:p>
    <w:p>
      <w:pPr>
        <w:ind w:left="320" w:hanging="315"/>
        <w:spacing w:after="0"/>
        <w:tabs>
          <w:tab w:leader="none" w:pos="32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ASSET ACQUISITION</w:t>
      </w:r>
    </w:p>
    <w:p>
      <w:pPr>
        <w:spacing w:after="0" w:line="251"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On May 6, 2025, we acquired the assets of Qantac Pty Ltd (Qantac), located in Queensland, Australia (the Qantac Acquisition) for total consideration of A$105 million (or approximately US$68 million) in cash. The Qantac Acquisition included four villages, with 1,340 rooms in Australia’s Bowen Basin and the associated accommodation assets, land and customer contracts. As a result of the Qantac Acquisition, we expanded our existing accommodations business into the Blackwater region of the Bowen Basin, which was not previously served by our existing villages. The Qantac Acquisition was funded with cash on hand and borrowings under the Amended Credit Agreement (as defined in Note 8). Qantac’s operations are reported as new village locations in our Australia reportable business segment.</w:t>
      </w:r>
    </w:p>
    <w:p>
      <w:pPr>
        <w:spacing w:after="0" w:line="200"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The Qantac Acquisition was accounted for as an asset acquisition based on the principles described in ASC 805, which provides a screen to determine when a set of transferred assets is not a business. The screen requires that when substantially all of the fair value of the gross assets acquired is concentrated in a single identifiable asset or a group of similarly identifiable assets, the set of transferred assets is not a business. Under the accounting for asset acquisitions, the acquisition is recorded using a cost accumulation and allocation model under which the cost of such acquisition is allocated on a relative fair value basis to the assets acquired and liabilities assumed. Acquisition-related transaction costs are capitalized as a component of the cost of the assets acquired. Goodwill is not recognized in an asset acquisition, and any difference between consideration transferred and the fair value of the net assets acquired is allocated to the certain identifiable assets acquired based on their relative fair values.</w:t>
      </w:r>
    </w:p>
    <w:p>
      <w:pPr>
        <w:spacing w:after="0" w:line="1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purchase price was allocated to the net assets as follows (in thousands):</w:t>
      </w:r>
    </w:p>
    <w:p>
      <w:pPr>
        <w:spacing w:after="0" w:line="317" w:lineRule="exact"/>
        <w:rPr>
          <w:sz w:val="20"/>
          <w:szCs w:val="20"/>
          <w:color w:val="auto"/>
        </w:rPr>
      </w:pPr>
    </w:p>
    <w:tbl>
      <w:tblPr>
        <w:tblLayout w:type="fixed"/>
        <w:tblInd w:w="480" w:type="dxa"/>
        <w:tblCellMar>
          <w:top w:w="0" w:type="dxa"/>
          <w:left w:w="0" w:type="dxa"/>
          <w:bottom w:w="0" w:type="dxa"/>
          <w:right w:w="0" w:type="dxa"/>
        </w:tblCellMar>
      </w:tblPr>
      <w:tr>
        <w:trPr>
          <w:trHeight w:val="20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Consideration:</w:t>
            </w: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w:t>
            </w:r>
          </w:p>
        </w:tc>
        <w:tc>
          <w:tcPr>
            <w:tcW w:w="720" w:type="dxa"/>
            <w:vAlign w:val="bottom"/>
            <w:shd w:val="clear" w:color="auto" w:fill="CCEEFF"/>
          </w:tcPr>
          <w:p>
            <w:pPr>
              <w:jc w:val="right"/>
              <w:ind w:right="54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68,189</w:t>
            </w:r>
          </w:p>
        </w:tc>
      </w:tr>
      <w:tr>
        <w:trPr>
          <w:trHeight w:val="206"/>
        </w:trPr>
        <w:tc>
          <w:tcPr>
            <w:tcW w:w="7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Direct transaction costs</w:t>
            </w:r>
          </w:p>
        </w:tc>
        <w:tc>
          <w:tcPr>
            <w:tcW w:w="7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4,601</w:t>
            </w:r>
          </w:p>
        </w:tc>
      </w:tr>
      <w:tr>
        <w:trPr>
          <w:trHeight w:val="23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costs of the asset acquisition</w:t>
            </w:r>
          </w:p>
        </w:tc>
        <w:tc>
          <w:tcPr>
            <w:tcW w:w="720" w:type="dxa"/>
            <w:vAlign w:val="bottom"/>
            <w:tcBorders>
              <w:bottom w:val="single" w:sz="8" w:color="auto"/>
            </w:tcBorders>
            <w:shd w:val="clear" w:color="auto" w:fill="CCEEFF"/>
          </w:tcPr>
          <w:p>
            <w:pPr>
              <w:jc w:val="right"/>
              <w:ind w:right="54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72,790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325"/>
        </w:trPr>
        <w:tc>
          <w:tcPr>
            <w:tcW w:w="7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720" w:type="dxa"/>
            <w:vAlign w:val="bottom"/>
            <w:shd w:val="clear" w:color="auto" w:fill="CCEEFF"/>
          </w:tcPr>
          <w:p>
            <w:pPr>
              <w:jc w:val="right"/>
              <w:ind w:right="54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06"/>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7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70,575</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7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5,999</w:t>
            </w:r>
          </w:p>
        </w:tc>
      </w:tr>
      <w:tr>
        <w:trPr>
          <w:trHeight w:val="199"/>
        </w:trPr>
        <w:tc>
          <w:tcPr>
            <w:tcW w:w="7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assets acquired</w:t>
            </w:r>
          </w:p>
        </w:tc>
        <w:tc>
          <w:tcPr>
            <w:tcW w:w="7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76,758</w:t>
            </w:r>
          </w:p>
        </w:tc>
      </w:tr>
      <w:tr>
        <w:trPr>
          <w:trHeight w:val="140"/>
        </w:trPr>
        <w:tc>
          <w:tcPr>
            <w:tcW w:w="78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206"/>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7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7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3,901</w:t>
            </w:r>
          </w:p>
        </w:tc>
      </w:tr>
      <w:tr>
        <w:trPr>
          <w:trHeight w:val="199"/>
        </w:trPr>
        <w:tc>
          <w:tcPr>
            <w:tcW w:w="7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7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3,968</w:t>
            </w:r>
          </w:p>
        </w:tc>
      </w:tr>
      <w:tr>
        <w:trPr>
          <w:trHeight w:val="230"/>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assets acquired</w:t>
            </w:r>
          </w:p>
        </w:tc>
        <w:tc>
          <w:tcPr>
            <w:tcW w:w="720" w:type="dxa"/>
            <w:vAlign w:val="bottom"/>
            <w:tcBorders>
              <w:bottom w:val="single" w:sz="8" w:color="auto"/>
            </w:tcBorders>
            <w:shd w:val="clear" w:color="auto" w:fill="CCEEFF"/>
          </w:tcPr>
          <w:p>
            <w:pPr>
              <w:jc w:val="right"/>
              <w:ind w:right="54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72,790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320" w:hanging="315"/>
        <w:spacing w:after="0"/>
        <w:tabs>
          <w:tab w:leader="none" w:pos="32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EARNINGS PER SHARE</w:t>
      </w:r>
    </w:p>
    <w:p>
      <w:pPr>
        <w:spacing w:after="0" w:line="251"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We calculate our basic earnings per share by dividing net income (loss) attributable to Civeo Corporation by the weighted average number of common shares outstanding. For diluted earnings per share, the basic shares outstanding are adjusted by adding all potentially dilutive securities.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09" w:lineRule="exact"/>
        <w:rPr>
          <w:sz w:val="20"/>
          <w:szCs w:val="20"/>
          <w:color w:val="auto"/>
        </w:rPr>
      </w:pPr>
    </w:p>
    <w:p>
      <w:pPr>
        <w:jc w:val="both"/>
        <w:ind w:firstLine="470"/>
        <w:spacing w:after="0" w:line="282" w:lineRule="auto"/>
        <w:rPr>
          <w:sz w:val="20"/>
          <w:szCs w:val="20"/>
          <w:color w:val="auto"/>
        </w:rPr>
      </w:pPr>
      <w:r>
        <w:rPr>
          <w:rFonts w:ascii="Times New Roman" w:cs="Times New Roman" w:eastAsia="Times New Roman" w:hAnsi="Times New Roman"/>
          <w:sz w:val="17"/>
          <w:szCs w:val="17"/>
          <w:color w:val="auto"/>
        </w:rPr>
        <w:t>The calculation of basic and diluted earnings per share attributable to Civeo common shareholders is presented below for the periods indicated (in thousands, except per share amounts):</w:t>
      </w:r>
    </w:p>
    <w:tbl>
      <w:tblPr>
        <w:tblLayout w:type="fixed"/>
        <w:tblInd w:w="720" w:type="dxa"/>
        <w:tblCellMar>
          <w:top w:w="0" w:type="dxa"/>
          <w:left w:w="0" w:type="dxa"/>
          <w:bottom w:w="0" w:type="dxa"/>
          <w:right w:w="0" w:type="dxa"/>
        </w:tblCellMar>
      </w:tblPr>
      <w:tr>
        <w:trPr>
          <w:trHeight w:val="209"/>
        </w:trPr>
        <w:tc>
          <w:tcPr>
            <w:tcW w:w="5980" w:type="dxa"/>
            <w:vAlign w:val="bottom"/>
          </w:tcPr>
          <w:p>
            <w:pPr>
              <w:spacing w:after="0"/>
              <w:rPr>
                <w:sz w:val="18"/>
                <w:szCs w:val="18"/>
                <w:color w:val="auto"/>
              </w:rPr>
            </w:pPr>
          </w:p>
        </w:tc>
        <w:tc>
          <w:tcPr>
            <w:tcW w:w="224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00" w:type="dxa"/>
            <w:vAlign w:val="bottom"/>
          </w:tcPr>
          <w:p>
            <w:pPr>
              <w:spacing w:after="0"/>
              <w:rPr>
                <w:sz w:val="18"/>
                <w:szCs w:val="18"/>
                <w:color w:val="auto"/>
              </w:rPr>
            </w:pPr>
          </w:p>
        </w:tc>
        <w:tc>
          <w:tcPr>
            <w:tcW w:w="1980" w:type="dxa"/>
            <w:vAlign w:val="bottom"/>
            <w:gridSpan w:val="4"/>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7"/>
              </w:rPr>
              <w:t>Six Months Ended June 30,</w:t>
            </w:r>
          </w:p>
        </w:tc>
      </w:tr>
      <w:tr>
        <w:trPr>
          <w:trHeight w:val="204"/>
        </w:trPr>
        <w:tc>
          <w:tcPr>
            <w:tcW w:w="59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06"/>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Basic net income (loss) attributable to Civeo Corporation</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8,227</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(13,156)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3,094</w:t>
            </w:r>
          </w:p>
        </w:tc>
      </w:tr>
      <w:tr>
        <w:trPr>
          <w:trHeight w:val="23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net income (loss) attributable to Civeo Corporation</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8,227</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3,094</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51"/>
        </w:trPr>
        <w:tc>
          <w:tcPr>
            <w:tcW w:w="5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6"/>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14,586</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Dilutive shares - share-based awards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92</w:t>
            </w:r>
          </w:p>
        </w:tc>
      </w:tr>
      <w:tr>
        <w:trPr>
          <w:trHeight w:val="205"/>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13,177</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14,600</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13,387</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14,678</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71"/>
        </w:trPr>
        <w:tc>
          <w:tcPr>
            <w:tcW w:w="59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r>
      <w:tr>
        <w:trPr>
          <w:trHeight w:val="209"/>
        </w:trPr>
        <w:tc>
          <w:tcPr>
            <w:tcW w:w="5980" w:type="dxa"/>
            <w:vAlign w:val="bottom"/>
          </w:tcPr>
          <w:p>
            <w:pPr>
              <w:spacing w:after="0" w:line="209" w:lineRule="exact"/>
              <w:rPr>
                <w:sz w:val="20"/>
                <w:szCs w:val="20"/>
                <w:color w:val="auto"/>
              </w:rPr>
            </w:pPr>
            <w:r>
              <w:rPr>
                <w:rFonts w:ascii="Times New Roman" w:cs="Times New Roman" w:eastAsia="Times New Roman" w:hAnsi="Times New Roman"/>
                <w:sz w:val="16"/>
                <w:szCs w:val="16"/>
                <w:color w:val="auto"/>
              </w:rPr>
              <w:t xml:space="preserve">Basic net income (loss) per share attributable to Civeo Corporation common shareholders </w:t>
            </w:r>
            <w:r>
              <w:rPr>
                <w:rFonts w:ascii="Times New Roman" w:cs="Times New Roman" w:eastAsia="Times New Roman" w:hAnsi="Times New Roman"/>
                <w:sz w:val="20"/>
                <w:szCs w:val="20"/>
                <w:color w:val="auto"/>
                <w:vertAlign w:val="superscript"/>
              </w:rPr>
              <w:t>(1)</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20" w:type="dxa"/>
            <w:vAlign w:val="bottom"/>
          </w:tcPr>
          <w:p>
            <w:pPr>
              <w:spacing w:after="0"/>
              <w:rPr>
                <w:sz w:val="18"/>
                <w:szCs w:val="18"/>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100" w:type="dxa"/>
            <w:vAlign w:val="bottom"/>
          </w:tcPr>
          <w:p>
            <w:pPr>
              <w:spacing w:after="0"/>
              <w:rPr>
                <w:sz w:val="18"/>
                <w:szCs w:val="18"/>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0.21</w:t>
            </w:r>
          </w:p>
        </w:tc>
      </w:tr>
      <w:tr>
        <w:trPr>
          <w:trHeight w:val="105"/>
        </w:trPr>
        <w:tc>
          <w:tcPr>
            <w:tcW w:w="5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r>
      <w:tr>
        <w:trPr>
          <w:trHeight w:val="27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w w:val="98"/>
              </w:rPr>
              <w:t xml:space="preserve">Diluted net income (loss) per share attributable to Civeo Corporation common shareholders </w:t>
            </w:r>
            <w:r>
              <w:rPr>
                <w:rFonts w:ascii="Times New Roman" w:cs="Times New Roman" w:eastAsia="Times New Roman" w:hAnsi="Times New Roman"/>
                <w:sz w:val="20"/>
                <w:szCs w:val="20"/>
                <w:color w:val="auto"/>
                <w:w w:val="98"/>
                <w:vertAlign w:val="superscript"/>
              </w:rPr>
              <w:t>(1)</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20" w:type="dxa"/>
            <w:vAlign w:val="bottom"/>
          </w:tcPr>
          <w:p>
            <w:pPr>
              <w:spacing w:after="0"/>
              <w:rPr>
                <w:sz w:val="23"/>
                <w:szCs w:val="23"/>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1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100" w:type="dxa"/>
            <w:vAlign w:val="bottom"/>
          </w:tcPr>
          <w:p>
            <w:pPr>
              <w:spacing w:after="0"/>
              <w:rPr>
                <w:sz w:val="23"/>
                <w:szCs w:val="23"/>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0.21</w:t>
            </w:r>
          </w:p>
        </w:tc>
      </w:tr>
    </w:tbl>
    <w:p>
      <w:pPr>
        <w:spacing w:after="0" w:line="199" w:lineRule="exact"/>
        <w:rPr>
          <w:sz w:val="20"/>
          <w:szCs w:val="20"/>
          <w:color w:val="auto"/>
        </w:rPr>
      </w:pPr>
    </w:p>
    <w:tbl>
      <w:tblPr>
        <w:tblLayout w:type="fixed"/>
        <w:tblInd w:w="320" w:type="dxa"/>
        <w:tblCellMar>
          <w:top w:w="0" w:type="dxa"/>
          <w:left w:w="0" w:type="dxa"/>
          <w:bottom w:w="0" w:type="dxa"/>
          <w:right w:w="0" w:type="dxa"/>
        </w:tblCellMar>
      </w:tblPr>
      <w:tr>
        <w:trPr>
          <w:trHeight w:val="135"/>
        </w:trPr>
        <w:tc>
          <w:tcPr>
            <w:tcW w:w="20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auto"/>
                <w:w w:val="85"/>
              </w:rPr>
              <w:t>(1)</w:t>
            </w:r>
          </w:p>
        </w:tc>
        <w:tc>
          <w:tcPr>
            <w:tcW w:w="31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97"/>
              </w:rPr>
              <w:t>Computations may reflect rounding adjustments.</w:t>
            </w:r>
          </w:p>
        </w:tc>
        <w:tc>
          <w:tcPr>
            <w:tcW w:w="0" w:type="dxa"/>
            <w:vAlign w:val="bottom"/>
          </w:tcPr>
          <w:p>
            <w:pPr>
              <w:spacing w:after="0"/>
              <w:rPr>
                <w:sz w:val="1"/>
                <w:szCs w:val="1"/>
                <w:color w:val="auto"/>
              </w:rPr>
            </w:pPr>
          </w:p>
        </w:tc>
      </w:tr>
      <w:tr>
        <w:trPr>
          <w:trHeight w:val="68"/>
        </w:trPr>
        <w:tc>
          <w:tcPr>
            <w:tcW w:w="20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Share-based awards that have been excluded from the calculation of weighted-average common shares outstanding because the effect is anti-dilutive totaled 0.1 million shares and zero shares, respectively, for the three months ended June 30, 2025 and 2024. Share-based awards that have been excluded from the calculation of weighted-average common shares outstanding because the effect is anti-dilutive totaled 0.1 million shares and fewer than 0.1 million shares, respectively, for the six months ended June 30,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07" w:lineRule="exact"/>
        <w:rPr>
          <w:sz w:val="20"/>
          <w:szCs w:val="20"/>
          <w:color w:val="auto"/>
        </w:rPr>
      </w:pPr>
    </w:p>
    <w:p>
      <w:pPr>
        <w:ind w:left="320" w:hanging="315"/>
        <w:spacing w:after="0"/>
        <w:tabs>
          <w:tab w:leader="none" w:pos="32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DEBT</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As of June 30, 2025 and December 31, 2024, long-term debt consisted of the following (in thousands):</w:t>
      </w:r>
    </w:p>
    <w:p>
      <w:pPr>
        <w:spacing w:after="0" w:line="356" w:lineRule="exact"/>
        <w:rPr>
          <w:sz w:val="20"/>
          <w:szCs w:val="20"/>
          <w:color w:val="auto"/>
        </w:rPr>
      </w:pPr>
    </w:p>
    <w:tbl>
      <w:tblPr>
        <w:tblLayout w:type="fixed"/>
        <w:tblInd w:w="280" w:type="dxa"/>
        <w:tblCellMar>
          <w:top w:w="0" w:type="dxa"/>
          <w:left w:w="0" w:type="dxa"/>
          <w:bottom w:w="0" w:type="dxa"/>
          <w:right w:w="0" w:type="dxa"/>
        </w:tblCellMar>
      </w:tblPr>
      <w:tr>
        <w:trPr>
          <w:trHeight w:val="209"/>
        </w:trPr>
        <w:tc>
          <w:tcPr>
            <w:tcW w:w="7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2"/>
        </w:trPr>
        <w:tc>
          <w:tcPr>
            <w:tcW w:w="77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r>
      <w:tr>
        <w:trPr>
          <w:trHeight w:val="206"/>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U.S. revolving credit facility; weighted average interest rate of 9.0% for the six month period ended June 30, 2025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6"/>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Canadian revolving credit facility; weighted average interest rate of 5.9% for the six month period ended June 30, 2025</w:t>
            </w:r>
          </w:p>
        </w:tc>
        <w:tc>
          <w:tcPr>
            <w:tcW w:w="16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119,480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43,299</w:t>
            </w:r>
          </w:p>
        </w:tc>
      </w:tr>
      <w:tr>
        <w:trPr>
          <w:trHeight w:val="212"/>
        </w:trPr>
        <w:tc>
          <w:tcPr>
            <w:tcW w:w="7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6"/>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Australian revolving credit facility; weighted average interest rate of 6.6% for the six month period ended June 30, 2025</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49,192</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7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168,672</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43,299</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Agreement</w:t>
      </w:r>
    </w:p>
    <w:p>
      <w:pPr>
        <w:spacing w:after="0" w:line="122"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On March 24, 2025, we amended our Syndicated Facility Agreement (as amended to date, the Amended Credit Agreement), to increase the Australian revolving commitments by $20.0 million to an aggregate amount of $55.0 million.</w:t>
      </w:r>
    </w:p>
    <w:p>
      <w:pPr>
        <w:spacing w:after="0" w:line="42"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As of June 30, 2025, the Amended Credit Agreement provided for a $265.0 million revolving credit facility scheduled to mature on August 8, 2028, allocated as follows: (A) a $10.0 million senior secured revolving credit facility in favor of certain of our U.S. subsidiaries, as borrowers (the U.S. Facility); (B) a $200.0 million senior secured revolving credit facility in favor of Civeo and certain of our U.S. subsidiaries, as borrowers (the Canadian Facility); and (C) a $55.0 million senior secured revolving credit facility in favor of one of our Australian subsidiaries, as borrower.</w:t>
      </w:r>
    </w:p>
    <w:p>
      <w:pPr>
        <w:spacing w:after="0" w:line="65"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U.S. dollar amounts outstanding under the facilities provided by the Amended Credit Agreement bear interest at a variable rate equal to Adjusted Term Secured Overnight Financing Rate (SOFR), which is equal to Term SOFR plus a 10 basis point adjustment, plus a margin of 2.50% to 3.75%, or a base rate plus a margin of 1.50% to 2.75%, in each case based on a ratio of our total net debt to Consolidated EBITDA (as defined in the Amended Credit Agreement). Canadian dollar amounts outstanding bear interest at a variable rate equal to Adjusted Term Canadian Overnight Repo Rate Average (CORRA), which is equal to the Term CORRA plus a 29.547 basis point adjustment for one month terms or a 32.138 basis point adjustment for three month terms, plus a margin of 2.50% to 3.75%, or a Canadian Prime rate plus a margin of 1.50% to 2.75%, in each case based on a ratio of our total net debt to Consolidated EBITDA (as defined in the Amended Credit Agreement). Australian dollar amounts outstanding under the Amended Credit Agreement bear interest at a variable rate equal to the Bank Bill Swap Bid Rate plus a margin of 2.50% to 3.75%, based on a ratio of our total net debt to Consolidated EBITDA (as defined in the Amended Credit Agreement).</w:t>
      </w:r>
    </w:p>
    <w:p>
      <w:pPr>
        <w:spacing w:after="0" w:line="286"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The Amended Credit Agreement contains customary affirmative and negative covenants that, among other things, limit or restrict: (i) indebtedness, liens and fundamental changes; (ii) asset sales; (iii) specified acquisitions; (iv) certain restrictive agreements; (v) transactions with affiliates; and (vi) investments and other restricted payments, including dividends and other distributions. In addition, we must maintain a minimum interest coverage ratio, defined as the ratio of consolidated EBITDA to consolidated interest expense, of at least 3.00 to 1.00 and a maximum net leverage ratio, defined as the ratio of total net debt to Consolidated EBITDA, of no greater than 3.00 to 1.00. Following a qualified offering of indebtedness, we will be required to maintain a maximum leverage ratio of no greater than 3.50 to 1.00 and a maximum senior secured ratio no greater than 2.00 to 1.00. Each of the factors considered in the calculations of these ratios are defined in the Amended Credit Agreement. EBITDA and consolidated interest, as defined, exclude goodwill and asset impairments, debt discount amortization, amortization of intangibles and other non-cash charges. We were in compliance with our covenants as of June 30, 2025.</w:t>
      </w:r>
    </w:p>
    <w:p>
      <w:pPr>
        <w:spacing w:after="0" w:line="70"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Borrowings under the Amended Credit Agreement are secured by a pledge of substantially all of our assets and the assets of our subsidiaries subject to customary exceptions. The obligations under the Amended Credit Agreement are guaranteed by our significant subsidiaries. As of June 30, 2025, we had six lenders that were parties to the Amended Credit Agreement, with total revolving commitments ranging from $35.0 million to $60.0 million. As of June 30, 2025, we had outstanding letters of credit of zero under the U.S. facility, zero under the Australian facility and $0.9 million under the Canadian facility. We also had outstanding bank guarantees of A$1.5 million under the Australian facility.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51" w:lineRule="exact"/>
        <w:rPr>
          <w:sz w:val="20"/>
          <w:szCs w:val="20"/>
          <w:color w:val="auto"/>
        </w:rPr>
      </w:pPr>
    </w:p>
    <w:p>
      <w:pPr>
        <w:ind w:left="320" w:hanging="315"/>
        <w:spacing w:after="0"/>
        <w:tabs>
          <w:tab w:leader="none" w:pos="32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p>
    <w:p>
      <w:pPr>
        <w:spacing w:after="0" w:line="120"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Our operations are conducted through various subsidiaries in a number of countries throughout the world. We have provided for income taxes based upon the tax laws and rates in the countries in which operations are conducted and income is earned.</w:t>
      </w:r>
    </w:p>
    <w:p>
      <w:pPr>
        <w:spacing w:after="0" w:line="42"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We operate in three jurisdictions, Australia, Canada and the U.S., where statutory tax rates range from 15% to 30%. Our effective tax rate will vary from period to period based on changes in earnings mix between these different jurisdictions. On January 1, 2024, the Organization for Economic Cooperation and Development Pillar Two rules became effective and established a minimum 15% tax rate on certain multinational enterprises. The Pillar Two rules have been implemented in Australia and Canada, with the U.S. still uncertain to date. The applicable tax law changes with respect to Pillar Two were considered for the jurisdictions in which we operate, and the rules did not have a materially adverse impact on our financial results.</w:t>
      </w:r>
    </w:p>
    <w:p>
      <w:pPr>
        <w:spacing w:after="0" w:line="197"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We compute our quarterly taxes under the effective tax rate method by applying an anticipated annual effective rate to our year-to-date income, except for significant unusual or extraordinary transactions. Income taxes for any significant and unusual or extraordinary transactions are computed and recorded in the period in which the specific transaction occurs. As of June 30, 2025 and 2024, Canada and the U.S. were considered loss jurisdictions for tax accounting purposes and were removed from the annual effective tax rate computation for purposes of computing the interim tax provision.</w:t>
      </w:r>
    </w:p>
    <w:p>
      <w:pPr>
        <w:spacing w:after="0" w:line="195"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Our income tax expense for the three months ended June 30, 2025 totaled $3.6 million, or 1222.4% of pretax income, compared to income tax expense of $3.8 million, or 33.6% of pretax income, for the three months ended June 30, 2024. Our effective tax rate for the three months ended June 30, 2025 and 2024 was impacted by Canada and the U.S. being considered loss jurisdictions that were removed from the annual effective tax rate computation for purposes of computing the interim tax provision.</w:t>
      </w:r>
    </w:p>
    <w:p>
      <w:pPr>
        <w:spacing w:after="0" w:line="195"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Our income tax expense for the six months ended June 30, 2025 totaled $6.7 million, or (103.5)% of pretax loss, compared to income tax expense of $5.3 million, or 70.0% of pretax income, for the six months ended June 30, 2024. Our effective tax rate for the six months ended June 30, 2025 and 2024 was impacted by Canada and the U.S. being considered loss jurisdictions that were removed from the annual effective tax rate computation for purposes of computing the interim tax provision.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COMMITMENTS AND CONTINGENCIES</w:t>
      </w:r>
    </w:p>
    <w:p>
      <w:pPr>
        <w:spacing w:after="0" w:line="225"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ACCUMULATED OTHER COMPREHENSIVE LOSS</w:t>
      </w:r>
    </w:p>
    <w:p>
      <w:pPr>
        <w:spacing w:after="0" w:line="225"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Our accumulated other comprehensive loss decreased $12.0 million from $404.6 million at December 31, 2024 to $392.6 million at June 30, 2025, as a result of foreign currency exchange rate fluctuations. Changes in other comprehensive loss during the six months of 2025 were primarily driven by the Australian dollar and Canadian dollar increasing in value compared to the U.S. dollar. Excluding intercompany balances, our Canadian dollar and Australian dollar functional currency net assets totaled approximately C$74 million and A$234 million, respectively, at June 30, 2025.</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SHARE REPURCHASE PROGRAMS AND DIVIDENDS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Programs</w:t>
      </w:r>
    </w:p>
    <w:p>
      <w:pPr>
        <w:spacing w:after="0" w:line="253"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In September 2024, our Board of Directors (Board) authorized a common share repurchase program (the Share Repurchase Program) to repurchase of up to 5.0% of our total common shares which were issued and outstanding at that date, or approximately 0.7 million common shares over a twelve month period. In March 2025, our Board authorized an increase to the Share Repurchase Program to repurchase up to 10.0% of our total common shares which are issued and outstanding at that date, or approximately 1.4 million common shares, and in April 2025, our Board authorized a further increase to repurchase up to 20.0% of our total common shares which are issued and outstanding at that date, or approximately 2.7 million common shares.</w:t>
      </w:r>
    </w:p>
    <w:p>
      <w:pPr>
        <w:spacing w:after="0" w:line="197"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The repurchase authorization allows repurchases from time to time through a variety of methods, including but not limited to open market repurchases, pursuant to a Rule 10b5-1 compliant plan, or privately negotiated transactions. We have funded, and intend to continue to fund, repurchases through cash on hand, cash from debt incurrences and cash generated from operations. Any common shares repurchased are cancelled in the periods they are acquired and the payment is accounted for as an increase to accumulated deficit in our Unaudited Consolidated Statements of Changes in Shareholders’ Equity in the period the payment is made.</w:t>
      </w:r>
    </w:p>
    <w:p>
      <w:pPr>
        <w:spacing w:after="0" w:line="1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our common share repurchases for the periods presented (in thousands, except per share data):</w:t>
      </w:r>
    </w:p>
    <w:p>
      <w:pPr>
        <w:spacing w:after="0" w:line="55" w:lineRule="exact"/>
        <w:rPr>
          <w:sz w:val="20"/>
          <w:szCs w:val="20"/>
          <w:color w:val="auto"/>
        </w:rPr>
      </w:pPr>
    </w:p>
    <w:tbl>
      <w:tblPr>
        <w:tblLayout w:type="fixed"/>
        <w:tblInd w:w="660" w:type="dxa"/>
        <w:tblCellMar>
          <w:top w:w="0" w:type="dxa"/>
          <w:left w:w="0" w:type="dxa"/>
          <w:bottom w:w="0" w:type="dxa"/>
          <w:right w:w="0" w:type="dxa"/>
        </w:tblCellMar>
      </w:tblPr>
      <w:tr>
        <w:trPr>
          <w:trHeight w:val="209"/>
        </w:trPr>
        <w:tc>
          <w:tcPr>
            <w:tcW w:w="4840" w:type="dxa"/>
            <w:vAlign w:val="bottom"/>
          </w:tcPr>
          <w:p>
            <w:pPr>
              <w:spacing w:after="0"/>
              <w:rPr>
                <w:sz w:val="18"/>
                <w:szCs w:val="18"/>
                <w:color w:val="auto"/>
              </w:rPr>
            </w:pPr>
          </w:p>
        </w:tc>
        <w:tc>
          <w:tcPr>
            <w:tcW w:w="2820" w:type="dxa"/>
            <w:vAlign w:val="bottom"/>
            <w:gridSpan w:val="6"/>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8"/>
                <w:szCs w:val="18"/>
                <w:color w:val="auto"/>
              </w:rPr>
            </w:pPr>
          </w:p>
        </w:tc>
        <w:tc>
          <w:tcPr>
            <w:tcW w:w="2480" w:type="dxa"/>
            <w:vAlign w:val="bottom"/>
            <w:gridSpan w:val="4"/>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4"/>
        </w:trPr>
        <w:tc>
          <w:tcPr>
            <w:tcW w:w="484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4"/>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Dollar-value of shares repurchased</w:t>
            </w:r>
          </w:p>
        </w:tc>
        <w:tc>
          <w:tcPr>
            <w:tcW w:w="82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0"/>
              </w:rPr>
              <w:t>19,140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6,644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9,852</w:t>
            </w:r>
          </w:p>
        </w:tc>
      </w:tr>
      <w:tr>
        <w:trPr>
          <w:trHeight w:val="206"/>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Shares repurchased</w:t>
            </w:r>
          </w:p>
        </w:tc>
        <w:tc>
          <w:tcPr>
            <w:tcW w:w="820" w:type="dxa"/>
            <w:vAlign w:val="bottom"/>
          </w:tcPr>
          <w:p>
            <w:pPr>
              <w:spacing w:after="0"/>
              <w:rPr>
                <w:sz w:val="17"/>
                <w:szCs w:val="17"/>
                <w:color w:val="auto"/>
              </w:rPr>
            </w:pP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883.3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274.1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407.2</w:t>
            </w:r>
          </w:p>
        </w:tc>
      </w:tr>
      <w:tr>
        <w:trPr>
          <w:trHeight w:val="212"/>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Average price paid per share</w:t>
            </w:r>
          </w:p>
        </w:tc>
        <w:tc>
          <w:tcPr>
            <w:tcW w:w="82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24.21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24.17</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Dividends</w:t>
      </w:r>
    </w:p>
    <w:p>
      <w:pPr>
        <w:spacing w:after="0" w:line="253"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Our Board declared the following quarterly dividends for the six months ended June 30, 2025 and 2024. The dividends are eligible dividends pursuant to the Income Tax Act (Canada). In April 2025, we announced the suspension by our Board of quarterly dividends on our common shares to prioritize returning capital to our shareholders through ongoing share repurchases.</w:t>
      </w:r>
    </w:p>
    <w:p>
      <w:pPr>
        <w:spacing w:after="0" w:line="230" w:lineRule="exact"/>
        <w:rPr>
          <w:sz w:val="20"/>
          <w:szCs w:val="20"/>
          <w:color w:val="auto"/>
        </w:rPr>
      </w:pPr>
    </w:p>
    <w:tbl>
      <w:tblPr>
        <w:tblLayout w:type="fixed"/>
        <w:tblInd w:w="2060" w:type="dxa"/>
        <w:tblCellMar>
          <w:top w:w="0" w:type="dxa"/>
          <w:left w:w="0" w:type="dxa"/>
          <w:bottom w:w="0" w:type="dxa"/>
          <w:right w:w="0" w:type="dxa"/>
        </w:tblCellMar>
      </w:tblPr>
      <w:tr>
        <w:trPr>
          <w:trHeight w:val="209"/>
        </w:trPr>
        <w:tc>
          <w:tcPr>
            <w:tcW w:w="19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Date Declared</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1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 Amount</w:t>
            </w:r>
          </w:p>
        </w:tc>
      </w:tr>
      <w:tr>
        <w:trPr>
          <w:trHeight w:val="218"/>
        </w:trPr>
        <w:tc>
          <w:tcPr>
            <w:tcW w:w="8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January 31,</w:t>
            </w:r>
          </w:p>
        </w:tc>
        <w:tc>
          <w:tcPr>
            <w:tcW w:w="1020" w:type="dxa"/>
            <w:vAlign w:val="bottom"/>
            <w:tcBorders>
              <w:top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7"/>
                <w:szCs w:val="17"/>
                <w:color w:val="auto"/>
                <w:w w:val="99"/>
              </w:rPr>
              <w:t>2025</w:t>
            </w:r>
          </w:p>
        </w:tc>
        <w:tc>
          <w:tcPr>
            <w:tcW w:w="1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February 24, 2025</w:t>
            </w:r>
          </w:p>
        </w:tc>
        <w:tc>
          <w:tcPr>
            <w:tcW w:w="8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17, 2025</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$0.25</w:t>
            </w:r>
          </w:p>
        </w:tc>
      </w:tr>
      <w:tr>
        <w:trPr>
          <w:trHeight w:val="222"/>
        </w:trPr>
        <w:tc>
          <w:tcPr>
            <w:tcW w:w="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April 26,</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9"/>
                <w:szCs w:val="19"/>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May 27, 2024</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June 17, 2024</w:t>
            </w:r>
          </w:p>
        </w:tc>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$0.25</w:t>
            </w:r>
          </w:p>
        </w:tc>
      </w:tr>
      <w:tr>
        <w:trPr>
          <w:trHeight w:val="222"/>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February</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w:t>
            </w:r>
          </w:p>
        </w:tc>
        <w:tc>
          <w:tcPr>
            <w:tcW w:w="102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7"/>
                <w:szCs w:val="17"/>
                <w:color w:val="auto"/>
                <w:w w:val="99"/>
              </w:rPr>
              <w:t>2024</w:t>
            </w:r>
          </w:p>
        </w:tc>
        <w:tc>
          <w:tcPr>
            <w:tcW w:w="10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February 26, 2024</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18, 2024</w:t>
            </w:r>
          </w:p>
        </w:tc>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$0.25</w:t>
            </w: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SHARE-BASED COMPENSATION</w:t>
      </w:r>
    </w:p>
    <w:p>
      <w:pPr>
        <w:spacing w:after="0" w:line="225"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Certain key employees and non-employee directors participate in the Amended and Restated 2014 Equity Participation Plan of Civeo Corporation (the Civeo Plan). The Civeo Plan authorizes our Board and the Compensation Committee of our Board to approve and grant awards of options, awards of restricted shares, performance share awards, phantom share units and dividend equivalents, awards of deferred shares, and share payments to our employees and non-employee directors. Approximately 3.0 million Civeo common shares are authorized to be issued under the Civeo Plan.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Outstanding Awards</w:t>
      </w:r>
    </w:p>
    <w:p>
      <w:pPr>
        <w:spacing w:after="0" w:line="223" w:lineRule="exact"/>
        <w:rPr>
          <w:sz w:val="20"/>
          <w:szCs w:val="20"/>
          <w:color w:val="auto"/>
        </w:rPr>
      </w:pPr>
    </w:p>
    <w:p>
      <w:pPr>
        <w:jc w:val="both"/>
        <w:ind w:firstLine="47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Phantom Share Units. </w:t>
      </w:r>
      <w:r>
        <w:rPr>
          <w:rFonts w:ascii="Times New Roman" w:cs="Times New Roman" w:eastAsia="Times New Roman" w:hAnsi="Times New Roman"/>
          <w:sz w:val="17"/>
          <w:szCs w:val="17"/>
          <w:color w:val="auto"/>
        </w:rPr>
        <w:t>On March 3, 2025, we granted 171,723 phantom share units under the Civeo Plan, which vest in three equal annual installments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beginning on March 3, 2026. We also granted 57,432 phantom share units under the Canadian Long-Term Incentive Plan, which vest in three equal annual installments beginning on March 3, 2026. Phantom share units are settled in cash upon vesting.</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09"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During the three months ended June 30, 2025 and 2024, we recognized compensation expense associated with phantom share units totaling $1.5 million and $1.6 million, respectively. During the six months ended June 30, 2025 and 2024, we recognized compensation expense associated with phantom share units totaling $3.3 million and $2.9 million, respectively. At June 30, 2025, unrecognized compensation cost related to phantom share units was $9.3 million, as remeasured at June 30, 2025, which is expected to be recognized over a weighted average period of 2.1 years.</w:t>
      </w:r>
    </w:p>
    <w:p>
      <w:pPr>
        <w:spacing w:after="0" w:line="165"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Performance Share Awards. </w:t>
      </w:r>
      <w:r>
        <w:rPr>
          <w:rFonts w:ascii="Times New Roman" w:cs="Times New Roman" w:eastAsia="Times New Roman" w:hAnsi="Times New Roman"/>
          <w:sz w:val="17"/>
          <w:szCs w:val="17"/>
          <w:color w:val="auto"/>
        </w:rPr>
        <w:t>On March 3, 2025, we granted 189,124 performance share awards under the Civeo Plan, which cliff vest after three years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subject to attainment of applicable performance criteria. These awards will be earned in amounts between 0% and 200% of the participant’s target performance share award, based on the payout percentage associated with Civeo’s relative total shareholder return rank among a peer group of other companies and the payout percentage associated with Civeo's three-year growth in EBITDA over the performance period relative to a preset 2027 EBITDA target. The portion of the performance share awards tied to the 2027 EBITDA target includes a performance-based vesting requirement. We evaluate the probability of achieving the performance criteria throughout the performance period and will adjust share-based compensation expense based on the number of shares expected to vest based on our estimate of the most probable performance outcome. No share-based compensation expense is recognized if the performance criteria are not probable of being achieved.</w:t>
      </w:r>
    </w:p>
    <w:p>
      <w:pPr>
        <w:spacing w:after="0" w:line="205"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During the three months ended June 30, 2025 and 2024, we recognized compensation expense associated with performance share awards totaling $0.3 million and $0.3 million, respectively. During the six months ended June 30, 2025 and 2024, we recognized compensation expense associated with performance share awards totaling $0.7 million and $0.6 million, respectively. No performance share awards vested during the three months ended June 30, 2025 and 2024. The total fair value of performance share awards that vested during the six months ended June 30, 2025 and 2024 was $1.7 million and $2.8 million, respectively. At June 30, 2025, unrecognized compensation cost related to performance share awards was $2.2 million, which is expected to be recognized over a weighted average period of 1.9 years.</w:t>
      </w:r>
    </w:p>
    <w:p>
      <w:pPr>
        <w:spacing w:after="0" w:line="196" w:lineRule="exact"/>
        <w:rPr>
          <w:sz w:val="20"/>
          <w:szCs w:val="20"/>
          <w:color w:val="auto"/>
        </w:rPr>
      </w:pPr>
    </w:p>
    <w:p>
      <w:pPr>
        <w:jc w:val="both"/>
        <w:ind w:firstLine="47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Restricted Share Awards / Restricted Share Units / Deferred Share Awards. </w:t>
      </w:r>
      <w:r>
        <w:rPr>
          <w:rFonts w:ascii="Times New Roman" w:cs="Times New Roman" w:eastAsia="Times New Roman" w:hAnsi="Times New Roman"/>
          <w:sz w:val="17"/>
          <w:szCs w:val="17"/>
          <w:color w:val="auto"/>
        </w:rPr>
        <w:t>On May 14, 2025, we granted 50,215 restricted share and deferred share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awards to our non-employee directors, which vest in their entirety in May 2026.</w:t>
      </w:r>
    </w:p>
    <w:p>
      <w:pPr>
        <w:spacing w:after="0" w:line="169"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Compensation expense associated with restricted share awards, restricted share units and deferred share awards recognized in the three months ended June 30, 2025 and 2024 totaled $0.3 million and $0.3 million, respectively. Compensation expense associated with restricted share awards, restricted share units and deferred share awards recognized in the six months ended June 30, 2025 and 2024 totaled $0.5 million and $0.5 million, respectively. The total fair value of restricted share awards, restricted share units and deferred share awards that vested during the three and six months ended June 30, 2025 and 2024 was $0.9 million and $1.2 million, respectively.</w:t>
      </w:r>
    </w:p>
    <w:p>
      <w:pPr>
        <w:spacing w:after="0" w:line="171"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At June 30, 2025, unrecognized compensation cost related to restricted share awards, restricted share units and deferred share awards was $0.9 million, which is expected to be recognized over a weighted average period of 0.9 years.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SEGMENT AND RELATED INFORMATION</w:t>
      </w:r>
    </w:p>
    <w:p>
      <w:pPr>
        <w:spacing w:after="0" w:line="225"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We report segment information based on the “management” approach. The management approach designates the internal reporting used by management for making decisions and assessing performance as the source of our reportable segments. Our Chief Executive Officer is the chief operation decision maker. We have identified two reportable segments, Australia and Canada, which represent our strategic focus on hospitality services and workforce accommodations.</w:t>
      </w:r>
    </w:p>
    <w:p>
      <w:pPr>
        <w:spacing w:after="0" w:line="188"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Prior to the fourth quarter of 2024, we presented segment operating income (loss) to include an allocation of corporate overhead expenses. To better align segment operating income (loss) to the profitability measure used by our chief operating decision maker, we have excluded this allocation. Prior periods have been updated to be consistent with the presentation for the three and six months ended June 30, 2025.</w:t>
      </w:r>
    </w:p>
    <w:p>
      <w:pPr>
        <w:spacing w:after="0" w:line="162"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Financial information by business segment for each of the three and six months ended June 30, 2025 and 2024 is summarized in the following table (in thousands):</w:t>
      </w:r>
    </w:p>
    <w:p>
      <w:pPr>
        <w:spacing w:after="0" w:line="166" w:lineRule="exact"/>
        <w:rPr>
          <w:sz w:val="20"/>
          <w:szCs w:val="20"/>
          <w:color w:val="auto"/>
        </w:rPr>
      </w:pPr>
    </w:p>
    <w:tbl>
      <w:tblPr>
        <w:tblLayout w:type="fixed"/>
        <w:tblInd w:w="360" w:type="dxa"/>
        <w:tblCellMar>
          <w:top w:w="0" w:type="dxa"/>
          <w:left w:w="0" w:type="dxa"/>
          <w:bottom w:w="0" w:type="dxa"/>
          <w:right w:w="0" w:type="dxa"/>
        </w:tblCellMar>
      </w:tblPr>
      <w:tr>
        <w:trPr>
          <w:trHeight w:val="195"/>
        </w:trPr>
        <w:tc>
          <w:tcPr>
            <w:tcW w:w="41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Three Months Ended June 30, 2025</w:t>
            </w:r>
          </w:p>
        </w:tc>
        <w:tc>
          <w:tcPr>
            <w:tcW w:w="220" w:type="dxa"/>
            <w:vAlign w:val="bottom"/>
          </w:tcPr>
          <w:p>
            <w:pPr>
              <w:spacing w:after="0"/>
              <w:rPr>
                <w:sz w:val="17"/>
                <w:szCs w:val="17"/>
                <w:color w:val="auto"/>
              </w:rPr>
            </w:pPr>
          </w:p>
        </w:tc>
        <w:tc>
          <w:tcPr>
            <w:tcW w:w="1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Australia</w:t>
            </w:r>
          </w:p>
        </w:tc>
        <w:tc>
          <w:tcPr>
            <w:tcW w:w="240" w:type="dxa"/>
            <w:vAlign w:val="bottom"/>
          </w:tcPr>
          <w:p>
            <w:pPr>
              <w:spacing w:after="0"/>
              <w:rPr>
                <w:sz w:val="17"/>
                <w:szCs w:val="17"/>
                <w:color w:val="auto"/>
              </w:rPr>
            </w:pPr>
          </w:p>
        </w:tc>
        <w:tc>
          <w:tcPr>
            <w:tcW w:w="14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Canada</w:t>
            </w:r>
          </w:p>
        </w:tc>
        <w:tc>
          <w:tcPr>
            <w:tcW w:w="100" w:type="dxa"/>
            <w:vAlign w:val="bottom"/>
          </w:tcPr>
          <w:p>
            <w:pPr>
              <w:spacing w:after="0"/>
              <w:rPr>
                <w:sz w:val="17"/>
                <w:szCs w:val="17"/>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Corporate, other</w:t>
            </w:r>
          </w:p>
        </w:tc>
        <w:tc>
          <w:tcPr>
            <w:tcW w:w="300" w:type="dxa"/>
            <w:vAlign w:val="bottom"/>
          </w:tcPr>
          <w:p>
            <w:pPr>
              <w:spacing w:after="0"/>
              <w:rPr>
                <w:sz w:val="17"/>
                <w:szCs w:val="17"/>
                <w:color w:val="auto"/>
              </w:rPr>
            </w:pPr>
          </w:p>
        </w:tc>
        <w:tc>
          <w:tcPr>
            <w:tcW w:w="1100" w:type="dxa"/>
            <w:vAlign w:val="bottom"/>
            <w:vMerge w:val="restart"/>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5"/>
        </w:trPr>
        <w:tc>
          <w:tcPr>
            <w:tcW w:w="41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and eliminations</w:t>
            </w:r>
          </w:p>
        </w:tc>
        <w:tc>
          <w:tcPr>
            <w:tcW w:w="3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112,672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50,022</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162,694</w:t>
            </w:r>
          </w:p>
        </w:tc>
        <w:tc>
          <w:tcPr>
            <w:tcW w:w="0" w:type="dxa"/>
            <w:vAlign w:val="bottom"/>
          </w:tcPr>
          <w:p>
            <w:pPr>
              <w:spacing w:after="0"/>
              <w:rPr>
                <w:sz w:val="1"/>
                <w:szCs w:val="1"/>
                <w:color w:val="auto"/>
              </w:rPr>
            </w:pPr>
          </w:p>
        </w:tc>
      </w:tr>
      <w:tr>
        <w:trPr>
          <w:trHeight w:val="222"/>
        </w:trPr>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Cost of sales and services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82,477</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39,037</w:t>
            </w: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121,531</w:t>
            </w:r>
          </w:p>
        </w:tc>
        <w:tc>
          <w:tcPr>
            <w:tcW w:w="0" w:type="dxa"/>
            <w:vAlign w:val="bottom"/>
          </w:tcPr>
          <w:p>
            <w:pPr>
              <w:spacing w:after="0"/>
              <w:rPr>
                <w:sz w:val="1"/>
                <w:szCs w:val="1"/>
                <w:color w:val="auto"/>
              </w:rPr>
            </w:pPr>
          </w:p>
        </w:tc>
      </w:tr>
      <w:tr>
        <w:trPr>
          <w:trHeight w:val="21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 less cost of sales and services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41,163</w:t>
            </w:r>
          </w:p>
        </w:tc>
        <w:tc>
          <w:tcPr>
            <w:tcW w:w="0" w:type="dxa"/>
            <w:vAlign w:val="bottom"/>
          </w:tcPr>
          <w:p>
            <w:pPr>
              <w:spacing w:after="0"/>
              <w:rPr>
                <w:sz w:val="1"/>
                <w:szCs w:val="1"/>
                <w:color w:val="auto"/>
              </w:rPr>
            </w:pPr>
          </w:p>
        </w:tc>
      </w:tr>
      <w:tr>
        <w:trPr>
          <w:trHeight w:val="157"/>
        </w:trPr>
        <w:tc>
          <w:tcPr>
            <w:tcW w:w="4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180" w:type="dxa"/>
            <w:vAlign w:val="bottom"/>
            <w:shd w:val="clear" w:color="auto" w:fill="CCEEFF"/>
          </w:tcPr>
          <w:p>
            <w:pPr>
              <w:spacing w:after="0" w:line="222" w:lineRule="exact"/>
              <w:rPr>
                <w:sz w:val="20"/>
                <w:szCs w:val="20"/>
                <w:color w:val="auto"/>
              </w:rPr>
            </w:pPr>
            <w:r>
              <w:rPr>
                <w:rFonts w:ascii="Times New Roman" w:cs="Times New Roman" w:eastAsia="Times New Roman" w:hAnsi="Times New Roman"/>
                <w:sz w:val="17"/>
                <w:szCs w:val="17"/>
                <w:color w:val="auto"/>
              </w:rPr>
              <w:t xml:space="preserve">Selling, general and administrative expenses </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4,128</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20,470</w:t>
            </w:r>
          </w:p>
        </w:tc>
        <w:tc>
          <w:tcPr>
            <w:tcW w:w="0" w:type="dxa"/>
            <w:vAlign w:val="bottom"/>
          </w:tcPr>
          <w:p>
            <w:pPr>
              <w:spacing w:after="0"/>
              <w:rPr>
                <w:sz w:val="1"/>
                <w:szCs w:val="1"/>
                <w:color w:val="auto"/>
              </w:rPr>
            </w:pPr>
          </w:p>
        </w:tc>
      </w:tr>
      <w:tr>
        <w:trPr>
          <w:trHeight w:val="222"/>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9,050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17,827</w:t>
            </w:r>
          </w:p>
        </w:tc>
        <w:tc>
          <w:tcPr>
            <w:tcW w:w="0" w:type="dxa"/>
            <w:vAlign w:val="bottom"/>
          </w:tcPr>
          <w:p>
            <w:pPr>
              <w:spacing w:after="0"/>
              <w:rPr>
                <w:sz w:val="1"/>
                <w:szCs w:val="1"/>
                <w:color w:val="auto"/>
              </w:rPr>
            </w:pPr>
          </w:p>
        </w:tc>
      </w:tr>
      <w:tr>
        <w:trPr>
          <w:trHeight w:val="222"/>
        </w:trPr>
        <w:tc>
          <w:tcPr>
            <w:tcW w:w="4180" w:type="dxa"/>
            <w:vAlign w:val="bottom"/>
            <w:shd w:val="clear" w:color="auto" w:fill="CCEEFF"/>
          </w:tcPr>
          <w:p>
            <w:pPr>
              <w:spacing w:after="0" w:line="222" w:lineRule="exact"/>
              <w:rPr>
                <w:sz w:val="20"/>
                <w:szCs w:val="20"/>
                <w:color w:val="auto"/>
              </w:rPr>
            </w:pPr>
            <w:r>
              <w:rPr>
                <w:rFonts w:ascii="Times New Roman" w:cs="Times New Roman" w:eastAsia="Times New Roman" w:hAnsi="Times New Roman"/>
                <w:sz w:val="17"/>
                <w:szCs w:val="17"/>
                <w:color w:val="auto"/>
              </w:rPr>
              <w:t xml:space="preserve">Other operating expense (income) </w:t>
            </w:r>
            <w:r>
              <w:rPr>
                <w:rFonts w:ascii="Times New Roman" w:cs="Times New Roman" w:eastAsia="Times New Roman" w:hAnsi="Times New Roman"/>
                <w:sz w:val="22"/>
                <w:szCs w:val="22"/>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15"/>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Operating income (loss)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14,573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2,800</w:t>
            </w:r>
          </w:p>
        </w:tc>
        <w:tc>
          <w:tcPr>
            <w:tcW w:w="0" w:type="dxa"/>
            <w:vAlign w:val="bottom"/>
          </w:tcPr>
          <w:p>
            <w:pPr>
              <w:spacing w:after="0"/>
              <w:rPr>
                <w:sz w:val="1"/>
                <w:szCs w:val="1"/>
                <w:color w:val="auto"/>
              </w:rPr>
            </w:pPr>
          </w:p>
        </w:tc>
      </w:tr>
      <w:tr>
        <w:trPr>
          <w:trHeight w:val="157"/>
        </w:trPr>
        <w:tc>
          <w:tcPr>
            <w:tcW w:w="4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Reconciliation to income (loss) before income taxes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180" w:type="dxa"/>
            <w:vAlign w:val="bottom"/>
            <w:shd w:val="clear" w:color="auto" w:fill="CCEEFF"/>
          </w:tcPr>
          <w:p>
            <w:pPr>
              <w:spacing w:after="0" w:line="222" w:lineRule="exact"/>
              <w:rPr>
                <w:sz w:val="20"/>
                <w:szCs w:val="20"/>
                <w:color w:val="auto"/>
              </w:rPr>
            </w:pPr>
            <w:r>
              <w:rPr>
                <w:rFonts w:ascii="Times New Roman" w:cs="Times New Roman" w:eastAsia="Times New Roman" w:hAnsi="Times New Roman"/>
                <w:sz w:val="17"/>
                <w:szCs w:val="17"/>
                <w:color w:val="auto"/>
              </w:rPr>
              <w:t xml:space="preserve">Other loss </w:t>
            </w:r>
            <w:r>
              <w:rPr>
                <w:rFonts w:ascii="Times New Roman" w:cs="Times New Roman" w:eastAsia="Times New Roman" w:hAnsi="Times New Roman"/>
                <w:sz w:val="22"/>
                <w:szCs w:val="22"/>
                <w:color w:val="auto"/>
                <w:vertAlign w:val="superscript"/>
              </w:rPr>
              <w:t>(3)</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(2,505)</w:t>
            </w:r>
          </w:p>
        </w:tc>
        <w:tc>
          <w:tcPr>
            <w:tcW w:w="0" w:type="dxa"/>
            <w:vAlign w:val="bottom"/>
          </w:tcPr>
          <w:p>
            <w:pPr>
              <w:spacing w:after="0"/>
              <w:rPr>
                <w:sz w:val="1"/>
                <w:szCs w:val="1"/>
                <w:color w:val="auto"/>
              </w:rPr>
            </w:pPr>
          </w:p>
        </w:tc>
      </w:tr>
      <w:tr>
        <w:trPr>
          <w:trHeight w:val="215"/>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Capital expenditures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3,451</w:t>
            </w:r>
          </w:p>
        </w:tc>
        <w:tc>
          <w:tcPr>
            <w:tcW w:w="22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1,047</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4,498</w:t>
            </w:r>
          </w:p>
        </w:tc>
        <w:tc>
          <w:tcPr>
            <w:tcW w:w="0" w:type="dxa"/>
            <w:vAlign w:val="bottom"/>
          </w:tcPr>
          <w:p>
            <w:pPr>
              <w:spacing w:after="0"/>
              <w:rPr>
                <w:sz w:val="1"/>
                <w:szCs w:val="1"/>
                <w:color w:val="auto"/>
              </w:rPr>
            </w:pPr>
          </w:p>
        </w:tc>
      </w:tr>
      <w:tr>
        <w:trPr>
          <w:trHeight w:val="222"/>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276,623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681,264</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(449,048)</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508,839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ind w:left="472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28"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June 30, 2024</w:t>
            </w:r>
          </w:p>
        </w:tc>
        <w:tc>
          <w:tcPr>
            <w:tcW w:w="220" w:type="dxa"/>
            <w:vAlign w:val="bottom"/>
          </w:tcPr>
          <w:p>
            <w:pPr>
              <w:spacing w:after="0"/>
              <w:rPr>
                <w:sz w:val="17"/>
                <w:szCs w:val="17"/>
                <w:color w:val="auto"/>
              </w:rPr>
            </w:pPr>
          </w:p>
        </w:tc>
        <w:tc>
          <w:tcPr>
            <w:tcW w:w="1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Australia</w:t>
            </w:r>
          </w:p>
        </w:tc>
        <w:tc>
          <w:tcPr>
            <w:tcW w:w="260" w:type="dxa"/>
            <w:vAlign w:val="bottom"/>
          </w:tcPr>
          <w:p>
            <w:pPr>
              <w:spacing w:after="0"/>
              <w:rPr>
                <w:sz w:val="17"/>
                <w:szCs w:val="17"/>
                <w:color w:val="auto"/>
              </w:rPr>
            </w:pPr>
          </w:p>
        </w:tc>
        <w:tc>
          <w:tcPr>
            <w:tcW w:w="14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Canada</w:t>
            </w:r>
          </w:p>
        </w:tc>
        <w:tc>
          <w:tcPr>
            <w:tcW w:w="100" w:type="dxa"/>
            <w:vAlign w:val="bottom"/>
          </w:tcPr>
          <w:p>
            <w:pPr>
              <w:spacing w:after="0"/>
              <w:rPr>
                <w:sz w:val="17"/>
                <w:szCs w:val="17"/>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Corporate, other</w:t>
            </w:r>
          </w:p>
        </w:tc>
        <w:tc>
          <w:tcPr>
            <w:tcW w:w="300" w:type="dxa"/>
            <w:vAlign w:val="bottom"/>
          </w:tcPr>
          <w:p>
            <w:pPr>
              <w:spacing w:after="0"/>
              <w:rPr>
                <w:sz w:val="17"/>
                <w:szCs w:val="17"/>
                <w:color w:val="auto"/>
              </w:rPr>
            </w:pPr>
          </w:p>
        </w:tc>
        <w:tc>
          <w:tcPr>
            <w:tcW w:w="1080" w:type="dxa"/>
            <w:vAlign w:val="bottom"/>
            <w:vMerge w:val="restart"/>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5"/>
        </w:trPr>
        <w:tc>
          <w:tcPr>
            <w:tcW w:w="42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and eliminations</w:t>
            </w:r>
          </w:p>
        </w:tc>
        <w:tc>
          <w:tcPr>
            <w:tcW w:w="3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108,608</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79,527</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188,713</w:t>
            </w:r>
          </w:p>
        </w:tc>
        <w:tc>
          <w:tcPr>
            <w:tcW w:w="0" w:type="dxa"/>
            <w:vAlign w:val="bottom"/>
          </w:tcPr>
          <w:p>
            <w:pPr>
              <w:spacing w:after="0"/>
              <w:rPr>
                <w:sz w:val="1"/>
                <w:szCs w:val="1"/>
                <w:color w:val="auto"/>
              </w:rPr>
            </w:pPr>
          </w:p>
        </w:tc>
      </w:tr>
      <w:tr>
        <w:trPr>
          <w:trHeight w:val="222"/>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sales and services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81,037</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58,849</w:t>
            </w: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948</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140,834</w:t>
            </w:r>
          </w:p>
        </w:tc>
        <w:tc>
          <w:tcPr>
            <w:tcW w:w="0" w:type="dxa"/>
            <w:vAlign w:val="bottom"/>
          </w:tcPr>
          <w:p>
            <w:pPr>
              <w:spacing w:after="0"/>
              <w:rPr>
                <w:sz w:val="1"/>
                <w:szCs w:val="1"/>
                <w:color w:val="auto"/>
              </w:rPr>
            </w:pPr>
          </w:p>
        </w:tc>
      </w:tr>
      <w:tr>
        <w:trPr>
          <w:trHeight w:val="21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 less cost of sales and services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27,571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47,879</w:t>
            </w:r>
          </w:p>
        </w:tc>
        <w:tc>
          <w:tcPr>
            <w:tcW w:w="0" w:type="dxa"/>
            <w:vAlign w:val="bottom"/>
          </w:tcPr>
          <w:p>
            <w:pPr>
              <w:spacing w:after="0"/>
              <w:rPr>
                <w:sz w:val="1"/>
                <w:szCs w:val="1"/>
                <w:color w:val="auto"/>
              </w:rPr>
            </w:pPr>
          </w:p>
        </w:tc>
      </w:tr>
      <w:tr>
        <w:trPr>
          <w:trHeight w:val="157"/>
        </w:trPr>
        <w:tc>
          <w:tcPr>
            <w:tcW w:w="4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24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Selling, general and administrative expenses </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5,956</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4,467</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17,433</w:t>
            </w:r>
          </w:p>
        </w:tc>
        <w:tc>
          <w:tcPr>
            <w:tcW w:w="0" w:type="dxa"/>
            <w:vAlign w:val="bottom"/>
          </w:tcPr>
          <w:p>
            <w:pPr>
              <w:spacing w:after="0"/>
              <w:rPr>
                <w:sz w:val="1"/>
                <w:szCs w:val="1"/>
                <w:color w:val="auto"/>
              </w:rPr>
            </w:pPr>
          </w:p>
        </w:tc>
      </w:tr>
      <w:tr>
        <w:trPr>
          <w:trHeight w:val="222"/>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9,252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17,059</w:t>
            </w:r>
          </w:p>
        </w:tc>
        <w:tc>
          <w:tcPr>
            <w:tcW w:w="0" w:type="dxa"/>
            <w:vAlign w:val="bottom"/>
          </w:tcPr>
          <w:p>
            <w:pPr>
              <w:spacing w:after="0"/>
              <w:rPr>
                <w:sz w:val="1"/>
                <w:szCs w:val="1"/>
                <w:color w:val="auto"/>
              </w:rPr>
            </w:pPr>
          </w:p>
        </w:tc>
      </w:tr>
      <w:tr>
        <w:trPr>
          <w:trHeight w:val="222"/>
        </w:trPr>
        <w:tc>
          <w:tcPr>
            <w:tcW w:w="424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Other operating expense </w:t>
            </w:r>
            <w:r>
              <w:rPr>
                <w:rFonts w:ascii="Times New Roman" w:cs="Times New Roman" w:eastAsia="Times New Roman" w:hAnsi="Times New Roman"/>
                <w:sz w:val="22"/>
                <w:szCs w:val="22"/>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0" w:type="dxa"/>
            <w:vAlign w:val="bottom"/>
          </w:tcPr>
          <w:p>
            <w:pPr>
              <w:spacing w:after="0"/>
              <w:rPr>
                <w:sz w:val="1"/>
                <w:szCs w:val="1"/>
                <w:color w:val="auto"/>
              </w:rPr>
            </w:pPr>
          </w:p>
        </w:tc>
      </w:tr>
      <w:tr>
        <w:trPr>
          <w:trHeight w:val="215"/>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 (loss)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13,856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(7,598)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13,112</w:t>
            </w:r>
          </w:p>
        </w:tc>
        <w:tc>
          <w:tcPr>
            <w:tcW w:w="0" w:type="dxa"/>
            <w:vAlign w:val="bottom"/>
          </w:tcPr>
          <w:p>
            <w:pPr>
              <w:spacing w:after="0"/>
              <w:rPr>
                <w:sz w:val="1"/>
                <w:szCs w:val="1"/>
                <w:color w:val="auto"/>
              </w:rPr>
            </w:pPr>
          </w:p>
        </w:tc>
      </w:tr>
      <w:tr>
        <w:trPr>
          <w:trHeight w:val="157"/>
        </w:trPr>
        <w:tc>
          <w:tcPr>
            <w:tcW w:w="4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Reconciliation to income (loss) before income taxes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4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Other loss </w:t>
            </w:r>
            <w:r>
              <w:rPr>
                <w:rFonts w:ascii="Times New Roman" w:cs="Times New Roman" w:eastAsia="Times New Roman" w:hAnsi="Times New Roman"/>
                <w:sz w:val="22"/>
                <w:szCs w:val="22"/>
                <w:color w:val="auto"/>
                <w:vertAlign w:val="superscript"/>
              </w:rPr>
              <w:t>(3)</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w:t>
            </w:r>
          </w:p>
        </w:tc>
        <w:tc>
          <w:tcPr>
            <w:tcW w:w="0" w:type="dxa"/>
            <w:vAlign w:val="bottom"/>
          </w:tcPr>
          <w:p>
            <w:pPr>
              <w:spacing w:after="0"/>
              <w:rPr>
                <w:sz w:val="1"/>
                <w:szCs w:val="1"/>
                <w:color w:val="auto"/>
              </w:rPr>
            </w:pPr>
          </w:p>
        </w:tc>
      </w:tr>
      <w:tr>
        <w:trPr>
          <w:trHeight w:val="215"/>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11,273</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3,652</w:t>
            </w:r>
          </w:p>
        </w:tc>
        <w:tc>
          <w:tcPr>
            <w:tcW w:w="2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1,647</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4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5,316</w:t>
            </w:r>
          </w:p>
        </w:tc>
        <w:tc>
          <w:tcPr>
            <w:tcW w:w="0" w:type="dxa"/>
            <w:vAlign w:val="bottom"/>
          </w:tcPr>
          <w:p>
            <w:pPr>
              <w:spacing w:after="0"/>
              <w:rPr>
                <w:sz w:val="1"/>
                <w:szCs w:val="1"/>
                <w:color w:val="auto"/>
              </w:rPr>
            </w:pPr>
          </w:p>
        </w:tc>
      </w:tr>
      <w:tr>
        <w:trPr>
          <w:trHeight w:val="22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207,465</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737,275</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(461,506)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483,234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Six Months Ended June 30, 2025</w:t>
            </w:r>
          </w:p>
        </w:tc>
        <w:tc>
          <w:tcPr>
            <w:tcW w:w="280" w:type="dxa"/>
            <w:vAlign w:val="bottom"/>
          </w:tcPr>
          <w:p>
            <w:pPr>
              <w:spacing w:after="0"/>
              <w:rPr>
                <w:sz w:val="17"/>
                <w:szCs w:val="17"/>
                <w:color w:val="auto"/>
              </w:rPr>
            </w:pPr>
          </w:p>
        </w:tc>
        <w:tc>
          <w:tcPr>
            <w:tcW w:w="14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b w:val="1"/>
                <w:bCs w:val="1"/>
                <w:color w:val="auto"/>
              </w:rPr>
              <w:t>Australia</w:t>
            </w:r>
          </w:p>
        </w:tc>
        <w:tc>
          <w:tcPr>
            <w:tcW w:w="320" w:type="dxa"/>
            <w:vAlign w:val="bottom"/>
          </w:tcPr>
          <w:p>
            <w:pPr>
              <w:spacing w:after="0"/>
              <w:rPr>
                <w:sz w:val="17"/>
                <w:szCs w:val="17"/>
                <w:color w:val="auto"/>
              </w:rPr>
            </w:pPr>
          </w:p>
        </w:tc>
        <w:tc>
          <w:tcPr>
            <w:tcW w:w="14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b w:val="1"/>
                <w:bCs w:val="1"/>
                <w:color w:val="auto"/>
              </w:rPr>
              <w:t>Canada</w:t>
            </w: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Corporate, other and</w:t>
            </w:r>
          </w:p>
        </w:tc>
        <w:tc>
          <w:tcPr>
            <w:tcW w:w="360" w:type="dxa"/>
            <w:vAlign w:val="bottom"/>
          </w:tcPr>
          <w:p>
            <w:pPr>
              <w:spacing w:after="0"/>
              <w:rPr>
                <w:sz w:val="17"/>
                <w:szCs w:val="17"/>
                <w:color w:val="auto"/>
              </w:rPr>
            </w:pPr>
          </w:p>
        </w:tc>
        <w:tc>
          <w:tcPr>
            <w:tcW w:w="1260" w:type="dxa"/>
            <w:vAlign w:val="bottom"/>
            <w:vMerge w:val="restart"/>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5"/>
        </w:trPr>
        <w:tc>
          <w:tcPr>
            <w:tcW w:w="42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eliminations</w:t>
            </w:r>
          </w:p>
        </w:tc>
        <w:tc>
          <w:tcPr>
            <w:tcW w:w="36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216,318</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90,420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306,738</w:t>
            </w:r>
          </w:p>
        </w:tc>
        <w:tc>
          <w:tcPr>
            <w:tcW w:w="0" w:type="dxa"/>
            <w:vAlign w:val="bottom"/>
          </w:tcPr>
          <w:p>
            <w:pPr>
              <w:spacing w:after="0"/>
              <w:rPr>
                <w:sz w:val="1"/>
                <w:szCs w:val="1"/>
                <w:color w:val="auto"/>
              </w:rPr>
            </w:pPr>
          </w:p>
        </w:tc>
      </w:tr>
      <w:tr>
        <w:trPr>
          <w:trHeight w:val="222"/>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sales and services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159,197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76,682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236,146</w:t>
            </w:r>
          </w:p>
        </w:tc>
        <w:tc>
          <w:tcPr>
            <w:tcW w:w="0" w:type="dxa"/>
            <w:vAlign w:val="bottom"/>
          </w:tcPr>
          <w:p>
            <w:pPr>
              <w:spacing w:after="0"/>
              <w:rPr>
                <w:sz w:val="1"/>
                <w:szCs w:val="1"/>
                <w:color w:val="auto"/>
              </w:rPr>
            </w:pPr>
          </w:p>
        </w:tc>
      </w:tr>
      <w:tr>
        <w:trPr>
          <w:trHeight w:val="215"/>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 less cost of sales and services</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70,592</w:t>
            </w:r>
          </w:p>
        </w:tc>
        <w:tc>
          <w:tcPr>
            <w:tcW w:w="0" w:type="dxa"/>
            <w:vAlign w:val="bottom"/>
          </w:tcPr>
          <w:p>
            <w:pPr>
              <w:spacing w:after="0"/>
              <w:rPr>
                <w:sz w:val="1"/>
                <w:szCs w:val="1"/>
                <w:color w:val="auto"/>
              </w:rPr>
            </w:pPr>
          </w:p>
        </w:tc>
      </w:tr>
      <w:tr>
        <w:trPr>
          <w:trHeight w:val="157"/>
        </w:trPr>
        <w:tc>
          <w:tcPr>
            <w:tcW w:w="4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26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Selling, general and administrative expenses </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13,124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38,655</w:t>
            </w:r>
          </w:p>
        </w:tc>
        <w:tc>
          <w:tcPr>
            <w:tcW w:w="0" w:type="dxa"/>
            <w:vAlign w:val="bottom"/>
          </w:tcPr>
          <w:p>
            <w:pPr>
              <w:spacing w:after="0"/>
              <w:rPr>
                <w:sz w:val="1"/>
                <w:szCs w:val="1"/>
                <w:color w:val="auto"/>
              </w:rPr>
            </w:pPr>
          </w:p>
        </w:tc>
      </w:tr>
      <w:tr>
        <w:trPr>
          <w:trHeight w:val="222"/>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16,854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34,080</w:t>
            </w:r>
          </w:p>
        </w:tc>
        <w:tc>
          <w:tcPr>
            <w:tcW w:w="0" w:type="dxa"/>
            <w:vAlign w:val="bottom"/>
          </w:tcPr>
          <w:p>
            <w:pPr>
              <w:spacing w:after="0"/>
              <w:rPr>
                <w:sz w:val="1"/>
                <w:szCs w:val="1"/>
                <w:color w:val="auto"/>
              </w:rPr>
            </w:pPr>
          </w:p>
        </w:tc>
      </w:tr>
      <w:tr>
        <w:trPr>
          <w:trHeight w:val="222"/>
        </w:trPr>
        <w:tc>
          <w:tcPr>
            <w:tcW w:w="426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Other operating expense (income) </w:t>
            </w:r>
            <w:r>
              <w:rPr>
                <w:rFonts w:ascii="Times New Roman" w:cs="Times New Roman" w:eastAsia="Times New Roman" w:hAnsi="Times New Roman"/>
                <w:sz w:val="22"/>
                <w:szCs w:val="22"/>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0" w:type="dxa"/>
            <w:vAlign w:val="bottom"/>
          </w:tcPr>
          <w:p>
            <w:pPr>
              <w:spacing w:after="0"/>
              <w:rPr>
                <w:sz w:val="1"/>
                <w:szCs w:val="1"/>
                <w:color w:val="auto"/>
              </w:rPr>
            </w:pPr>
          </w:p>
        </w:tc>
      </w:tr>
      <w:tr>
        <w:trPr>
          <w:trHeight w:val="215"/>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 (loss)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(2,716)</w:t>
            </w:r>
          </w:p>
        </w:tc>
        <w:tc>
          <w:tcPr>
            <w:tcW w:w="0" w:type="dxa"/>
            <w:vAlign w:val="bottom"/>
          </w:tcPr>
          <w:p>
            <w:pPr>
              <w:spacing w:after="0"/>
              <w:rPr>
                <w:sz w:val="1"/>
                <w:szCs w:val="1"/>
                <w:color w:val="auto"/>
              </w:rPr>
            </w:pPr>
          </w:p>
        </w:tc>
      </w:tr>
      <w:tr>
        <w:trPr>
          <w:trHeight w:val="157"/>
        </w:trPr>
        <w:tc>
          <w:tcPr>
            <w:tcW w:w="4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Recon to income (loss) before income taxes</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6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Other loss</w:t>
            </w:r>
            <w:r>
              <w:rPr>
                <w:rFonts w:ascii="Times New Roman" w:cs="Times New Roman" w:eastAsia="Times New Roman" w:hAnsi="Times New Roman"/>
                <w:sz w:val="22"/>
                <w:szCs w:val="22"/>
                <w:color w:val="auto"/>
                <w:vertAlign w:val="superscript"/>
              </w:rPr>
              <w:t>(3)</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(3,751)</w:t>
            </w:r>
          </w:p>
        </w:tc>
        <w:tc>
          <w:tcPr>
            <w:tcW w:w="0" w:type="dxa"/>
            <w:vAlign w:val="bottom"/>
          </w:tcPr>
          <w:p>
            <w:pPr>
              <w:spacing w:after="0"/>
              <w:rPr>
                <w:sz w:val="1"/>
                <w:szCs w:val="1"/>
                <w:color w:val="auto"/>
              </w:rPr>
            </w:pPr>
          </w:p>
        </w:tc>
      </w:tr>
      <w:tr>
        <w:trPr>
          <w:trHeight w:val="215"/>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(6,467)</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2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5,396</w:t>
            </w:r>
          </w:p>
        </w:tc>
        <w:tc>
          <w:tcPr>
            <w:tcW w:w="8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4,373</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9,769</w:t>
            </w:r>
          </w:p>
        </w:tc>
        <w:tc>
          <w:tcPr>
            <w:tcW w:w="0" w:type="dxa"/>
            <w:vAlign w:val="bottom"/>
          </w:tcPr>
          <w:p>
            <w:pPr>
              <w:spacing w:after="0"/>
              <w:rPr>
                <w:sz w:val="1"/>
                <w:szCs w:val="1"/>
                <w:color w:val="auto"/>
              </w:rPr>
            </w:pPr>
          </w:p>
        </w:tc>
      </w:tr>
      <w:tr>
        <w:trPr>
          <w:trHeight w:val="222"/>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276,623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681,264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(449,048)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508,839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74295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80"/>
          </w:cols>
          <w:pgMar w:left="400" w:top="119" w:right="419" w:bottom="1440" w:gutter="0" w:footer="0" w:header="0"/>
        </w:sectPr>
      </w:pPr>
    </w:p>
    <w:bookmarkStart w:id="20" w:name="page21"/>
    <w:bookmarkEnd w:id="20"/>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Six Months Ended June 30, 2024</w:t>
            </w:r>
          </w:p>
        </w:tc>
        <w:tc>
          <w:tcPr>
            <w:tcW w:w="280" w:type="dxa"/>
            <w:vAlign w:val="bottom"/>
          </w:tcPr>
          <w:p>
            <w:pPr>
              <w:spacing w:after="0"/>
              <w:rPr>
                <w:sz w:val="17"/>
                <w:szCs w:val="17"/>
                <w:color w:val="auto"/>
              </w:rPr>
            </w:pPr>
          </w:p>
        </w:tc>
        <w:tc>
          <w:tcPr>
            <w:tcW w:w="14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Australia</w:t>
            </w:r>
          </w:p>
        </w:tc>
        <w:tc>
          <w:tcPr>
            <w:tcW w:w="320" w:type="dxa"/>
            <w:vAlign w:val="bottom"/>
          </w:tcPr>
          <w:p>
            <w:pPr>
              <w:spacing w:after="0"/>
              <w:rPr>
                <w:sz w:val="17"/>
                <w:szCs w:val="17"/>
                <w:color w:val="auto"/>
              </w:rPr>
            </w:pPr>
          </w:p>
        </w:tc>
        <w:tc>
          <w:tcPr>
            <w:tcW w:w="14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b w:val="1"/>
                <w:bCs w:val="1"/>
                <w:color w:val="auto"/>
              </w:rPr>
              <w:t>Canada</w:t>
            </w: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Corporate, other and</w:t>
            </w:r>
          </w:p>
        </w:tc>
        <w:tc>
          <w:tcPr>
            <w:tcW w:w="360" w:type="dxa"/>
            <w:vAlign w:val="bottom"/>
          </w:tcPr>
          <w:p>
            <w:pPr>
              <w:spacing w:after="0"/>
              <w:rPr>
                <w:sz w:val="17"/>
                <w:szCs w:val="17"/>
                <w:color w:val="auto"/>
              </w:rPr>
            </w:pPr>
          </w:p>
        </w:tc>
        <w:tc>
          <w:tcPr>
            <w:tcW w:w="1280" w:type="dxa"/>
            <w:vAlign w:val="bottom"/>
            <w:vMerge w:val="restart"/>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5"/>
        </w:trPr>
        <w:tc>
          <w:tcPr>
            <w:tcW w:w="42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eliminations</w:t>
            </w:r>
          </w:p>
        </w:tc>
        <w:tc>
          <w:tcPr>
            <w:tcW w:w="3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200,345</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146,687</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7,801</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354,833</w:t>
            </w:r>
          </w:p>
        </w:tc>
        <w:tc>
          <w:tcPr>
            <w:tcW w:w="0" w:type="dxa"/>
            <w:vAlign w:val="bottom"/>
          </w:tcPr>
          <w:p>
            <w:pPr>
              <w:spacing w:after="0"/>
              <w:rPr>
                <w:sz w:val="1"/>
                <w:szCs w:val="1"/>
                <w:color w:val="auto"/>
              </w:rPr>
            </w:pPr>
          </w:p>
        </w:tc>
      </w:tr>
      <w:tr>
        <w:trPr>
          <w:trHeight w:val="222"/>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sales and services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147,150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116,106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271,279</w:t>
            </w:r>
          </w:p>
        </w:tc>
        <w:tc>
          <w:tcPr>
            <w:tcW w:w="0" w:type="dxa"/>
            <w:vAlign w:val="bottom"/>
          </w:tcPr>
          <w:p>
            <w:pPr>
              <w:spacing w:after="0"/>
              <w:rPr>
                <w:sz w:val="1"/>
                <w:szCs w:val="1"/>
                <w:color w:val="auto"/>
              </w:rPr>
            </w:pPr>
          </w:p>
        </w:tc>
      </w:tr>
      <w:tr>
        <w:trPr>
          <w:trHeight w:val="215"/>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 less cost of sales and services</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83,554</w:t>
            </w:r>
          </w:p>
        </w:tc>
        <w:tc>
          <w:tcPr>
            <w:tcW w:w="0" w:type="dxa"/>
            <w:vAlign w:val="bottom"/>
          </w:tcPr>
          <w:p>
            <w:pPr>
              <w:spacing w:after="0"/>
              <w:rPr>
                <w:sz w:val="1"/>
                <w:szCs w:val="1"/>
                <w:color w:val="auto"/>
              </w:rPr>
            </w:pPr>
          </w:p>
        </w:tc>
      </w:tr>
      <w:tr>
        <w:trPr>
          <w:trHeight w:val="157"/>
        </w:trPr>
        <w:tc>
          <w:tcPr>
            <w:tcW w:w="4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20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Selling, general and administrative expenses </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11,268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15,469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36,073</w:t>
            </w:r>
          </w:p>
        </w:tc>
        <w:tc>
          <w:tcPr>
            <w:tcW w:w="0" w:type="dxa"/>
            <w:vAlign w:val="bottom"/>
          </w:tcPr>
          <w:p>
            <w:pPr>
              <w:spacing w:after="0"/>
              <w:rPr>
                <w:sz w:val="1"/>
                <w:szCs w:val="1"/>
                <w:color w:val="auto"/>
              </w:rPr>
            </w:pPr>
          </w:p>
        </w:tc>
      </w:tr>
      <w:tr>
        <w:trPr>
          <w:trHeight w:val="222"/>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14,932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18,648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33,829</w:t>
            </w:r>
          </w:p>
        </w:tc>
        <w:tc>
          <w:tcPr>
            <w:tcW w:w="0" w:type="dxa"/>
            <w:vAlign w:val="bottom"/>
          </w:tcPr>
          <w:p>
            <w:pPr>
              <w:spacing w:after="0"/>
              <w:rPr>
                <w:sz w:val="1"/>
                <w:szCs w:val="1"/>
                <w:color w:val="auto"/>
              </w:rPr>
            </w:pPr>
          </w:p>
        </w:tc>
      </w:tr>
      <w:tr>
        <w:trPr>
          <w:trHeight w:val="222"/>
        </w:trPr>
        <w:tc>
          <w:tcPr>
            <w:tcW w:w="420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Other operating expense (income) </w:t>
            </w:r>
            <w:r>
              <w:rPr>
                <w:rFonts w:ascii="Times New Roman" w:cs="Times New Roman" w:eastAsia="Times New Roman" w:hAnsi="Times New Roman"/>
                <w:sz w:val="22"/>
                <w:szCs w:val="22"/>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2,321</w:t>
            </w: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 (loss)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(18,372)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11,331</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Recon to income (loss) before income taxes</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0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Other loss </w:t>
            </w:r>
            <w:r>
              <w:rPr>
                <w:rFonts w:ascii="Times New Roman" w:cs="Times New Roman" w:eastAsia="Times New Roman" w:hAnsi="Times New Roman"/>
                <w:sz w:val="22"/>
                <w:szCs w:val="22"/>
                <w:color w:val="auto"/>
                <w:vertAlign w:val="superscript"/>
              </w:rPr>
              <w:t>(3)</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(3,703)</w:t>
            </w: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7,628</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8,170</w:t>
            </w:r>
          </w:p>
        </w:tc>
        <w:tc>
          <w:tcPr>
            <w:tcW w:w="8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2,742</w:t>
            </w:r>
          </w:p>
        </w:tc>
        <w:tc>
          <w:tcPr>
            <w:tcW w:w="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10,929</w:t>
            </w:r>
          </w:p>
        </w:tc>
        <w:tc>
          <w:tcPr>
            <w:tcW w:w="0" w:type="dxa"/>
            <w:vAlign w:val="bottom"/>
          </w:tcPr>
          <w:p>
            <w:pPr>
              <w:spacing w:after="0"/>
              <w:rPr>
                <w:sz w:val="1"/>
                <w:szCs w:val="1"/>
                <w:color w:val="auto"/>
              </w:rPr>
            </w:pPr>
          </w:p>
        </w:tc>
      </w:tr>
      <w:tr>
        <w:trPr>
          <w:trHeight w:val="222"/>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207,465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737,275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(461,506)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483,234</w:t>
            </w:r>
          </w:p>
        </w:tc>
        <w:tc>
          <w:tcPr>
            <w:tcW w:w="0" w:type="dxa"/>
            <w:vAlign w:val="bottom"/>
          </w:tcPr>
          <w:p>
            <w:pPr>
              <w:spacing w:after="0"/>
              <w:rPr>
                <w:sz w:val="1"/>
                <w:szCs w:val="1"/>
                <w:color w:val="auto"/>
              </w:rPr>
            </w:pPr>
          </w:p>
        </w:tc>
      </w:tr>
    </w:tbl>
    <w:p>
      <w:pPr>
        <w:spacing w:after="0" w:line="308" w:lineRule="exact"/>
        <w:rPr>
          <w:sz w:val="20"/>
          <w:szCs w:val="20"/>
          <w:color w:val="auto"/>
        </w:rPr>
      </w:pPr>
    </w:p>
    <w:p>
      <w:pPr>
        <w:jc w:val="both"/>
        <w:ind w:left="320" w:hanging="315"/>
        <w:spacing w:after="0" w:line="241" w:lineRule="auto"/>
        <w:tabs>
          <w:tab w:leader="none" w:pos="30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Corporate, other and eliminations SG&amp;A expense includes corporate information technology (IT) expenses managed on a worldwide basis that are not allocated to individual segments in Australia and Canada. During the three months ended June 30, 2025 and 2024, we recognized IT expenses at corporate not allocated of $2.0 million and $2.4 million, respectively. During the six months ended June 30, 2025 and 2024, we recognized IT expenses at corporate not allocated of $4.0 million and $4.6 million, respectively.</w:t>
      </w:r>
    </w:p>
    <w:p>
      <w:pPr>
        <w:jc w:val="both"/>
        <w:ind w:left="320" w:hanging="315"/>
        <w:spacing w:after="0" w:line="229" w:lineRule="auto"/>
        <w:tabs>
          <w:tab w:leader="none" w:pos="30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Other operating expense (income) for each reportable segment primarily includes other operating expenses for the three and six months ended June 30, 2025 and 2024. In addition, for the three and six months ended June 30, 2024, other operating expense (income) includes impairment expense in Canada and the U.S. and gain on sale of McClelland Lake Lodge assets, net, in Canada.</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9" w:lineRule="auto"/>
        <w:tabs>
          <w:tab w:leader="none" w:pos="30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Other income (loss) is primarily related to interest expense, interest income and other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line="2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Cautionary Statement Regarding Forward-Looking Statements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color w:val="auto"/>
        </w:rPr>
        <w:t>This Quarterly Report on Form 10-Q contains certain “forward-looking statements” within the meaning of Section 27A of the Securities Act of 1933 and Section 21E of the Securities Exchange Act of 1934 (the Exchange Act). The Private Securities Litigation Reform Act of 1995 provides safe harbor provisions for forward-looking information. The forward-looking statements can be identified by the use of forward-looking terminology including “may,” “expect,” “anticipate,” “estimate,” “continue,” “believe” or other similar words. The forward-looking statements in this report include, but are not limited to, the statements in “Management’s Discussion and Analysis of Financial Condition and Results of Operations” relating to our expectations about the macroeconomic environment and industry conditions, including the volatility in the price of and demand for commodities, as well as our expectations about capital expenditures in 2025, beliefs with respect to liquidity needs and expectations with respect to growth strategies and opportunities, share repurchases and dividends and benefits of the Qantac Acquisition. Actual results could differ materially from those projected in the forward-looking statements as a result of a number of important factors. For a discussion of known material factors that could affect our results, refer to “Risk Factors” in this quarterly report and "Risk Factors", “Cautionary Statement Regarding Forward-Looking Statements,” and “Management’s Discussion and Analysis of Financial Condition and Results of Operations” included in our Annual Report on Form 10-K for the year ended December 31, 2024 and our subsequent SEC filings. 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 except to the extent required by applicable law.</w:t>
      </w:r>
    </w:p>
    <w:p>
      <w:pPr>
        <w:spacing w:after="0" w:line="3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i w:val="1"/>
          <w:iCs w:val="1"/>
          <w:color w:val="auto"/>
        </w:rPr>
        <w:t>In addition, in certain places in this quarterly report, we may refer to reports published by third parties that purport to describe trends or developments in the natural resources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370"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You should read the following discussion and analysis together with our consolidated financial statements and the notes to those statements included elsewhere in this Quarterly Report on Form 10-Q.</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 and Macroeconomic Environment</w:t>
      </w:r>
    </w:p>
    <w:p>
      <w:pPr>
        <w:spacing w:after="0" w:line="133" w:lineRule="exact"/>
        <w:rPr>
          <w:sz w:val="20"/>
          <w:szCs w:val="20"/>
          <w:color w:val="auto"/>
        </w:rPr>
      </w:pPr>
    </w:p>
    <w:p>
      <w:pPr>
        <w:jc w:val="both"/>
        <w:ind w:firstLine="470"/>
        <w:spacing w:after="0" w:line="244" w:lineRule="auto"/>
        <w:rPr>
          <w:sz w:val="20"/>
          <w:szCs w:val="20"/>
          <w:color w:val="auto"/>
        </w:rPr>
      </w:pPr>
      <w:r>
        <w:rPr>
          <w:rFonts w:ascii="Times New Roman" w:cs="Times New Roman" w:eastAsia="Times New Roman" w:hAnsi="Times New Roman"/>
          <w:sz w:val="17"/>
          <w:szCs w:val="17"/>
          <w:color w:val="auto"/>
        </w:rPr>
        <w:t>Demand for our hospitality services is driven primarily by ongoing operations of existing natural resource projects in Australia and Canada. Historically, initial demand for our hospitality services has been driven by our customers’ capital spending programs related to the construction and development of natural resource projects and associated infrastructure. Long-term demand for our services has been driven by natural resource production, maintenance, operation and expansion of those facilities. In general, industry capital spending programs are based on the outlook for commodity prices, production costs, economic growth, perceived political risk, global commodity supply/demand, reserve replacement requirements, estimates of resource production, annual maintenance requirements and the expectations of our customers' shareholders. As a result, demand for our hospitality services is sensitive to expected commodity prices, principally related to met (metallurgical) coal, oil, iron ore and liquefied natural gas (LNG), and the resultant impact of these commodity price expectations on our customers' spending. Other factors that can affect our business and financial results include the general global economic environment, including inflationary pressures, supply chain disruptions and labor shortages, the impact of global tariff changes and other changes to trade policies, volatility affecting the banking system and financial markets, availability of capital to the natural resource industry and regulatory changes in Australia, Canada and other markets, including governmental measures introduced to mitigate climate change.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Prices</w:t>
      </w:r>
    </w:p>
    <w:p>
      <w:pPr>
        <w:spacing w:after="0" w:line="146"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There is continued uncertainty around commodity price levels, driven by many factors including global recession fears that may result from inflationary pressures and higher interest rates, an economic slowdown in China and resultant economic stimulus by the Chinese government, the impact of changes to global tariff and trade policies, actions taken by Organization of</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Petroleum Exporting Countries Plus (OPEC+) to adjust oil production levels, geopolitical events such as the ongoing Russia/Ukraine and Middle East conflicts, United States (U.S.) oil production levels and regulatory implications on such prices. In particular, these items could cause our Canadian oil sands and pipeline customers to delay expansionary and maintenance spending and defer additional investments in their oil sands assets and in extreme cases reduce production.</w:t>
      </w:r>
    </w:p>
    <w:p>
      <w:pPr>
        <w:spacing w:after="0" w:line="3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Recent Commodity Prices.</w:t>
      </w:r>
    </w:p>
    <w:p>
      <w:pPr>
        <w:spacing w:after="0" w:line="2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Recent met coal, iron ore, West Texas Intermediate (WTI) crude, and Western Canadian Select (WCS) crude pricing trends are as follows:</w:t>
      </w:r>
    </w:p>
    <w:p>
      <w:pPr>
        <w:spacing w:after="0" w:line="106" w:lineRule="exact"/>
        <w:rPr>
          <w:sz w:val="20"/>
          <w:szCs w:val="20"/>
          <w:color w:val="auto"/>
        </w:rPr>
      </w:pPr>
    </w:p>
    <w:tbl>
      <w:tblPr>
        <w:tblLayout w:type="fixed"/>
        <w:tblInd w:w="480" w:type="dxa"/>
        <w:tblCellMar>
          <w:top w:w="0" w:type="dxa"/>
          <w:left w:w="0" w:type="dxa"/>
          <w:bottom w:w="0" w:type="dxa"/>
          <w:right w:w="0" w:type="dxa"/>
        </w:tblCellMar>
      </w:tblPr>
      <w:tr>
        <w:trPr>
          <w:trHeight w:val="253"/>
        </w:trPr>
        <w:tc>
          <w:tcPr>
            <w:tcW w:w="3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220" w:type="dxa"/>
            <w:vAlign w:val="bottom"/>
            <w:tcBorders>
              <w:bottom w:val="single" w:sz="8" w:color="auto"/>
            </w:tcBorders>
            <w:gridSpan w:val="4"/>
          </w:tcPr>
          <w:p>
            <w:pPr>
              <w:ind w:left="1000"/>
              <w:spacing w:after="0"/>
              <w:rPr>
                <w:sz w:val="20"/>
                <w:szCs w:val="20"/>
                <w:color w:val="auto"/>
              </w:rPr>
            </w:pPr>
            <w:r>
              <w:rPr>
                <w:rFonts w:ascii="Times New Roman" w:cs="Times New Roman" w:eastAsia="Times New Roman" w:hAnsi="Times New Roman"/>
                <w:sz w:val="17"/>
                <w:szCs w:val="17"/>
                <w:color w:val="auto"/>
              </w:rPr>
              <w:t xml:space="preserve">Average Price </w:t>
            </w:r>
            <w:r>
              <w:rPr>
                <w:rFonts w:ascii="Times New Roman" w:cs="Times New Roman" w:eastAsia="Times New Roman" w:hAnsi="Times New Roman"/>
                <w:sz w:val="22"/>
                <w:szCs w:val="22"/>
                <w:color w:val="auto"/>
                <w:vertAlign w:val="superscript"/>
              </w:rPr>
              <w:t>(1)</w:t>
            </w:r>
          </w:p>
        </w:tc>
        <w:tc>
          <w:tcPr>
            <w:tcW w:w="1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160"/>
              <w:spacing w:after="0" w:line="171" w:lineRule="exact"/>
              <w:rPr>
                <w:sz w:val="20"/>
                <w:szCs w:val="20"/>
                <w:color w:val="auto"/>
              </w:rPr>
            </w:pPr>
            <w:r>
              <w:rPr>
                <w:rFonts w:ascii="Times New Roman" w:cs="Times New Roman" w:eastAsia="Times New Roman" w:hAnsi="Times New Roman"/>
                <w:sz w:val="17"/>
                <w:szCs w:val="17"/>
                <w:color w:val="auto"/>
              </w:rPr>
              <w:t>Hard</w:t>
            </w:r>
          </w:p>
        </w:tc>
        <w:tc>
          <w:tcPr>
            <w:tcW w:w="15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auto"/>
              </w:rPr>
              <w:t>Iron</w:t>
            </w: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w w:val="99"/>
              </w:rPr>
              <w:t>WTI</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WCS</w:t>
            </w:r>
          </w:p>
        </w:tc>
        <w:tc>
          <w:tcPr>
            <w:tcW w:w="0" w:type="dxa"/>
            <w:vAlign w:val="bottom"/>
          </w:tcPr>
          <w:p>
            <w:pPr>
              <w:spacing w:after="0"/>
              <w:rPr>
                <w:sz w:val="1"/>
                <w:szCs w:val="1"/>
                <w:color w:val="auto"/>
              </w:rPr>
            </w:pPr>
          </w:p>
        </w:tc>
      </w:tr>
      <w:tr>
        <w:trPr>
          <w:trHeight w:val="175"/>
        </w:trPr>
        <w:tc>
          <w:tcPr>
            <w:tcW w:w="3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rPr>
              <w:t>Quarter</w:t>
            </w:r>
          </w:p>
        </w:tc>
        <w:tc>
          <w:tcPr>
            <w:tcW w:w="1600" w:type="dxa"/>
            <w:vAlign w:val="bottom"/>
            <w:gridSpan w:val="2"/>
          </w:tcPr>
          <w:p>
            <w:pPr>
              <w:ind w:left="260"/>
              <w:spacing w:after="0" w:line="176" w:lineRule="exact"/>
              <w:rPr>
                <w:sz w:val="20"/>
                <w:szCs w:val="20"/>
                <w:color w:val="auto"/>
              </w:rPr>
            </w:pPr>
            <w:r>
              <w:rPr>
                <w:rFonts w:ascii="Times New Roman" w:cs="Times New Roman" w:eastAsia="Times New Roman" w:hAnsi="Times New Roman"/>
                <w:sz w:val="17"/>
                <w:szCs w:val="17"/>
                <w:color w:val="auto"/>
              </w:rPr>
              <w:t>Coking Coal</w:t>
            </w:r>
          </w:p>
        </w:tc>
        <w:tc>
          <w:tcPr>
            <w:tcW w:w="1560" w:type="dxa"/>
            <w:vAlign w:val="bottom"/>
            <w:gridSpan w:val="2"/>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600" w:type="dxa"/>
            <w:vAlign w:val="bottom"/>
            <w:gridSpan w:val="2"/>
            <w:vMerge w:val="continue"/>
          </w:tcPr>
          <w:p>
            <w:pPr>
              <w:spacing w:after="0"/>
              <w:rPr>
                <w:sz w:val="14"/>
                <w:szCs w:val="14"/>
                <w:color w:val="auto"/>
              </w:rPr>
            </w:pPr>
          </w:p>
        </w:tc>
        <w:tc>
          <w:tcPr>
            <w:tcW w:w="1600" w:type="dxa"/>
            <w:vAlign w:val="bottom"/>
            <w:gridSpan w:val="2"/>
          </w:tcPr>
          <w:p>
            <w:pPr>
              <w:jc w:val="center"/>
              <w:ind w:right="160"/>
              <w:spacing w:after="0" w:line="170" w:lineRule="exact"/>
              <w:rPr>
                <w:sz w:val="20"/>
                <w:szCs w:val="20"/>
                <w:color w:val="auto"/>
              </w:rPr>
            </w:pPr>
            <w:r>
              <w:rPr>
                <w:rFonts w:ascii="Times New Roman" w:cs="Times New Roman" w:eastAsia="Times New Roman" w:hAnsi="Times New Roman"/>
                <w:sz w:val="17"/>
                <w:szCs w:val="17"/>
                <w:color w:val="auto"/>
              </w:rPr>
              <w:t>(Met Coal)</w:t>
            </w:r>
          </w:p>
        </w:tc>
        <w:tc>
          <w:tcPr>
            <w:tcW w:w="1560" w:type="dxa"/>
            <w:vAlign w:val="bottom"/>
            <w:gridSpan w:val="2"/>
          </w:tcPr>
          <w:p>
            <w:pPr>
              <w:jc w:val="center"/>
              <w:ind w:right="140"/>
              <w:spacing w:after="0" w:line="170" w:lineRule="exact"/>
              <w:rPr>
                <w:sz w:val="20"/>
                <w:szCs w:val="20"/>
                <w:color w:val="auto"/>
              </w:rPr>
            </w:pPr>
            <w:r>
              <w:rPr>
                <w:rFonts w:ascii="Times New Roman" w:cs="Times New Roman" w:eastAsia="Times New Roman" w:hAnsi="Times New Roman"/>
                <w:sz w:val="17"/>
                <w:szCs w:val="17"/>
                <w:color w:val="auto"/>
              </w:rPr>
              <w:t>Ore</w:t>
            </w:r>
          </w:p>
        </w:tc>
        <w:tc>
          <w:tcPr>
            <w:tcW w:w="1660" w:type="dxa"/>
            <w:vAlign w:val="bottom"/>
            <w:gridSpan w:val="2"/>
          </w:tcPr>
          <w:p>
            <w:pPr>
              <w:jc w:val="center"/>
              <w:ind w:right="120"/>
              <w:spacing w:after="0" w:line="170" w:lineRule="exact"/>
              <w:rPr>
                <w:sz w:val="20"/>
                <w:szCs w:val="20"/>
                <w:color w:val="auto"/>
              </w:rPr>
            </w:pPr>
            <w:r>
              <w:rPr>
                <w:rFonts w:ascii="Times New Roman" w:cs="Times New Roman" w:eastAsia="Times New Roman" w:hAnsi="Times New Roman"/>
                <w:sz w:val="17"/>
                <w:szCs w:val="17"/>
                <w:color w:val="auto"/>
              </w:rPr>
              <w:t>Crude</w:t>
            </w:r>
          </w:p>
        </w:tc>
        <w:tc>
          <w:tcPr>
            <w:tcW w:w="156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color w:val="auto"/>
              </w:rPr>
              <w:t>Crude</w:t>
            </w:r>
          </w:p>
        </w:tc>
        <w:tc>
          <w:tcPr>
            <w:tcW w:w="0" w:type="dxa"/>
            <w:vAlign w:val="bottom"/>
          </w:tcPr>
          <w:p>
            <w:pPr>
              <w:spacing w:after="0"/>
              <w:rPr>
                <w:sz w:val="1"/>
                <w:szCs w:val="1"/>
                <w:color w:val="auto"/>
              </w:rPr>
            </w:pPr>
          </w:p>
        </w:tc>
      </w:tr>
      <w:tr>
        <w:trPr>
          <w:trHeight w:val="222"/>
        </w:trPr>
        <w:tc>
          <w:tcPr>
            <w:tcW w:w="36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ended</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(per tonne)</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(per tonne)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(per bbl)</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(per bbl)</w:t>
            </w:r>
          </w:p>
        </w:tc>
        <w:tc>
          <w:tcPr>
            <w:tcW w:w="0" w:type="dxa"/>
            <w:vAlign w:val="bottom"/>
          </w:tcPr>
          <w:p>
            <w:pPr>
              <w:spacing w:after="0"/>
              <w:rPr>
                <w:sz w:val="1"/>
                <w:szCs w:val="1"/>
                <w:color w:val="auto"/>
              </w:rPr>
            </w:pPr>
          </w:p>
        </w:tc>
      </w:tr>
      <w:tr>
        <w:trPr>
          <w:trHeight w:val="215"/>
        </w:trPr>
        <w:tc>
          <w:tcPr>
            <w:tcW w:w="3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Third Quarter through July 25, 2025</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175.80</w:t>
            </w:r>
          </w:p>
        </w:tc>
        <w:tc>
          <w:tcPr>
            <w:tcW w:w="1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94.39</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67.08</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54.47</w:t>
            </w:r>
          </w:p>
        </w:tc>
        <w:tc>
          <w:tcPr>
            <w:tcW w:w="0" w:type="dxa"/>
            <w:vAlign w:val="bottom"/>
          </w:tcPr>
          <w:p>
            <w:pPr>
              <w:spacing w:after="0"/>
              <w:rPr>
                <w:sz w:val="1"/>
                <w:szCs w:val="1"/>
                <w:color w:val="auto"/>
              </w:rPr>
            </w:pPr>
          </w:p>
        </w:tc>
      </w:tr>
      <w:tr>
        <w:trPr>
          <w:trHeight w:val="222"/>
        </w:trPr>
        <w:tc>
          <w:tcPr>
            <w:tcW w:w="3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6/30/2025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186.10</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92.70</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53.15</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3/31/2025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185.13</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97.25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58.27</w:t>
            </w:r>
          </w:p>
        </w:tc>
        <w:tc>
          <w:tcPr>
            <w:tcW w:w="0" w:type="dxa"/>
            <w:vAlign w:val="bottom"/>
          </w:tcPr>
          <w:p>
            <w:pPr>
              <w:spacing w:after="0"/>
              <w:rPr>
                <w:sz w:val="1"/>
                <w:szCs w:val="1"/>
                <w:color w:val="auto"/>
              </w:rPr>
            </w:pPr>
          </w:p>
        </w:tc>
      </w:tr>
      <w:tr>
        <w:trPr>
          <w:trHeight w:val="222"/>
        </w:trPr>
        <w:tc>
          <w:tcPr>
            <w:tcW w:w="3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12/31/2024</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203.50</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96.00</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57.50</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9/30/2024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210.74</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59.97</w:t>
            </w:r>
          </w:p>
        </w:tc>
        <w:tc>
          <w:tcPr>
            <w:tcW w:w="0" w:type="dxa"/>
            <w:vAlign w:val="bottom"/>
          </w:tcPr>
          <w:p>
            <w:pPr>
              <w:spacing w:after="0"/>
              <w:rPr>
                <w:sz w:val="1"/>
                <w:szCs w:val="1"/>
                <w:color w:val="auto"/>
              </w:rPr>
            </w:pPr>
          </w:p>
        </w:tc>
      </w:tr>
      <w:tr>
        <w:trPr>
          <w:trHeight w:val="222"/>
        </w:trPr>
        <w:tc>
          <w:tcPr>
            <w:tcW w:w="3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6/30/2024</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242.93</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106.01</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67.24</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3/31/2024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307.68</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59.48</w:t>
            </w:r>
          </w:p>
        </w:tc>
        <w:tc>
          <w:tcPr>
            <w:tcW w:w="0" w:type="dxa"/>
            <w:vAlign w:val="bottom"/>
          </w:tcPr>
          <w:p>
            <w:pPr>
              <w:spacing w:after="0"/>
              <w:rPr>
                <w:sz w:val="1"/>
                <w:szCs w:val="1"/>
                <w:color w:val="auto"/>
              </w:rPr>
            </w:pPr>
          </w:p>
        </w:tc>
      </w:tr>
      <w:tr>
        <w:trPr>
          <w:trHeight w:val="222"/>
        </w:trPr>
        <w:tc>
          <w:tcPr>
            <w:tcW w:w="3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12/31/2023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332.24</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122.24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55.31</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9/30/2023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260.12</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66.20</w:t>
            </w:r>
          </w:p>
        </w:tc>
        <w:tc>
          <w:tcPr>
            <w:tcW w:w="0" w:type="dxa"/>
            <w:vAlign w:val="bottom"/>
          </w:tcPr>
          <w:p>
            <w:pPr>
              <w:spacing w:after="0"/>
              <w:rPr>
                <w:sz w:val="1"/>
                <w:szCs w:val="1"/>
                <w:color w:val="auto"/>
              </w:rPr>
            </w:pPr>
          </w:p>
        </w:tc>
      </w:tr>
      <w:tr>
        <w:trPr>
          <w:trHeight w:val="227"/>
        </w:trPr>
        <w:tc>
          <w:tcPr>
            <w:tcW w:w="3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6/30/2023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243.54</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106.98</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60.25</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left="940" w:hanging="308"/>
        <w:spacing w:after="0" w:line="227" w:lineRule="auto"/>
        <w:tabs>
          <w:tab w:leader="none" w:pos="92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Source: Hard coking prices are from IHS Markit, iron ore prices and WCS crude prices are from Bloomberg and WTI crude prices are from U.S. Energy Information Administration.</w:t>
      </w:r>
    </w:p>
    <w:p>
      <w:pPr>
        <w:spacing w:after="0" w:line="201" w:lineRule="exact"/>
        <w:rPr>
          <w:sz w:val="20"/>
          <w:szCs w:val="20"/>
          <w:color w:val="auto"/>
        </w:rPr>
      </w:pPr>
    </w:p>
    <w:p>
      <w:pPr>
        <w:jc w:val="both"/>
        <w:ind w:firstLine="470"/>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Met Coal. </w:t>
      </w:r>
      <w:r>
        <w:rPr>
          <w:rFonts w:ascii="Times New Roman" w:cs="Times New Roman" w:eastAsia="Times New Roman" w:hAnsi="Times New Roman"/>
          <w:sz w:val="17"/>
          <w:szCs w:val="17"/>
          <w:color w:val="auto"/>
        </w:rPr>
        <w:t>In Australia, 86% of our Australian owned rooms are located in the Bowen Basin of Queensland, Australia and primarily serve met coal mines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that region. Met coal pricing and production growth in the Bowen Basin region is predominantly influenced by the level of global steel production, which remained subdued with negative growth in the second quarter of 2025. China, Europe and Japan all experienced negative growth during January through June 2025, while India continues to see consistent positive growth. Global tariff changes, recession fears and associated business uncertainty are weighing on current and short-term global steel production.</w:t>
      </w:r>
    </w:p>
    <w:p>
      <w:pPr>
        <w:spacing w:after="0" w:line="93" w:lineRule="exact"/>
        <w:rPr>
          <w:sz w:val="20"/>
          <w:szCs w:val="20"/>
          <w:color w:val="auto"/>
        </w:rPr>
      </w:pPr>
    </w:p>
    <w:p>
      <w:pPr>
        <w:jc w:val="both"/>
        <w:ind w:firstLine="470"/>
        <w:spacing w:after="0" w:line="279" w:lineRule="auto"/>
        <w:rPr>
          <w:sz w:val="20"/>
          <w:szCs w:val="20"/>
          <w:color w:val="auto"/>
        </w:rPr>
      </w:pPr>
      <w:r>
        <w:rPr>
          <w:rFonts w:ascii="Times New Roman" w:cs="Times New Roman" w:eastAsia="Times New Roman" w:hAnsi="Times New Roman"/>
          <w:sz w:val="17"/>
          <w:szCs w:val="17"/>
          <w:color w:val="auto"/>
        </w:rPr>
        <w:t>Global steel production decreased by 2.2% for the six months through June 2025 compared to the same period of 2024. As of July 25, 2025, met coal spot prices were $174.10 per tonne.</w:t>
      </w:r>
    </w:p>
    <w:p>
      <w:pPr>
        <w:spacing w:after="0" w:line="81" w:lineRule="exact"/>
        <w:rPr>
          <w:sz w:val="20"/>
          <w:szCs w:val="20"/>
          <w:color w:val="auto"/>
        </w:rPr>
      </w:pPr>
    </w:p>
    <w:p>
      <w:pPr>
        <w:jc w:val="both"/>
        <w:ind w:firstLine="470"/>
        <w:spacing w:after="0" w:line="279" w:lineRule="auto"/>
        <w:rPr>
          <w:sz w:val="20"/>
          <w:szCs w:val="20"/>
          <w:color w:val="auto"/>
        </w:rPr>
      </w:pPr>
      <w:r>
        <w:rPr>
          <w:rFonts w:ascii="Times New Roman" w:cs="Times New Roman" w:eastAsia="Times New Roman" w:hAnsi="Times New Roman"/>
          <w:sz w:val="17"/>
          <w:szCs w:val="17"/>
          <w:color w:val="auto"/>
        </w:rPr>
        <w:t>Met coal prices have remained between $168 and $198 per tonne during the first half of 2025, since dropping below $200 per tonne in late 2024. Low prices are impacted by lower steel production driven by lower demand and trader reselling of met coal inventories.</w:t>
      </w:r>
    </w:p>
    <w:p>
      <w:pPr>
        <w:spacing w:after="0" w:line="68" w:lineRule="exact"/>
        <w:rPr>
          <w:sz w:val="20"/>
          <w:szCs w:val="20"/>
          <w:color w:val="auto"/>
        </w:rPr>
      </w:pPr>
    </w:p>
    <w:p>
      <w:pPr>
        <w:jc w:val="both"/>
        <w:ind w:firstLine="470"/>
        <w:spacing w:after="0" w:line="253" w:lineRule="auto"/>
        <w:rPr>
          <w:sz w:val="20"/>
          <w:szCs w:val="20"/>
          <w:color w:val="auto"/>
        </w:rPr>
      </w:pPr>
      <w:r>
        <w:rPr>
          <w:rFonts w:ascii="Times New Roman" w:cs="Times New Roman" w:eastAsia="Times New Roman" w:hAnsi="Times New Roman"/>
          <w:sz w:val="17"/>
          <w:szCs w:val="17"/>
          <w:color w:val="auto"/>
        </w:rPr>
        <w:t>In a low met coal price environment, producers are under increasing pressure to re-evaluate their production levels due to reduced operating margins. An improvement in met coal prices is contingent upon increased demand for met coal, which would be driven by improving steel production along with a tightening in supply related to producer maintenance activity and production curtailment from higher cost suppliers. Such improvements in the supply and demand fundamentals for met coal may be impacted by ongoing geopolitical tensions associated with global tariffs and trade agreements.</w:t>
      </w:r>
    </w:p>
    <w:p>
      <w:pPr>
        <w:spacing w:after="0" w:line="191" w:lineRule="exact"/>
        <w:rPr>
          <w:sz w:val="20"/>
          <w:szCs w:val="20"/>
          <w:color w:val="auto"/>
        </w:rPr>
      </w:pPr>
    </w:p>
    <w:p>
      <w:pPr>
        <w:jc w:val="both"/>
        <w:ind w:firstLine="470"/>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 xml:space="preserve">Iron Ore. </w:t>
      </w:r>
      <w:r>
        <w:rPr>
          <w:rFonts w:ascii="Times New Roman" w:cs="Times New Roman" w:eastAsia="Times New Roman" w:hAnsi="Times New Roman"/>
          <w:sz w:val="17"/>
          <w:szCs w:val="17"/>
          <w:color w:val="auto"/>
        </w:rPr>
        <w:t>Iron ore prices declined to average $92.70 per tonne during the second quarter of 2025. Analysts expect iron ore prices to continue to be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subdued for the remainder of 2025, where strong supply is maintained by the major producers against reduced steel demand and production. Further new iron ore supply to the market may be delayed and some supply rationalization is possible with continuing lower prices, as suppliers review current production levels in a low iron ore price environment.</w:t>
      </w:r>
    </w:p>
    <w:p>
      <w:pPr>
        <w:spacing w:after="0" w:line="2" w:lineRule="exact"/>
        <w:rPr>
          <w:sz w:val="20"/>
          <w:szCs w:val="20"/>
          <w:color w:val="auto"/>
        </w:rPr>
      </w:pPr>
    </w:p>
    <w:p>
      <w:pPr>
        <w:jc w:val="both"/>
        <w:ind w:firstLine="470"/>
        <w:spacing w:after="0" w:line="249" w:lineRule="auto"/>
        <w:rPr>
          <w:sz w:val="20"/>
          <w:szCs w:val="20"/>
          <w:color w:val="auto"/>
        </w:rPr>
      </w:pPr>
      <w:r>
        <w:rPr>
          <w:rFonts w:ascii="Times New Roman" w:cs="Times New Roman" w:eastAsia="Times New Roman" w:hAnsi="Times New Roman"/>
          <w:sz w:val="17"/>
          <w:szCs w:val="17"/>
          <w:b w:val="1"/>
          <w:bCs w:val="1"/>
          <w:i w:val="1"/>
          <w:iCs w:val="1"/>
          <w:color w:val="auto"/>
        </w:rPr>
        <w:t xml:space="preserve">WTI Crude. </w:t>
      </w:r>
      <w:r>
        <w:rPr>
          <w:rFonts w:ascii="Times New Roman" w:cs="Times New Roman" w:eastAsia="Times New Roman" w:hAnsi="Times New Roman"/>
          <w:sz w:val="17"/>
          <w:szCs w:val="17"/>
          <w:color w:val="auto"/>
        </w:rPr>
        <w:t>In an effort to retain and recapture global market share, OPEC+ began reversing previously implemented production cuts at the beginning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second quarter of 2025, increasing production despite flattening global demand for oil. The combined impact of these factors reduced WTI prices, which are down 9% year-to-date in 2025. OPEC+ has announced further production increases planned for August 2025 which will likely put further downward pressure on oil prices. Forecasts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currently have oil prices averaging $65.33 per barrel in the second half of 2025. In light of this macroeconomic backdrop, our Canadian oil sands customers are increasingly looking to reduce costs and headcounts.</w:t>
      </w:r>
    </w:p>
    <w:p>
      <w:pPr>
        <w:spacing w:after="0" w:line="77" w:lineRule="exact"/>
        <w:rPr>
          <w:sz w:val="20"/>
          <w:szCs w:val="20"/>
          <w:color w:val="auto"/>
        </w:rPr>
      </w:pPr>
    </w:p>
    <w:p>
      <w:pPr>
        <w:jc w:val="both"/>
        <w:ind w:firstLine="470"/>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WCS Crude. </w:t>
      </w:r>
      <w:r>
        <w:rPr>
          <w:rFonts w:ascii="Times New Roman" w:cs="Times New Roman" w:eastAsia="Times New Roman" w:hAnsi="Times New Roman"/>
          <w:sz w:val="17"/>
          <w:szCs w:val="17"/>
          <w:color w:val="auto"/>
        </w:rPr>
        <w:t>In Canada, WCS crude is the benchmark price for our oil sands customers. Pricing for WCS is driven by several factors, including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underlying price for WTI crude, the availability of transportation infrastructure (consisting of pipelines and crude by railcar), refinery blending requirements and governmental regulation. Historically, WCS has traded at a discount to WTI, creating a “WCS Differential,” due to transportation costs and capacity restrictions to move Canadian heavy oil production to refineries, primarily along the U.S. Gulf Coast. The WCS Differential has varied depending on the extent of transportation capacity availability.</w:t>
      </w:r>
    </w:p>
    <w:p>
      <w:pPr>
        <w:spacing w:after="0" w:line="93" w:lineRule="exact"/>
        <w:rPr>
          <w:sz w:val="20"/>
          <w:szCs w:val="20"/>
          <w:color w:val="auto"/>
        </w:rPr>
      </w:pPr>
    </w:p>
    <w:p>
      <w:pPr>
        <w:jc w:val="both"/>
        <w:ind w:firstLine="470"/>
        <w:spacing w:after="0" w:line="250" w:lineRule="auto"/>
        <w:rPr>
          <w:sz w:val="20"/>
          <w:szCs w:val="20"/>
          <w:color w:val="auto"/>
        </w:rPr>
      </w:pPr>
      <w:r>
        <w:rPr>
          <w:rFonts w:ascii="Times New Roman" w:cs="Times New Roman" w:eastAsia="Times New Roman" w:hAnsi="Times New Roman"/>
          <w:sz w:val="17"/>
          <w:szCs w:val="17"/>
          <w:color w:val="auto"/>
        </w:rPr>
        <w:t>WCS prices in the second quarter of 2025 averaged $53.15 per barrel compared to an average of $67.24 in the second quarter of 2024. The WCS Differential decreased from $13.49 per barrel at the end of the fourth quarter of 2024 to $11.67 at the end of the second quarter of 2025. Further, the U.S. Administration has implemented and amended several new tariffs over the past several months, including a 10% tariff on energy resources imported to the U. S. from Canada. Implementation of tariffs could have adverse impact on our Canadian customers profit margins, which may in turn reduce their spending on our accommodations and services.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w:t>
      </w:r>
    </w:p>
    <w:p>
      <w:pPr>
        <w:spacing w:after="0" w:line="142"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Qantac Acquisition</w:t>
      </w:r>
      <w:r>
        <w:rPr>
          <w:rFonts w:ascii="Times New Roman" w:cs="Times New Roman" w:eastAsia="Times New Roman" w:hAnsi="Times New Roman"/>
          <w:sz w:val="17"/>
          <w:szCs w:val="17"/>
          <w:color w:val="auto"/>
        </w:rPr>
        <w:t>. On May 6, 2025, we completed the Qantac Acquisition located in Queensland, Australia, which included four villages with 1,340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rooms in Australia’s Bowen Basin and the associated accommodation assets, land and customer contracts. See Note 6. Asset Acquisition to the notes to the unaudited consolidated financial statements included in Item 1 of this quarterly report for further discussion.</w:t>
      </w:r>
    </w:p>
    <w:p>
      <w:pPr>
        <w:spacing w:after="0" w:line="183" w:lineRule="exact"/>
        <w:rPr>
          <w:sz w:val="20"/>
          <w:szCs w:val="20"/>
          <w:color w:val="auto"/>
        </w:rPr>
      </w:pPr>
    </w:p>
    <w:p>
      <w:pPr>
        <w:jc w:val="both"/>
        <w:ind w:firstLine="47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Inflationary Pressures. </w:t>
      </w:r>
      <w:r>
        <w:rPr>
          <w:rFonts w:ascii="Times New Roman" w:cs="Times New Roman" w:eastAsia="Times New Roman" w:hAnsi="Times New Roman"/>
          <w:sz w:val="17"/>
          <w:szCs w:val="17"/>
          <w:color w:val="auto"/>
        </w:rPr>
        <w:t>Since 2023, price increases resulting from pandemic-related inflation and supply chain concerns have, and are expected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continue to have, a negative impact on our labor and food costs, as well as consumable costs such as fuel. Lingering inflation from the pandemic has recently been exacerbated by changes to global tariffs and trade policies. We are managing inflation risk with negotiated service scope changes and contractual protections. Although inflation resulting from global tariffs implemented or threatened by the U.S. administration, and the resulting retaliations by its trading partners, did not materially impact our cost structure in the second quarter of 2025, concerns remain that inflationary pressures could return in the second half of 2025.</w:t>
      </w:r>
    </w:p>
    <w:p>
      <w:pPr>
        <w:spacing w:after="0" w:line="200" w:lineRule="exact"/>
        <w:rPr>
          <w:sz w:val="20"/>
          <w:szCs w:val="20"/>
          <w:color w:val="auto"/>
        </w:rPr>
      </w:pPr>
    </w:p>
    <w:p>
      <w:pPr>
        <w:spacing w:after="0" w:line="210" w:lineRule="exact"/>
        <w:rPr>
          <w:sz w:val="20"/>
          <w:szCs w:val="20"/>
          <w:color w:val="auto"/>
        </w:rPr>
      </w:pPr>
    </w:p>
    <w:p>
      <w:pPr>
        <w:jc w:val="both"/>
        <w:ind w:firstLine="47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Labor Shortages. </w:t>
      </w:r>
      <w:r>
        <w:rPr>
          <w:rFonts w:ascii="Times New Roman" w:cs="Times New Roman" w:eastAsia="Times New Roman" w:hAnsi="Times New Roman"/>
          <w:sz w:val="17"/>
          <w:szCs w:val="17"/>
          <w:color w:val="auto"/>
        </w:rPr>
        <w:t>In addition to the macro inflationary impacts on labor costs noted above, we continue to be impacted by increased staff costs as a result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hospitality labor shortages in Australia due to significantly reduced migration in and around Australia affecting labor availability, which has subsequently led to an increased reliance on more expensive temporary labor resources.</w:t>
      </w:r>
    </w:p>
    <w:p>
      <w:pPr>
        <w:spacing w:after="0" w:line="183" w:lineRule="exact"/>
        <w:rPr>
          <w:sz w:val="20"/>
          <w:szCs w:val="20"/>
          <w:color w:val="auto"/>
        </w:rPr>
      </w:pPr>
    </w:p>
    <w:p>
      <w:pPr>
        <w:jc w:val="both"/>
        <w:ind w:firstLine="47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LNG. </w:t>
      </w:r>
      <w:r>
        <w:rPr>
          <w:rFonts w:ascii="Times New Roman" w:cs="Times New Roman" w:eastAsia="Times New Roman" w:hAnsi="Times New Roman"/>
          <w:sz w:val="17"/>
          <w:szCs w:val="17"/>
          <w:color w:val="auto"/>
        </w:rPr>
        <w:t>Our Sitka Lodge supports the LNG Canada (LNGC) project and related pipeline projects (specifically, the Coastal GasLink Pipeline, the pipeline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constructed to transport natural gas feedstock to LNGC). Construction activity of Phase 1 of the Kitimat LNG Facility has been completed and commercial operations commenced at the end of June 2025. The Coastal GasLink Pipeline was completed in 2024. As such, we expect continued lower occupancy at our Sitka Lodge in the near-term until subsequent phases of the LNGC project are approved and commence, or additional construction activity in the region, drive increased occupancy demand.</w:t>
      </w:r>
    </w:p>
    <w:p>
      <w:pPr>
        <w:spacing w:after="0" w:line="1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From a macroeconomic standpoint, LNG demand has continued to grow, reinforcing the need for the global LNG industry to expand access to natural gas.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Evolving government energy policies around the world have amplified support for cleaner energy supply, creating more opportunities for natural gas and LNG.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conflicts between Russia/Ukraine and in the Middle East have further highlighted the need for secure natural gas supply globally, particularly in Europe.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Accordingly, we expect additional investment in LNG supply will be needed to meet the resulting expected long-term LNG demand growth.</w:t>
      </w:r>
    </w:p>
    <w:p>
      <w:pPr>
        <w:spacing w:after="0" w:line="227" w:lineRule="exact"/>
        <w:rPr>
          <w:sz w:val="20"/>
          <w:szCs w:val="20"/>
          <w:color w:val="auto"/>
        </w:rPr>
      </w:pPr>
    </w:p>
    <w:p>
      <w:pPr>
        <w:jc w:val="both"/>
        <w:ind w:firstLine="47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Foreign Currency Exchange Rates. </w:t>
      </w:r>
      <w:r>
        <w:rPr>
          <w:rFonts w:ascii="Times New Roman" w:cs="Times New Roman" w:eastAsia="Times New Roman" w:hAnsi="Times New Roman"/>
          <w:sz w:val="17"/>
          <w:szCs w:val="17"/>
          <w:color w:val="auto"/>
        </w:rPr>
        <w:t>Exchange rates between the U.S. dollar and each of the Australian dollar and the Canadian dollar influence our U.S.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dollar reported financial results. Our business has historically derived the vast majority of its revenues and operating income (loss) in Australia and Canada. These revenues and profits/losses are translated into U.S. dollars for financial reporting purposes under U.S. Generally Accepted Accounting Principles. The following tables summarize the fluctuations in the exchange rates between the U.S. dollar and each of the Australian dollar and the Canadian dollar: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35" w:lineRule="exact"/>
        <w:rPr>
          <w:sz w:val="20"/>
          <w:szCs w:val="20"/>
          <w:color w:val="auto"/>
        </w:rPr>
      </w:pPr>
    </w:p>
    <w:tbl>
      <w:tblPr>
        <w:tblLayout w:type="fixed"/>
        <w:tblInd w:w="480" w:type="dxa"/>
        <w:tblCellMar>
          <w:top w:w="0" w:type="dxa"/>
          <w:left w:w="0" w:type="dxa"/>
          <w:bottom w:w="0" w:type="dxa"/>
          <w:right w:w="0" w:type="dxa"/>
        </w:tblCellMar>
      </w:tblPr>
      <w:tr>
        <w:trPr>
          <w:trHeight w:val="195"/>
        </w:trPr>
        <w:tc>
          <w:tcPr>
            <w:tcW w:w="3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4"/>
          </w:tcPr>
          <w:p>
            <w:pPr>
              <w:ind w:left="2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4"/>
          </w:tcPr>
          <w:p>
            <w:pPr>
              <w:jc w:val="center"/>
              <w:ind w:left="15"/>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640" w:type="dxa"/>
            <w:vAlign w:val="bottom"/>
          </w:tcPr>
          <w:p>
            <w:pPr>
              <w:spacing w:after="0"/>
              <w:rPr>
                <w:sz w:val="17"/>
                <w:szCs w:val="17"/>
                <w:color w:val="auto"/>
              </w:rPr>
            </w:pPr>
          </w:p>
        </w:tc>
      </w:tr>
      <w:tr>
        <w:trPr>
          <w:trHeight w:val="229"/>
        </w:trPr>
        <w:tc>
          <w:tcPr>
            <w:tcW w:w="34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4"/>
          </w:tcPr>
          <w:p>
            <w:pPr>
              <w:jc w:val="center"/>
              <w:ind w:left="15"/>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640" w:type="dxa"/>
            <w:vAlign w:val="bottom"/>
            <w:tcBorders>
              <w:bottom w:val="single" w:sz="8" w:color="auto"/>
            </w:tcBorders>
          </w:tcPr>
          <w:p>
            <w:pPr>
              <w:spacing w:after="0"/>
              <w:rPr>
                <w:sz w:val="19"/>
                <w:szCs w:val="19"/>
                <w:color w:val="auto"/>
              </w:rPr>
            </w:pPr>
          </w:p>
        </w:tc>
      </w:tr>
      <w:tr>
        <w:trPr>
          <w:trHeight w:val="201"/>
        </w:trPr>
        <w:tc>
          <w:tcPr>
            <w:tcW w:w="3440" w:type="dxa"/>
            <w:vAlign w:val="bottom"/>
          </w:tcPr>
          <w:p>
            <w:pPr>
              <w:spacing w:after="0"/>
              <w:rPr>
                <w:sz w:val="17"/>
                <w:szCs w:val="17"/>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Percentage</w:t>
            </w:r>
          </w:p>
        </w:tc>
        <w:tc>
          <w:tcPr>
            <w:tcW w:w="100" w:type="dxa"/>
            <w:vAlign w:val="bottom"/>
          </w:tcPr>
          <w:p>
            <w:pPr>
              <w:spacing w:after="0"/>
              <w:rPr>
                <w:sz w:val="17"/>
                <w:szCs w:val="17"/>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7"/>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Australian dollar to U.S. dollar</w:t>
            </w:r>
          </w:p>
        </w:tc>
        <w:tc>
          <w:tcPr>
            <w:tcW w:w="82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$0.6410</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$0.6590</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($0.018)</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(2.73)%</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$0.6343</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$0.6580</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($0.024)</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w:t>
            </w:r>
          </w:p>
        </w:tc>
      </w:tr>
      <w:tr>
        <w:trPr>
          <w:trHeight w:val="227"/>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Average Canadian dollar to U.S. dollar</w:t>
            </w:r>
          </w:p>
        </w:tc>
        <w:tc>
          <w:tcPr>
            <w:tcW w:w="8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$0.7226</w:t>
            </w:r>
          </w:p>
        </w:tc>
        <w:tc>
          <w:tcPr>
            <w:tcW w:w="12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$0.7310</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($0.008)</w:t>
            </w: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$0.7098</w:t>
            </w:r>
          </w:p>
        </w:tc>
        <w:tc>
          <w:tcPr>
            <w:tcW w:w="10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$0.7360</w:t>
            </w:r>
          </w:p>
        </w:tc>
        <w:tc>
          <w:tcPr>
            <w:tcW w:w="1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($0.026)</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w:t>
            </w:r>
          </w:p>
        </w:tc>
      </w:tr>
    </w:tbl>
    <w:p>
      <w:pPr>
        <w:spacing w:after="0" w:line="105" w:lineRule="exact"/>
        <w:rPr>
          <w:sz w:val="20"/>
          <w:szCs w:val="20"/>
          <w:color w:val="auto"/>
        </w:rPr>
      </w:pPr>
    </w:p>
    <w:tbl>
      <w:tblPr>
        <w:tblLayout w:type="fixed"/>
        <w:tblInd w:w="1620" w:type="dxa"/>
        <w:tblCellMar>
          <w:top w:w="0" w:type="dxa"/>
          <w:left w:w="0" w:type="dxa"/>
          <w:bottom w:w="0" w:type="dxa"/>
          <w:right w:w="0" w:type="dxa"/>
        </w:tblCellMar>
      </w:tblPr>
      <w:tr>
        <w:trPr>
          <w:trHeight w:val="229"/>
        </w:trPr>
        <w:tc>
          <w:tcPr>
            <w:tcW w:w="31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0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201"/>
        </w:trPr>
        <w:tc>
          <w:tcPr>
            <w:tcW w:w="3100" w:type="dxa"/>
            <w:vAlign w:val="bottom"/>
          </w:tcPr>
          <w:p>
            <w:pPr>
              <w:spacing w:after="0"/>
              <w:rPr>
                <w:sz w:val="17"/>
                <w:szCs w:val="17"/>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Percentage</w:t>
            </w:r>
          </w:p>
        </w:tc>
      </w:tr>
      <w:tr>
        <w:trPr>
          <w:trHeight w:val="217"/>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Australian dollar to U.S. dollar</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$0.6559</w:t>
            </w:r>
          </w:p>
        </w:tc>
        <w:tc>
          <w:tcPr>
            <w:tcW w:w="1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$0.6196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$0.036</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5.86%</w:t>
            </w:r>
          </w:p>
        </w:tc>
      </w:tr>
      <w:tr>
        <w:trPr>
          <w:trHeight w:val="227"/>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Canadian dollar to U.S. dollar</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$0.7330</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$0.6950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$0.038</w:t>
            </w:r>
          </w:p>
        </w:tc>
        <w:tc>
          <w:tcPr>
            <w:tcW w:w="1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5.47%</w:t>
            </w:r>
          </w:p>
        </w:tc>
      </w:tr>
    </w:tbl>
    <w:p>
      <w:pPr>
        <w:spacing w:after="0" w:line="173" w:lineRule="exact"/>
        <w:rPr>
          <w:sz w:val="20"/>
          <w:szCs w:val="20"/>
          <w:color w:val="auto"/>
        </w:rPr>
      </w:pPr>
    </w:p>
    <w:p>
      <w:pPr>
        <w:ind w:right="200" w:firstLine="470"/>
        <w:spacing w:after="0" w:line="279" w:lineRule="auto"/>
        <w:rPr>
          <w:sz w:val="20"/>
          <w:szCs w:val="20"/>
          <w:color w:val="auto"/>
        </w:rPr>
      </w:pPr>
      <w:r>
        <w:rPr>
          <w:rFonts w:ascii="Times New Roman" w:cs="Times New Roman" w:eastAsia="Times New Roman" w:hAnsi="Times New Roman"/>
          <w:sz w:val="17"/>
          <w:szCs w:val="17"/>
          <w:color w:val="auto"/>
        </w:rPr>
        <w:t>These fluctuations of the Australian and Canadian dollars have had and will continue to have an impact on the translation of earnings generated from our Australian and Canadian subsidiaries and, therefore, our financial results.</w:t>
      </w:r>
    </w:p>
    <w:p>
      <w:pPr>
        <w:spacing w:after="0" w:line="169" w:lineRule="exact"/>
        <w:rPr>
          <w:sz w:val="20"/>
          <w:szCs w:val="20"/>
          <w:color w:val="auto"/>
        </w:rPr>
      </w:pPr>
    </w:p>
    <w:p>
      <w:pPr>
        <w:jc w:val="both"/>
        <w:ind w:right="100" w:firstLine="470"/>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Capital Expenditures. </w:t>
      </w:r>
      <w:r>
        <w:rPr>
          <w:rFonts w:ascii="Times New Roman" w:cs="Times New Roman" w:eastAsia="Times New Roman" w:hAnsi="Times New Roman"/>
          <w:sz w:val="17"/>
          <w:szCs w:val="17"/>
          <w:color w:val="auto"/>
        </w:rPr>
        <w:t>We continue to monitor the global economy, commodity prices, demand for met coal, crude oil, LNG and iron ore, inflation, trade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policy and the resultant impact on the capital spending plans of our customers in order to plan our business activities. We currently expect that our 2025 capital expenditures will be in the range of approximately $20 million to $25 million, compared to 2024 capital expenditures of $26.1 million. We may adjust our capital expenditure plans in the future as we continue to monitor customer activity.</w:t>
      </w:r>
    </w:p>
    <w:p>
      <w:pPr>
        <w:spacing w:after="0" w:line="1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See “Liquidity and Capital Resources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below for further discussion of our 2025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5" w:name="page26"/>
    <w:bookmarkEnd w:id="25"/>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57" w:lineRule="exact"/>
        <w:rPr>
          <w:sz w:val="20"/>
          <w:szCs w:val="20"/>
          <w:color w:val="auto"/>
        </w:rPr>
      </w:pPr>
    </w:p>
    <w:p>
      <w:pPr>
        <w:jc w:val="both"/>
        <w:ind w:firstLine="470"/>
        <w:spacing w:after="0" w:line="298" w:lineRule="auto"/>
        <w:rPr>
          <w:sz w:val="20"/>
          <w:szCs w:val="20"/>
          <w:color w:val="auto"/>
        </w:rPr>
      </w:pPr>
      <w:r>
        <w:rPr>
          <w:rFonts w:ascii="Times New Roman" w:cs="Times New Roman" w:eastAsia="Times New Roman" w:hAnsi="Times New Roman"/>
          <w:sz w:val="17"/>
          <w:szCs w:val="17"/>
          <w:i w:val="1"/>
          <w:iCs w:val="1"/>
          <w:color w:val="auto"/>
        </w:rPr>
        <w:t>Unless otherwise indicated, discussion of results for the three and six months ended June 30, 2025, is based on a comparison to the corresponding period of 2024.</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Results of Operations – Three Months Ended June 30, 2025 Compared to Three Months Ended June 30, 2024</w:t>
      </w:r>
    </w:p>
    <w:p>
      <w:pPr>
        <w:spacing w:after="0" w:line="321"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89"/>
        </w:trPr>
        <w:tc>
          <w:tcPr>
            <w:tcW w:w="50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88"/>
        </w:trPr>
        <w:tc>
          <w:tcPr>
            <w:tcW w:w="50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1"/>
        </w:trPr>
        <w:tc>
          <w:tcPr>
            <w:tcW w:w="5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
        </w:trPr>
        <w:tc>
          <w:tcPr>
            <w:tcW w:w="5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9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Australia</w:t>
            </w:r>
          </w:p>
        </w:tc>
        <w:tc>
          <w:tcPr>
            <w:tcW w:w="4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112,672</w:t>
            </w:r>
          </w:p>
        </w:tc>
        <w:tc>
          <w:tcPr>
            <w:tcW w:w="100" w:type="dxa"/>
            <w:vAlign w:val="bottom"/>
          </w:tcPr>
          <w:p>
            <w:pPr>
              <w:spacing w:after="0"/>
              <w:rPr>
                <w:sz w:val="16"/>
                <w:szCs w:val="16"/>
                <w:color w:val="auto"/>
              </w:rPr>
            </w:pPr>
          </w:p>
        </w:tc>
        <w:tc>
          <w:tcPr>
            <w:tcW w:w="540" w:type="dxa"/>
            <w:vAlign w:val="bottom"/>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108,608</w:t>
            </w:r>
          </w:p>
        </w:tc>
        <w:tc>
          <w:tcPr>
            <w:tcW w:w="120" w:type="dxa"/>
            <w:vAlign w:val="bottom"/>
          </w:tcPr>
          <w:p>
            <w:pPr>
              <w:spacing w:after="0"/>
              <w:rPr>
                <w:sz w:val="16"/>
                <w:szCs w:val="16"/>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4,064</w:t>
            </w:r>
          </w:p>
        </w:tc>
      </w:tr>
      <w:tr>
        <w:trPr>
          <w:trHeight w:val="203"/>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Canada</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50,022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79,527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(29,505)</w:t>
            </w: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w:t>
            </w:r>
          </w:p>
        </w:tc>
      </w:tr>
      <w:tr>
        <w:trPr>
          <w:trHeight w:val="196"/>
        </w:trPr>
        <w:tc>
          <w:tcPr>
            <w:tcW w:w="502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4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162,694</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188,713</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(26,019)</w:t>
            </w:r>
          </w:p>
        </w:tc>
      </w:tr>
      <w:tr>
        <w:trPr>
          <w:trHeight w:val="189"/>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Costs and expenses: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3"/>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Cost of sales and services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89"/>
        </w:trPr>
        <w:tc>
          <w:tcPr>
            <w:tcW w:w="5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Australia</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82,477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81,037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w:t>
            </w:r>
          </w:p>
        </w:tc>
      </w:tr>
      <w:tr>
        <w:trPr>
          <w:trHeight w:val="20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Canada</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39,037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58,849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(19,812)</w:t>
            </w:r>
          </w:p>
        </w:tc>
      </w:tr>
      <w:tr>
        <w:trPr>
          <w:trHeight w:val="189"/>
        </w:trPr>
        <w:tc>
          <w:tcPr>
            <w:tcW w:w="5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(931)</w:t>
            </w:r>
          </w:p>
        </w:tc>
      </w:tr>
      <w:tr>
        <w:trPr>
          <w:trHeight w:val="196"/>
        </w:trPr>
        <w:tc>
          <w:tcPr>
            <w:tcW w:w="5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121,531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140,834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(19,303)</w:t>
            </w: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17,433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3,037</w:t>
            </w:r>
          </w:p>
        </w:tc>
      </w:tr>
      <w:tr>
        <w:trPr>
          <w:trHeight w:val="203"/>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17,827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 on sale of McClelland Lake Lodge assets, net</w:t>
            </w:r>
          </w:p>
        </w:tc>
        <w:tc>
          <w:tcPr>
            <w:tcW w:w="42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203"/>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operating expense</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182"/>
        </w:trPr>
        <w:tc>
          <w:tcPr>
            <w:tcW w:w="50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159,894</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175,601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(15,707)</w:t>
            </w:r>
          </w:p>
        </w:tc>
      </w:tr>
      <w:tr>
        <w:trPr>
          <w:trHeight w:val="19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(10,312)</w:t>
            </w:r>
          </w:p>
        </w:tc>
      </w:tr>
      <w:tr>
        <w:trPr>
          <w:trHeight w:val="209"/>
        </w:trPr>
        <w:tc>
          <w:tcPr>
            <w:tcW w:w="5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9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r>
      <w:tr>
        <w:trPr>
          <w:trHeight w:val="189"/>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w:t>
            </w:r>
          </w:p>
        </w:tc>
      </w:tr>
      <w:tr>
        <w:trPr>
          <w:trHeight w:val="196"/>
        </w:trPr>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(10,978)</w:t>
            </w:r>
          </w:p>
        </w:tc>
      </w:tr>
      <w:tr>
        <w:trPr>
          <w:trHeight w:val="189"/>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(3,606)</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(3,786)</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w:t>
            </w:r>
          </w:p>
        </w:tc>
      </w:tr>
      <w:tr>
        <w:trPr>
          <w:trHeight w:val="19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(10,798)</w:t>
            </w:r>
          </w:p>
        </w:tc>
      </w:tr>
      <w:tr>
        <w:trPr>
          <w:trHeight w:val="189"/>
        </w:trPr>
        <w:tc>
          <w:tcPr>
            <w:tcW w:w="5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w:t>
            </w:r>
          </w:p>
        </w:tc>
      </w:tr>
      <w:tr>
        <w:trPr>
          <w:trHeight w:val="221"/>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 attributable to Civeo Corporation</w:t>
            </w: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(3,314)</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8,227</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(11,541)</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We reported net loss attributable to Civeo for the quarter ended June 30, 2025 of $3.3 million, or $0.25 per diluted share. Net loss included $3.2 million of shareholder activist related costs and $0.5 million of cost saving initiatives in Canada related to two lodge closures.</w:t>
      </w:r>
    </w:p>
    <w:p>
      <w:pPr>
        <w:spacing w:after="0" w:line="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We reported net income attributable to Civeo for the quarter ended June 30, 2024 of $8.2 million, or $0.56 per diluted share.</w:t>
      </w:r>
    </w:p>
    <w:p>
      <w:pPr>
        <w:spacing w:after="0" w:line="103" w:lineRule="exact"/>
        <w:rPr>
          <w:sz w:val="20"/>
          <w:szCs w:val="20"/>
          <w:color w:val="auto"/>
        </w:rPr>
      </w:pPr>
    </w:p>
    <w:p>
      <w:pPr>
        <w:jc w:val="both"/>
        <w:ind w:firstLine="470"/>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Revenues. </w:t>
      </w:r>
      <w:r>
        <w:rPr>
          <w:rFonts w:ascii="Times New Roman" w:cs="Times New Roman" w:eastAsia="Times New Roman" w:hAnsi="Times New Roman"/>
          <w:sz w:val="17"/>
          <w:szCs w:val="17"/>
          <w:color w:val="auto"/>
        </w:rPr>
        <w:t>Consolidated revenues decreased $26.0 million, or 14%, in the second quarter of 2025 compared to the second quarter of 2024. This decrease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was primarily driven by (i) lower billed rooms at our oil sands lodges in Canada as producers in the region remain focused on reducing operating costs, (ii) reduced occupancy at our Sitka Lodge in Canada as the Kitimat LNG facility was completed and commenced operations in the second quarter of 2025 and (iii) a weaker Australian dollar relative to the U.S. dollar in the second quarter of 2025 compared to the second quarter of 2024. These items were partially offset by an increase in Australia related to the Qantac Acquisition in the second quarter of 2025 and new business in our integrated services villages in Western Australia.</w:t>
      </w:r>
    </w:p>
    <w:p>
      <w:pPr>
        <w:spacing w:after="0" w:line="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assets from the Qantac Acquisition generated $4.9 million of revenues in the second quarter of 2025. See the discussion of segment results of operations below for further information.</w:t>
      </w:r>
    </w:p>
    <w:p>
      <w:pPr>
        <w:spacing w:after="0" w:line="184" w:lineRule="exact"/>
        <w:rPr>
          <w:sz w:val="20"/>
          <w:szCs w:val="20"/>
          <w:color w:val="auto"/>
        </w:rPr>
      </w:pPr>
    </w:p>
    <w:p>
      <w:pPr>
        <w:jc w:val="both"/>
        <w:ind w:firstLine="470"/>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Cost of Sales and Services. </w:t>
      </w:r>
      <w:r>
        <w:rPr>
          <w:rFonts w:ascii="Times New Roman" w:cs="Times New Roman" w:eastAsia="Times New Roman" w:hAnsi="Times New Roman"/>
          <w:sz w:val="17"/>
          <w:szCs w:val="17"/>
          <w:color w:val="auto"/>
        </w:rPr>
        <w:t>Our consolidated cost of sales and services decreased $19.3 million, or 14%, in the second quarter of 2025 compared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second quarter of 2024. This decrease was primarily driven by (i) lower costs at various lodges in Canada due to reduced occupancy levels, (ii) lower costs related to the reduced mobile asset activity in Canada from pipeline projects for which final costs were incurred in the second quarter of 2024, (iii) reduced indirect costs in Canada as a result of</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various cost reduction measures and (iv) a weaker Australian dollar relative to the U.S. dollar in the second quarter of 2025 compared to the second quarter of 2024. These items were partially offset by an increase in Australia related to the Qantac Acquisition in the second quarter of 2025 and new business in our integrated services villages in Western Australia and the associated overhead costs. See the discussion of segment results of operations below for further information.</w:t>
      </w:r>
    </w:p>
    <w:p>
      <w:pPr>
        <w:spacing w:after="0" w:line="316" w:lineRule="exact"/>
        <w:rPr>
          <w:sz w:val="20"/>
          <w:szCs w:val="20"/>
          <w:color w:val="auto"/>
        </w:rPr>
      </w:pPr>
    </w:p>
    <w:p>
      <w:pPr>
        <w:jc w:val="both"/>
        <w:ind w:firstLine="47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Selling, General and Administrative Expenses. </w:t>
      </w:r>
      <w:r>
        <w:rPr>
          <w:rFonts w:ascii="Times New Roman" w:cs="Times New Roman" w:eastAsia="Times New Roman" w:hAnsi="Times New Roman"/>
          <w:sz w:val="17"/>
          <w:szCs w:val="17"/>
          <w:color w:val="auto"/>
        </w:rPr>
        <w:t>SG&amp;A expenses increased $3.0 million, or 17%, in the second quarter of 2025 compared to the second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quarter of 2024. This increase was primarily due to higher professional fees of $3.6 million primarily due to shareholder activist related costs of $3.2 million, partially offset by lower office expenses of $0.4 million, lower share-based compensation expense of $0.3 million and a weaker Australian and Canadian dollar relative to the U.S. dollar in the second quarter of 2025 compared to the second quarter of 2024.</w:t>
      </w:r>
    </w:p>
    <w:p>
      <w:pPr>
        <w:spacing w:after="0" w:line="87" w:lineRule="exact"/>
        <w:rPr>
          <w:sz w:val="20"/>
          <w:szCs w:val="20"/>
          <w:color w:val="auto"/>
        </w:rPr>
      </w:pPr>
    </w:p>
    <w:p>
      <w:pPr>
        <w:jc w:val="both"/>
        <w:ind w:firstLine="47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Depreciation and Amortization Expense. </w:t>
      </w:r>
      <w:r>
        <w:rPr>
          <w:rFonts w:ascii="Times New Roman" w:cs="Times New Roman" w:eastAsia="Times New Roman" w:hAnsi="Times New Roman"/>
          <w:sz w:val="17"/>
          <w:szCs w:val="17"/>
          <w:color w:val="auto"/>
        </w:rPr>
        <w:t>Depreciation and amortization expense increased $0.8 million, or 5%, in the second quarter of 2025 compared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second quarter of 2024. The increase was primarily due to additional property, plant and equipment acquired through the Qantac Acquisition, partially offset by reduced depreciation expense resulting from impairments recorded in 2024 and a weaker Australian and Canadian dollar relative to the U.S. dollar in the second quarter of 2025 compared to the second quarter of 2024.</w:t>
      </w:r>
    </w:p>
    <w:p>
      <w:pPr>
        <w:spacing w:after="0" w:line="100" w:lineRule="exact"/>
        <w:rPr>
          <w:sz w:val="20"/>
          <w:szCs w:val="20"/>
          <w:color w:val="auto"/>
        </w:rPr>
      </w:pPr>
    </w:p>
    <w:p>
      <w:pPr>
        <w:jc w:val="both"/>
        <w:ind w:firstLine="47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Operating Income. </w:t>
      </w:r>
      <w:r>
        <w:rPr>
          <w:rFonts w:ascii="Times New Roman" w:cs="Times New Roman" w:eastAsia="Times New Roman" w:hAnsi="Times New Roman"/>
          <w:sz w:val="17"/>
          <w:szCs w:val="17"/>
          <w:color w:val="auto"/>
        </w:rPr>
        <w:t>Consolidated operating income decreased $10.3 million, or 79%, in the second quarter of 2025 compared to the second quarter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2024, primarily due to lower lodge occupancy in Canada in the second quarter of 2025 compared to the second quarter of 2024 and higher SG&amp;A expense, primarily due to shareholder activist related costs, in the second quarter of 2025. These items were partially offset by higher activity levels in Australia in the second quarter of 2025 compared to the second quarter of 2024.</w:t>
      </w:r>
    </w:p>
    <w:p>
      <w:pPr>
        <w:spacing w:after="0" w:line="100" w:lineRule="exact"/>
        <w:rPr>
          <w:sz w:val="20"/>
          <w:szCs w:val="20"/>
          <w:color w:val="auto"/>
        </w:rPr>
      </w:pPr>
    </w:p>
    <w:p>
      <w:pPr>
        <w:jc w:val="both"/>
        <w:ind w:firstLine="470"/>
        <w:spacing w:after="0" w:line="298" w:lineRule="auto"/>
        <w:rPr>
          <w:sz w:val="20"/>
          <w:szCs w:val="20"/>
          <w:color w:val="auto"/>
        </w:rPr>
      </w:pPr>
      <w:r>
        <w:rPr>
          <w:rFonts w:ascii="Times New Roman" w:cs="Times New Roman" w:eastAsia="Times New Roman" w:hAnsi="Times New Roman"/>
          <w:sz w:val="17"/>
          <w:szCs w:val="17"/>
          <w:b w:val="1"/>
          <w:bCs w:val="1"/>
          <w:color w:val="auto"/>
        </w:rPr>
        <w:t xml:space="preserve">Interest Expense, net. </w:t>
      </w:r>
      <w:r>
        <w:rPr>
          <w:rFonts w:ascii="Times New Roman" w:cs="Times New Roman" w:eastAsia="Times New Roman" w:hAnsi="Times New Roman"/>
          <w:sz w:val="17"/>
          <w:szCs w:val="17"/>
          <w:color w:val="auto"/>
        </w:rPr>
        <w:t>Net interest expense increased by $0.5 million, or 22%, in the second quarter of 2025 compared to the second quarter of 2024,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primarily related to higher average debt levels, partially offset by lower interest rates on credit facility borrowings during 2025 compared to 2024.</w:t>
      </w:r>
    </w:p>
    <w:p>
      <w:pPr>
        <w:spacing w:after="0" w:line="63" w:lineRule="exact"/>
        <w:rPr>
          <w:sz w:val="20"/>
          <w:szCs w:val="20"/>
          <w:color w:val="auto"/>
        </w:rPr>
      </w:pPr>
    </w:p>
    <w:p>
      <w:pPr>
        <w:jc w:val="both"/>
        <w:ind w:firstLine="47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Income Tax Expense. </w:t>
      </w:r>
      <w:r>
        <w:rPr>
          <w:rFonts w:ascii="Times New Roman" w:cs="Times New Roman" w:eastAsia="Times New Roman" w:hAnsi="Times New Roman"/>
          <w:sz w:val="17"/>
          <w:szCs w:val="17"/>
          <w:color w:val="auto"/>
        </w:rPr>
        <w:t>Our income tax expense for the three months ended June 30, 2025 totaled $3.6 million, or 1222.4% of pretax income, compared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 income tax expense of $3.8 million, or 33.6% of pretax income, for the three months ended June 30, 2024. Our effective tax rate for the three months ended June 30, 2025 and 2024 was impacted by Canada and the U.S. being considered loss jurisdictions that were removed from the annual effective tax rate computation for purposes of computing the interim tax provision.</w:t>
      </w:r>
    </w:p>
    <w:p>
      <w:pPr>
        <w:spacing w:after="0" w:line="100" w:lineRule="exact"/>
        <w:rPr>
          <w:sz w:val="20"/>
          <w:szCs w:val="20"/>
          <w:color w:val="auto"/>
        </w:rPr>
      </w:pPr>
    </w:p>
    <w:p>
      <w:pPr>
        <w:jc w:val="both"/>
        <w:ind w:firstLine="47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Other Comprehensive Income. </w:t>
      </w:r>
      <w:r>
        <w:rPr>
          <w:rFonts w:ascii="Times New Roman" w:cs="Times New Roman" w:eastAsia="Times New Roman" w:hAnsi="Times New Roman"/>
          <w:sz w:val="17"/>
          <w:szCs w:val="17"/>
          <w:color w:val="auto"/>
        </w:rPr>
        <w:t>Other comprehensive income increased $9.3 million in the second quarter of 2025 compared to the second quarter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2024, primarily as a result of foreign currency translation adjustments due to changes in the Australian and Canadian dollar exchange rates compared to the U.S. dollar. The Australian dollar exchange rate compared to the U.S. dollar increased 5% in the second quarter of 2025 compared to a 2% increase in the second quarter of 2024. The Canadian dollar exchange rate compared to the U.S. dollar increased 5% in the second quarter of 2025 compared to a 1% decrease in the second quarter of 2024.</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Results of Operations – Australian Segment</w:t>
      </w:r>
    </w:p>
    <w:p>
      <w:pPr>
        <w:spacing w:after="0" w:line="3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90"/>
        </w:trPr>
        <w:tc>
          <w:tcPr>
            <w:tcW w:w="47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9"/>
        </w:trPr>
        <w:tc>
          <w:tcPr>
            <w:tcW w:w="47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2"/>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 in thousands)</w:t>
            </w:r>
          </w:p>
        </w:tc>
        <w:tc>
          <w:tcPr>
            <w:tcW w:w="1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96"/>
        </w:trPr>
        <w:tc>
          <w:tcPr>
            <w:tcW w:w="4720" w:type="dxa"/>
            <w:vAlign w:val="bottom"/>
          </w:tcPr>
          <w:p>
            <w:pPr>
              <w:ind w:left="140"/>
              <w:spacing w:after="0" w:line="196" w:lineRule="exact"/>
              <w:rPr>
                <w:sz w:val="20"/>
                <w:szCs w:val="20"/>
                <w:color w:val="auto"/>
              </w:rPr>
            </w:pPr>
            <w:r>
              <w:rPr>
                <w:rFonts w:ascii="Times New Roman" w:cs="Times New Roman" w:eastAsia="Times New Roman" w:hAnsi="Times New Roman"/>
                <w:sz w:val="14"/>
                <w:szCs w:val="14"/>
                <w:color w:val="auto"/>
              </w:rPr>
              <w:t xml:space="preserve">Accommodation revenue </w:t>
            </w:r>
            <w:r>
              <w:rPr>
                <w:rFonts w:ascii="Times New Roman" w:cs="Times New Roman" w:eastAsia="Times New Roman" w:hAnsi="Times New Roman"/>
                <w:sz w:val="18"/>
                <w:szCs w:val="18"/>
                <w:color w:val="auto"/>
                <w:vertAlign w:val="superscript"/>
              </w:rPr>
              <w:t>(1)</w:t>
            </w:r>
          </w:p>
        </w:tc>
        <w:tc>
          <w:tcPr>
            <w:tcW w:w="110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52,682</w:t>
            </w:r>
          </w:p>
        </w:tc>
        <w:tc>
          <w:tcPr>
            <w:tcW w:w="100" w:type="dxa"/>
            <w:vAlign w:val="bottom"/>
          </w:tcPr>
          <w:p>
            <w:pPr>
              <w:spacing w:after="0"/>
              <w:rPr>
                <w:sz w:val="17"/>
                <w:szCs w:val="17"/>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48,914</w:t>
            </w:r>
          </w:p>
        </w:tc>
        <w:tc>
          <w:tcPr>
            <w:tcW w:w="100" w:type="dxa"/>
            <w:vAlign w:val="bottom"/>
          </w:tcPr>
          <w:p>
            <w:pPr>
              <w:spacing w:after="0"/>
              <w:rPr>
                <w:sz w:val="17"/>
                <w:szCs w:val="17"/>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3,768</w:t>
            </w:r>
          </w:p>
        </w:tc>
      </w:tr>
      <w:tr>
        <w:trPr>
          <w:trHeight w:val="196"/>
        </w:trPr>
        <w:tc>
          <w:tcPr>
            <w:tcW w:w="4720" w:type="dxa"/>
            <w:vAlign w:val="bottom"/>
            <w:shd w:val="clear" w:color="auto" w:fill="CCEEFF"/>
          </w:tcPr>
          <w:p>
            <w:pPr>
              <w:ind w:left="140"/>
              <w:spacing w:after="0" w:line="196" w:lineRule="exact"/>
              <w:rPr>
                <w:sz w:val="20"/>
                <w:szCs w:val="20"/>
                <w:color w:val="auto"/>
              </w:rPr>
            </w:pPr>
            <w:r>
              <w:rPr>
                <w:rFonts w:ascii="Times New Roman" w:cs="Times New Roman" w:eastAsia="Times New Roman" w:hAnsi="Times New Roman"/>
                <w:sz w:val="14"/>
                <w:szCs w:val="14"/>
                <w:color w:val="auto"/>
              </w:rPr>
              <w:t xml:space="preserve">Food service and other services revenue </w:t>
            </w:r>
            <w:r>
              <w:rPr>
                <w:rFonts w:ascii="Times New Roman" w:cs="Times New Roman" w:eastAsia="Times New Roman" w:hAnsi="Times New Roman"/>
                <w:sz w:val="18"/>
                <w:szCs w:val="18"/>
                <w:color w:val="auto"/>
                <w:vertAlign w:val="superscript"/>
              </w:rPr>
              <w:t>(2)</w:t>
            </w:r>
          </w:p>
        </w:tc>
        <w:tc>
          <w:tcPr>
            <w:tcW w:w="1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59,990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59,694</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296</w:t>
            </w:r>
          </w:p>
        </w:tc>
      </w:tr>
      <w:tr>
        <w:trPr>
          <w:trHeight w:val="182"/>
        </w:trPr>
        <w:tc>
          <w:tcPr>
            <w:tcW w:w="4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110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112,672</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108,608</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4,064</w:t>
            </w:r>
          </w:p>
        </w:tc>
      </w:tr>
      <w:tr>
        <w:trPr>
          <w:trHeight w:val="216"/>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 and services ($ in thousands)</w:t>
            </w: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3"/>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Accommodation cost</w:t>
            </w:r>
          </w:p>
        </w:tc>
        <w:tc>
          <w:tcPr>
            <w:tcW w:w="110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25,890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23,613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2,277</w:t>
            </w:r>
          </w:p>
        </w:tc>
      </w:tr>
      <w:tr>
        <w:trPr>
          <w:trHeight w:val="189"/>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Food service and other services cost</w:t>
            </w:r>
          </w:p>
        </w:tc>
        <w:tc>
          <w:tcPr>
            <w:tcW w:w="1100" w:type="dxa"/>
            <w:vAlign w:val="bottom"/>
          </w:tcPr>
          <w:p>
            <w:pPr>
              <w:spacing w:after="0"/>
              <w:rPr>
                <w:sz w:val="16"/>
                <w:szCs w:val="16"/>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53,163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54,527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(1,364)</w:t>
            </w:r>
          </w:p>
        </w:tc>
      </w:tr>
      <w:tr>
        <w:trPr>
          <w:trHeight w:val="203"/>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Indirect other cost</w:t>
            </w:r>
          </w:p>
        </w:tc>
        <w:tc>
          <w:tcPr>
            <w:tcW w:w="1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3,424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2,897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527</w:t>
            </w:r>
          </w:p>
        </w:tc>
      </w:tr>
      <w:tr>
        <w:trPr>
          <w:trHeight w:val="182"/>
        </w:trPr>
        <w:tc>
          <w:tcPr>
            <w:tcW w:w="4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110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82,477</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81,037</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1,440</w:t>
            </w:r>
          </w:p>
        </w:tc>
      </w:tr>
      <w:tr>
        <w:trPr>
          <w:trHeight w:val="216"/>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margin as a % of revenues</w:t>
            </w:r>
          </w:p>
        </w:tc>
        <w:tc>
          <w:tcPr>
            <w:tcW w:w="1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r>
      <w:tr>
        <w:trPr>
          <w:trHeight w:val="216"/>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96"/>
        </w:trPr>
        <w:tc>
          <w:tcPr>
            <w:tcW w:w="4720" w:type="dxa"/>
            <w:vAlign w:val="bottom"/>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Average daily rate for villages </w:t>
            </w:r>
            <w:r>
              <w:rPr>
                <w:rFonts w:ascii="Times New Roman" w:cs="Times New Roman" w:eastAsia="Times New Roman" w:hAnsi="Times New Roman"/>
                <w:sz w:val="18"/>
                <w:szCs w:val="18"/>
                <w:color w:val="auto"/>
                <w:vertAlign w:val="superscript"/>
              </w:rPr>
              <w:t>(3)</w:t>
            </w:r>
          </w:p>
        </w:tc>
        <w:tc>
          <w:tcPr>
            <w:tcW w:w="110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7"/>
                <w:szCs w:val="17"/>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7"/>
                <w:szCs w:val="17"/>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w:t>
            </w:r>
          </w:p>
        </w:tc>
      </w:tr>
      <w:tr>
        <w:trPr>
          <w:trHeight w:val="209"/>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96"/>
        </w:trPr>
        <w:tc>
          <w:tcPr>
            <w:tcW w:w="4720" w:type="dxa"/>
            <w:vAlign w:val="bottom"/>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Total billed rooms for villages </w:t>
            </w:r>
            <w:r>
              <w:rPr>
                <w:rFonts w:ascii="Times New Roman" w:cs="Times New Roman" w:eastAsia="Times New Roman" w:hAnsi="Times New Roman"/>
                <w:sz w:val="18"/>
                <w:szCs w:val="18"/>
                <w:color w:val="auto"/>
                <w:vertAlign w:val="superscript"/>
              </w:rPr>
              <w:t>(4)</w:t>
            </w:r>
          </w:p>
        </w:tc>
        <w:tc>
          <w:tcPr>
            <w:tcW w:w="1100" w:type="dxa"/>
            <w:vAlign w:val="bottom"/>
          </w:tcPr>
          <w:p>
            <w:pPr>
              <w:spacing w:after="0"/>
              <w:rPr>
                <w:sz w:val="17"/>
                <w:szCs w:val="17"/>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690,506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625,353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65,153</w:t>
            </w:r>
          </w:p>
        </w:tc>
      </w:tr>
      <w:tr>
        <w:trPr>
          <w:trHeight w:val="209"/>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2"/>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Australian dollar to U.S. dollar</w:t>
            </w:r>
          </w:p>
        </w:tc>
        <w:tc>
          <w:tcPr>
            <w:tcW w:w="110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0.641</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0.659</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(0.018)</w:t>
            </w:r>
          </w:p>
        </w:tc>
      </w:tr>
    </w:tbl>
    <w:p>
      <w:pPr>
        <w:spacing w:after="0" w:line="200" w:lineRule="exact"/>
        <w:rPr>
          <w:sz w:val="20"/>
          <w:szCs w:val="20"/>
          <w:color w:val="auto"/>
        </w:rPr>
      </w:pPr>
    </w:p>
    <w:p>
      <w:pPr>
        <w:spacing w:after="0" w:line="307" w:lineRule="exact"/>
        <w:rPr>
          <w:sz w:val="20"/>
          <w:szCs w:val="20"/>
          <w:color w:val="auto"/>
        </w:rPr>
      </w:pPr>
    </w:p>
    <w:p>
      <w:pPr>
        <w:ind w:left="300" w:hanging="295"/>
        <w:spacing w:after="0"/>
        <w:tabs>
          <w:tab w:leader="none" w:pos="3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village rooms and hospitality services for owned rooms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food services and other services, including facilities management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Average daily rate is based on billed rooms and accommodation revenue.</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Billed rooms represent total billed days for owned assets for the periods presented.</w:t>
      </w:r>
    </w:p>
    <w:p>
      <w:pPr>
        <w:spacing w:after="0" w:line="217"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Our Australian segment reported revenues in the second quarter of 2025 that were $4.1 million, or 4%, higher than the second quarter of 2024. The weakening of the average exchange rate for the Australian dollar relative to the U.S. dollar by 2.7% in the second quarter of 2025 compared to the second quarter of 2024 resulted in a $3.2 million period-over-period decrease in revenues. On a constant currency basis, the Australian segment experienced a 6.7% period-over-period increase in revenues. Excluding the impact of the weaker Australian exchange rate, the increase in the Australian segment was driven by the Qantac Acquisition in the second quarter of 2025 and new business in our integrated services villages in Western Australia.</w:t>
      </w:r>
    </w:p>
    <w:p>
      <w:pPr>
        <w:spacing w:after="0" w:line="197"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Our Australian segment cost of sales and services increased $1.4 million, or 2%, in the second quarter of 2025 compared to the second quarter of 2024. The weakening of the average exchange rate for the Australian dollar relative to the U.S. dollar by 2.7% in the second quarter of 2025 compared to the second quarter of 2024 resulted in a $2.3 million period-over-period decrease in cost of sales and services. Excluding the impact of the weaker Australian exchange rate, the increase in cost of sales and services in the Australian segment was largely driven by the Qantac Acquisition and new business in our integrated services villages in Western Australia and the associated overhead costs.</w:t>
      </w:r>
    </w:p>
    <w:p>
      <w:pPr>
        <w:spacing w:after="0" w:line="197"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Our Australian segment gross margin as a percentage of revenues increased to 26.8% in the second quarter of 2025 from 25.4% in the second quarter of 2024. This was primarily driven by increased relative contribution from our accommodation business resulting from the Qantac Acquisition. Our accommodation business generates higher gross margins than our integrated services business, which has a service-only business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Results of Operations – Canadian Segment</w:t>
      </w:r>
    </w:p>
    <w:p>
      <w:pPr>
        <w:spacing w:after="0" w:line="3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89"/>
        </w:trPr>
        <w:tc>
          <w:tcPr>
            <w:tcW w:w="48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8"/>
        </w:trPr>
        <w:tc>
          <w:tcPr>
            <w:tcW w:w="48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5"/>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 ($ in thousands)</w:t>
            </w:r>
          </w:p>
        </w:tc>
        <w:tc>
          <w:tcPr>
            <w:tcW w:w="1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Accommodation revenue </w:t>
            </w:r>
            <w:r>
              <w:rPr>
                <w:rFonts w:ascii="Times New Roman" w:cs="Times New Roman" w:eastAsia="Times New Roman" w:hAnsi="Times New Roman"/>
                <w:sz w:val="9"/>
                <w:szCs w:val="9"/>
                <w:color w:val="auto"/>
              </w:rPr>
              <w:t>(1)</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42,590</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72,259</w:t>
            </w:r>
          </w:p>
        </w:tc>
        <w:tc>
          <w:tcPr>
            <w:tcW w:w="100" w:type="dxa"/>
            <w:vAlign w:val="bottom"/>
          </w:tcPr>
          <w:p>
            <w:pPr>
              <w:spacing w:after="0"/>
              <w:rPr>
                <w:sz w:val="16"/>
                <w:szCs w:val="16"/>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(29,669)</w:t>
            </w:r>
          </w:p>
        </w:tc>
      </w:tr>
      <w:tr>
        <w:trPr>
          <w:trHeight w:val="203"/>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Mobile facility rental revenue </w:t>
            </w:r>
            <w:r>
              <w:rPr>
                <w:rFonts w:ascii="Times New Roman" w:cs="Times New Roman" w:eastAsia="Times New Roman" w:hAnsi="Times New Roman"/>
                <w:sz w:val="9"/>
                <w:szCs w:val="9"/>
                <w:color w:val="auto"/>
              </w:rPr>
              <w:t>(2)</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356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78</w:t>
            </w:r>
          </w:p>
        </w:tc>
      </w:tr>
      <w:tr>
        <w:trPr>
          <w:trHeight w:val="189"/>
        </w:trPr>
        <w:tc>
          <w:tcPr>
            <w:tcW w:w="4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 xml:space="preserve">Food service and other services revenue </w:t>
            </w:r>
            <w:r>
              <w:rPr>
                <w:rFonts w:ascii="Times New Roman" w:cs="Times New Roman" w:eastAsia="Times New Roman" w:hAnsi="Times New Roman"/>
                <w:sz w:val="9"/>
                <w:szCs w:val="9"/>
                <w:color w:val="auto"/>
              </w:rPr>
              <w:t>(3)</w:t>
            </w:r>
          </w:p>
        </w:tc>
        <w:tc>
          <w:tcPr>
            <w:tcW w:w="1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6,998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6,912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86</w:t>
            </w:r>
          </w:p>
        </w:tc>
      </w:tr>
      <w:tr>
        <w:trPr>
          <w:trHeight w:val="196"/>
        </w:trPr>
        <w:tc>
          <w:tcPr>
            <w:tcW w:w="4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112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50,022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79,527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(29,505)</w:t>
            </w:r>
          </w:p>
        </w:tc>
      </w:tr>
      <w:tr>
        <w:trPr>
          <w:trHeight w:val="144"/>
        </w:trPr>
        <w:tc>
          <w:tcPr>
            <w:tcW w:w="4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9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 and services ($ in thousands)</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Accommodation cost</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30,618</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48,197</w:t>
            </w:r>
          </w:p>
        </w:tc>
        <w:tc>
          <w:tcPr>
            <w:tcW w:w="100" w:type="dxa"/>
            <w:vAlign w:val="bottom"/>
          </w:tcPr>
          <w:p>
            <w:pPr>
              <w:spacing w:after="0"/>
              <w:rPr>
                <w:sz w:val="16"/>
                <w:szCs w:val="16"/>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(17,579)</w:t>
            </w:r>
          </w:p>
        </w:tc>
      </w:tr>
      <w:tr>
        <w:trPr>
          <w:trHeight w:val="203"/>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Mobile facility rental cost</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1,401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(1,266)</w:t>
            </w: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Food service and other services cost</w:t>
            </w:r>
          </w:p>
        </w:tc>
        <w:tc>
          <w:tcPr>
            <w:tcW w:w="112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6,237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6,314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(77)</w:t>
            </w:r>
          </w:p>
        </w:tc>
      </w:tr>
      <w:tr>
        <w:trPr>
          <w:trHeight w:val="203"/>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Indirect other costs</w:t>
            </w:r>
          </w:p>
        </w:tc>
        <w:tc>
          <w:tcPr>
            <w:tcW w:w="1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2,047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2,937</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(890)</w:t>
            </w:r>
          </w:p>
        </w:tc>
      </w:tr>
      <w:tr>
        <w:trPr>
          <w:trHeight w:val="182"/>
        </w:trPr>
        <w:tc>
          <w:tcPr>
            <w:tcW w:w="4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39,037</w:t>
            </w:r>
          </w:p>
        </w:tc>
        <w:tc>
          <w:tcPr>
            <w:tcW w:w="10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58,849</w:t>
            </w:r>
          </w:p>
        </w:tc>
        <w:tc>
          <w:tcPr>
            <w:tcW w:w="100" w:type="dxa"/>
            <w:vAlign w:val="bottom"/>
          </w:tcPr>
          <w:p>
            <w:pPr>
              <w:spacing w:after="0"/>
              <w:rPr>
                <w:sz w:val="15"/>
                <w:szCs w:val="15"/>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(19,812)</w:t>
            </w:r>
          </w:p>
        </w:tc>
      </w:tr>
      <w:tr>
        <w:trPr>
          <w:trHeight w:val="151"/>
        </w:trPr>
        <w:tc>
          <w:tcPr>
            <w:tcW w:w="4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Gross margin as a % of revenues</w:t>
            </w:r>
          </w:p>
        </w:tc>
        <w:tc>
          <w:tcPr>
            <w:tcW w:w="1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51"/>
        </w:trPr>
        <w:tc>
          <w:tcPr>
            <w:tcW w:w="4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Average daily rate for lodges </w:t>
            </w:r>
            <w:r>
              <w:rPr>
                <w:rFonts w:ascii="Times New Roman" w:cs="Times New Roman" w:eastAsia="Times New Roman" w:hAnsi="Times New Roman"/>
                <w:sz w:val="9"/>
                <w:szCs w:val="9"/>
                <w:color w:val="auto"/>
              </w:rPr>
              <w:t>(4)</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w:t>
            </w:r>
          </w:p>
        </w:tc>
      </w:tr>
      <w:tr>
        <w:trPr>
          <w:trHeight w:val="151"/>
        </w:trPr>
        <w:tc>
          <w:tcPr>
            <w:tcW w:w="4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Total billed rooms for lodges </w:t>
            </w:r>
            <w:r>
              <w:rPr>
                <w:rFonts w:ascii="Times New Roman" w:cs="Times New Roman" w:eastAsia="Times New Roman" w:hAnsi="Times New Roman"/>
                <w:sz w:val="9"/>
                <w:szCs w:val="9"/>
                <w:color w:val="auto"/>
              </w:rPr>
              <w:t>(5)</w:t>
            </w:r>
          </w:p>
        </w:tc>
        <w:tc>
          <w:tcPr>
            <w:tcW w:w="112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449,970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752,364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(302,394)</w:t>
            </w:r>
          </w:p>
        </w:tc>
      </w:tr>
      <w:tr>
        <w:trPr>
          <w:trHeight w:val="151"/>
        </w:trPr>
        <w:tc>
          <w:tcPr>
            <w:tcW w:w="4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2"/>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Average Canadian dollar to U.S. dollar</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0.723</w:t>
            </w:r>
          </w:p>
        </w:tc>
        <w:tc>
          <w:tcPr>
            <w:tcW w:w="10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0.731</w:t>
            </w:r>
          </w:p>
        </w:tc>
        <w:tc>
          <w:tcPr>
            <w:tcW w:w="100" w:type="dxa"/>
            <w:vAlign w:val="bottom"/>
          </w:tcPr>
          <w:p>
            <w:pPr>
              <w:spacing w:after="0"/>
              <w:rPr>
                <w:sz w:val="15"/>
                <w:szCs w:val="15"/>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(0.008)</w:t>
            </w:r>
          </w:p>
        </w:tc>
      </w:tr>
    </w:tbl>
    <w:p>
      <w:pPr>
        <w:spacing w:after="0" w:line="285" w:lineRule="exact"/>
        <w:rPr>
          <w:sz w:val="20"/>
          <w:szCs w:val="20"/>
          <w:color w:val="auto"/>
        </w:rPr>
      </w:pPr>
    </w:p>
    <w:p>
      <w:pPr>
        <w:ind w:left="300" w:hanging="295"/>
        <w:spacing w:after="0"/>
        <w:tabs>
          <w:tab w:leader="none" w:pos="3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lodge rooms and hospitality services for owned rooms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mobile assets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food services, laundry and water and wastewater treatment services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Average daily rate is based on billed rooms and accommodation revenue.</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Billed rooms represents total billed days for owned assets for the periods presented.</w:t>
      </w:r>
    </w:p>
    <w:p>
      <w:pPr>
        <w:spacing w:after="0" w:line="217"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Our Canadian segment reported revenues in the second quarter of 2025 that were $29.5 million, or 37%, lower than the second quarter of 2024. The decrease in the Canadian segment was driven by lower billed rooms at our oil sands lodges as producers in the region remain focused on reducing operating costs and reduced occupancy at our Sitka Lodge as the Kitimat LNG facility was completed and commenced operations in the second quarter of 2025.</w:t>
      </w:r>
    </w:p>
    <w:p>
      <w:pPr>
        <w:spacing w:after="0" w:line="188"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Our Canadian segment cost of sales and services decreased $19.8 million, or 34%, in the second quarter of 2025 compared to the second quarter of 2024. The decrease in cost of sales and services in the Canadian segment was largely driven by (i) lower costs at various lodges due to reduced occupancy levels, (ii) lower demobilization costs related to mobile asset activity from pipeline projects, the final costs for which were incurred in the second quarter of 2024 and (iii) reduced indirect costs as a result of various cost reduction measures.</w:t>
      </w:r>
    </w:p>
    <w:p>
      <w:pPr>
        <w:spacing w:after="0" w:line="195"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Our Canadian segment gross margin as a percentage of revenues decreased from 26.0% in the second quarter of 2024 to 22.0% in the second quarter of 2025. This was primarily driven by reduced efficiencies at our lodges with lower occupancy levels.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Results of Operations – Six Months Ended June 30, 2025 Compared to Six Months Ended June 30, 2024</w:t>
      </w:r>
    </w:p>
    <w:p>
      <w:pPr>
        <w:spacing w:after="0" w:line="338"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6"/>
        </w:trPr>
        <w:tc>
          <w:tcPr>
            <w:tcW w:w="5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0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5"/>
        </w:trPr>
        <w:tc>
          <w:tcPr>
            <w:tcW w:w="5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
        </w:trPr>
        <w:tc>
          <w:tcPr>
            <w:tcW w:w="5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9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Australia</w:t>
            </w:r>
          </w:p>
        </w:tc>
        <w:tc>
          <w:tcPr>
            <w:tcW w:w="4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216,318</w:t>
            </w:r>
          </w:p>
        </w:tc>
        <w:tc>
          <w:tcPr>
            <w:tcW w:w="100" w:type="dxa"/>
            <w:vAlign w:val="bottom"/>
          </w:tcPr>
          <w:p>
            <w:pPr>
              <w:spacing w:after="0"/>
              <w:rPr>
                <w:sz w:val="16"/>
                <w:szCs w:val="16"/>
                <w:color w:val="auto"/>
              </w:rPr>
            </w:pPr>
          </w:p>
        </w:tc>
        <w:tc>
          <w:tcPr>
            <w:tcW w:w="540" w:type="dxa"/>
            <w:vAlign w:val="bottom"/>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200,345</w:t>
            </w:r>
          </w:p>
        </w:tc>
        <w:tc>
          <w:tcPr>
            <w:tcW w:w="120" w:type="dxa"/>
            <w:vAlign w:val="bottom"/>
          </w:tcPr>
          <w:p>
            <w:pPr>
              <w:spacing w:after="0"/>
              <w:rPr>
                <w:sz w:val="16"/>
                <w:szCs w:val="16"/>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15,973</w:t>
            </w:r>
          </w:p>
        </w:tc>
      </w:tr>
      <w:tr>
        <w:trPr>
          <w:trHeight w:val="203"/>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Canada</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90,420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146,687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(56,267)</w:t>
            </w: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(7,801)</w:t>
            </w:r>
          </w:p>
        </w:tc>
      </w:tr>
      <w:tr>
        <w:trPr>
          <w:trHeight w:val="196"/>
        </w:trPr>
        <w:tc>
          <w:tcPr>
            <w:tcW w:w="502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4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306,738</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354,833</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(48,095)</w:t>
            </w:r>
          </w:p>
        </w:tc>
      </w:tr>
      <w:tr>
        <w:trPr>
          <w:trHeight w:val="189"/>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Costs and expenses: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3"/>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Cost of sales and services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89"/>
        </w:trPr>
        <w:tc>
          <w:tcPr>
            <w:tcW w:w="5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Australia</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159,197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147,150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12,047</w:t>
            </w:r>
          </w:p>
        </w:tc>
      </w:tr>
      <w:tr>
        <w:trPr>
          <w:trHeight w:val="20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Canada</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76,682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116,106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(39,424)</w:t>
            </w:r>
          </w:p>
        </w:tc>
      </w:tr>
      <w:tr>
        <w:trPr>
          <w:trHeight w:val="189"/>
        </w:trPr>
        <w:tc>
          <w:tcPr>
            <w:tcW w:w="5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8,023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(7,756)</w:t>
            </w:r>
          </w:p>
        </w:tc>
      </w:tr>
      <w:tr>
        <w:trPr>
          <w:trHeight w:val="196"/>
        </w:trPr>
        <w:tc>
          <w:tcPr>
            <w:tcW w:w="5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236,146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271,279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(35,133)</w:t>
            </w: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38,655</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36,073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2,582</w:t>
            </w:r>
          </w:p>
        </w:tc>
      </w:tr>
      <w:tr>
        <w:trPr>
          <w:trHeight w:val="203"/>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34,080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Impairment expense</w:t>
            </w:r>
          </w:p>
        </w:tc>
        <w:tc>
          <w:tcPr>
            <w:tcW w:w="42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(7,823)</w:t>
            </w:r>
          </w:p>
        </w:tc>
      </w:tr>
      <w:tr>
        <w:trPr>
          <w:trHeight w:val="203"/>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Gain on sale of McClelland Lake Lodge assets, net</w:t>
            </w:r>
          </w:p>
        </w:tc>
        <w:tc>
          <w:tcPr>
            <w:tcW w:w="4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5,988</w:t>
            </w:r>
          </w:p>
        </w:tc>
      </w:tr>
      <w:tr>
        <w:trPr>
          <w:trHeight w:val="189"/>
        </w:trPr>
        <w:tc>
          <w:tcPr>
            <w:tcW w:w="5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operating expense</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96"/>
        </w:trPr>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309,454</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343,502</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(34,048)</w:t>
            </w:r>
          </w:p>
        </w:tc>
      </w:tr>
      <w:tr>
        <w:trPr>
          <w:trHeight w:val="182"/>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 (loss)</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(14,047)</w:t>
            </w:r>
          </w:p>
        </w:tc>
      </w:tr>
      <w:tr>
        <w:trPr>
          <w:trHeight w:val="216"/>
        </w:trPr>
        <w:tc>
          <w:tcPr>
            <w:tcW w:w="5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189"/>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r>
      <w:tr>
        <w:trPr>
          <w:trHeight w:val="20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r>
      <w:tr>
        <w:trPr>
          <w:trHeight w:val="182"/>
        </w:trPr>
        <w:tc>
          <w:tcPr>
            <w:tcW w:w="5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(6,467)</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(14,095)</w:t>
            </w:r>
          </w:p>
        </w:tc>
      </w:tr>
      <w:tr>
        <w:trPr>
          <w:trHeight w:val="20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(6,694)</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(5,337)</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w:t>
            </w:r>
          </w:p>
        </w:tc>
      </w:tr>
      <w:tr>
        <w:trPr>
          <w:trHeight w:val="182"/>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(13,161)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(15,452)</w:t>
            </w:r>
          </w:p>
        </w:tc>
      </w:tr>
      <w:tr>
        <w:trPr>
          <w:trHeight w:val="196"/>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 Net loss attributable to noncontrolling interest</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w:t>
            </w:r>
          </w:p>
        </w:tc>
      </w:tr>
      <w:tr>
        <w:trPr>
          <w:trHeight w:val="196"/>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 attributable to Civeo Corporation</w:t>
            </w:r>
          </w:p>
        </w:tc>
        <w:tc>
          <w:tcPr>
            <w:tcW w:w="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(13,156)</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3,094</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(16,250)</w:t>
            </w:r>
          </w:p>
        </w:tc>
      </w:tr>
      <w:tr>
        <w:trPr>
          <w:trHeight w:val="20"/>
        </w:trPr>
        <w:tc>
          <w:tcPr>
            <w:tcW w:w="5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We reported net loss attributable to Civeo for the six months ended June 30, 2025 of $13.2 million, or $0.98 per diluted share. Net loss included $3.2 million of shareholder activist related costs and $1.4 million of cost saving initiatives in Canada related to severance and two lodge closures.</w:t>
      </w:r>
    </w:p>
    <w:p>
      <w:pPr>
        <w:spacing w:after="0" w:line="42"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We reported net income attributable to Civeo for the six months ended June 30, 2024 of $3.1 million, or $0.21 per diluted share. Net income included (i) $6.0 million of net gains associated with the sale of the McClelland Lake Lodge in Canada and (ii) a $7.8 million pre-tax loss resulting from the impairment of fixed assets included in Impairment expense.</w:t>
      </w:r>
    </w:p>
    <w:p>
      <w:pPr>
        <w:spacing w:after="0" w:line="55"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Revenues. </w:t>
      </w:r>
      <w:r>
        <w:rPr>
          <w:rFonts w:ascii="Times New Roman" w:cs="Times New Roman" w:eastAsia="Times New Roman" w:hAnsi="Times New Roman"/>
          <w:sz w:val="17"/>
          <w:szCs w:val="17"/>
          <w:color w:val="auto"/>
        </w:rPr>
        <w:t>Consolidated revenues decreased $48.1 million, or 14%, in the six months ended June 30, 2025 compared to the six months ended June 30,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2024. This decrease was primarily driven by (i) lower billed rooms at our oil sands lodges in Canada as producers in the region remain focused on reducing operating costs, (ii) reduced occupancy at our Sitka Lodge in Canada as the Kitimat LNG facility was completed and commenced operations in the second quarter of 2025, (iii) reduced mobile asset activity in Canada from pipeline projects which were completed in the first six months of 2024 and (iv) a weaker Australia and Canadian dollar relative to the U.S. dollar in the six months ended June 30, 2025 compared to the six months ended June 30, 2024. These items were partially offset by an increase in Australia related to the Qantac Acquisition in the second quarter of 2025 and new business in our integrated services villages in Western Australia. See the discussion of segment results of operations below for further information.</w:t>
      </w:r>
    </w:p>
    <w:p>
      <w:pPr>
        <w:spacing w:after="0" w:line="56" w:lineRule="exact"/>
        <w:rPr>
          <w:sz w:val="20"/>
          <w:szCs w:val="20"/>
          <w:color w:val="auto"/>
        </w:rPr>
      </w:pPr>
    </w:p>
    <w:p>
      <w:pPr>
        <w:jc w:val="both"/>
        <w:ind w:firstLine="470"/>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Cost of Sales and Services. </w:t>
      </w:r>
      <w:r>
        <w:rPr>
          <w:rFonts w:ascii="Times New Roman" w:cs="Times New Roman" w:eastAsia="Times New Roman" w:hAnsi="Times New Roman"/>
          <w:sz w:val="17"/>
          <w:szCs w:val="17"/>
          <w:color w:val="auto"/>
        </w:rPr>
        <w:t>Our consolidated cost of sales and services decreased $35.1 million, or 13%, in the six months ended June 30, 2025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compared to the six months ended June 30, 2024. This decrease was primarily driven by (i) lower costs at various lodges in Canada due to reduced occupancy levels, (ii) lower costs related to the reduced mobile asset activity in Canada from pipeline projects for which final costs were incurred in the first six months of 2024, (iii) reduced indirect costs in Canada as a result of various cost reduction measures and (iv) a weaker Australia and Canadian dollar relative to the U.S. dollar in the six months ended June 30, 2025 compared to the six months ended June 30, 2024. These items were partially offset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by an increase in Australia related to the Qantac Acquisition in the second quarter of 2025 and new business in our integrated services villages in Western Australia. See the discussion of segment results of operations below for further information.</w:t>
      </w:r>
    </w:p>
    <w:p>
      <w:pPr>
        <w:spacing w:after="0" w:line="92"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Selling, General and Administrative Expenses. </w:t>
      </w:r>
      <w:r>
        <w:rPr>
          <w:rFonts w:ascii="Times New Roman" w:cs="Times New Roman" w:eastAsia="Times New Roman" w:hAnsi="Times New Roman"/>
          <w:sz w:val="17"/>
          <w:szCs w:val="17"/>
          <w:color w:val="auto"/>
        </w:rPr>
        <w:t>SG&amp;A expenses increased $2.6 million, or 7%, in the six months ended June 30, 2025 compared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six months ended June 30, 2024. This increase was primarily due to higher professional fees of $3.5 million due to shareholder activist related costs of $3.2 million and higher share-based compensation expense of $0.4 million due to lower forfeitures in the six months ended June 30, 2025 compared to the six months ended June 30, 2024. These items were partially offset by lower travel and entertainment costs of $0.7 million, down 43% year-of-year, lower compensation costs of $0.5 million and a weaker Australian and Canadian dollar relative to the U.S. dollar in the six months ended June 30, 2025 compared to the six months ended June 30, 2024.</w:t>
      </w:r>
    </w:p>
    <w:p>
      <w:pPr>
        <w:spacing w:after="0" w:line="302" w:lineRule="exact"/>
        <w:rPr>
          <w:sz w:val="20"/>
          <w:szCs w:val="20"/>
          <w:color w:val="auto"/>
        </w:rPr>
      </w:pPr>
    </w:p>
    <w:p>
      <w:pPr>
        <w:jc w:val="both"/>
        <w:ind w:firstLine="47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Depreciation and Amortization Expense. </w:t>
      </w:r>
      <w:r>
        <w:rPr>
          <w:rFonts w:ascii="Times New Roman" w:cs="Times New Roman" w:eastAsia="Times New Roman" w:hAnsi="Times New Roman"/>
          <w:sz w:val="17"/>
          <w:szCs w:val="17"/>
          <w:color w:val="auto"/>
        </w:rPr>
        <w:t>Depreciation and amortization expense increased $0.3 million, or 1%, in the six months ended June 30, 2025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compared to the six months ended June 30, 2024. The increase was primarily due to additional property, plant and equipment acquired through the Qantac Acquisition, partially offset by a weaker Australian and Canadian dollar relative to the U.S. dollar in the six months ended June 30, 2025 compared to the six months ended June 30, 2024 and reduced depreciation expense resulting from impairments recorded in 2024.</w:t>
      </w:r>
    </w:p>
    <w:p>
      <w:pPr>
        <w:sectPr>
          <w:pgSz w:w="11900" w:h="16838" w:orient="portrait"/>
          <w:cols w:equalWidth="0" w:num="1">
            <w:col w:w="11240"/>
          </w:cols>
          <w:pgMar w:left="320" w:top="1440" w:right="339" w:bottom="1440" w:gutter="0" w:footer="0" w:header="0"/>
        </w:sectPr>
      </w:pPr>
    </w:p>
    <w:p>
      <w:pPr>
        <w:spacing w:after="0" w:line="100" w:lineRule="exact"/>
        <w:rPr>
          <w:sz w:val="20"/>
          <w:szCs w:val="20"/>
          <w:color w:val="auto"/>
        </w:rPr>
      </w:pPr>
    </w:p>
    <w:p>
      <w:pPr>
        <w:jc w:val="both"/>
        <w:ind w:firstLine="470"/>
        <w:spacing w:after="0" w:line="277" w:lineRule="auto"/>
        <w:rPr>
          <w:sz w:val="20"/>
          <w:szCs w:val="20"/>
          <w:color w:val="auto"/>
        </w:rPr>
      </w:pPr>
      <w:r>
        <w:rPr>
          <w:rFonts w:ascii="Times New Roman" w:cs="Times New Roman" w:eastAsia="Times New Roman" w:hAnsi="Times New Roman"/>
          <w:sz w:val="17"/>
          <w:szCs w:val="17"/>
          <w:b w:val="1"/>
          <w:bCs w:val="1"/>
          <w:color w:val="auto"/>
        </w:rPr>
        <w:t xml:space="preserve">Impairment Expense. </w:t>
      </w:r>
      <w:r>
        <w:rPr>
          <w:rFonts w:ascii="Times New Roman" w:cs="Times New Roman" w:eastAsia="Times New Roman" w:hAnsi="Times New Roman"/>
          <w:sz w:val="17"/>
          <w:szCs w:val="17"/>
          <w:color w:val="auto"/>
        </w:rPr>
        <w:t>in Australia and the U.S. See report for further discussion.</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hanging="2"/>
        <w:spacing w:after="0" w:line="295" w:lineRule="auto"/>
        <w:rPr>
          <w:sz w:val="20"/>
          <w:szCs w:val="20"/>
          <w:color w:val="auto"/>
        </w:rPr>
      </w:pPr>
      <w:r>
        <w:rPr>
          <w:rFonts w:ascii="Times New Roman" w:cs="Times New Roman" w:eastAsia="Times New Roman" w:hAnsi="Times New Roman"/>
          <w:sz w:val="17"/>
          <w:szCs w:val="17"/>
          <w:color w:val="auto"/>
        </w:rPr>
        <w:t>We recorded pre-tax impairment expense of $7.8 million in the six months ended June 30, 2024 associated with long-lived assets Note 3 - Impairment Charges to the notes to the unaudited consolidated financial statements included in Item 1 of this quarterly</w:t>
      </w:r>
    </w:p>
    <w:p>
      <w:pPr>
        <w:spacing w:after="0" w:line="288" w:lineRule="exact"/>
        <w:rPr>
          <w:sz w:val="20"/>
          <w:szCs w:val="20"/>
          <w:color w:val="auto"/>
        </w:rPr>
      </w:pPr>
    </w:p>
    <w:p>
      <w:pPr>
        <w:sectPr>
          <w:pgSz w:w="11900" w:h="16838" w:orient="portrait"/>
          <w:cols w:equalWidth="0" w:num="2">
            <w:col w:w="2080" w:space="60"/>
            <w:col w:w="9100"/>
          </w:cols>
          <w:pgMar w:left="320" w:top="1440" w:right="339" w:bottom="1440" w:gutter="0" w:footer="0" w:header="0"/>
          <w:type w:val="continuous"/>
        </w:sectPr>
      </w:pPr>
    </w:p>
    <w:p>
      <w:pPr>
        <w:jc w:val="both"/>
        <w:ind w:firstLine="470"/>
        <w:spacing w:after="0" w:line="298" w:lineRule="auto"/>
        <w:rPr>
          <w:sz w:val="20"/>
          <w:szCs w:val="20"/>
          <w:color w:val="auto"/>
        </w:rPr>
      </w:pPr>
      <w:r>
        <w:rPr>
          <w:rFonts w:ascii="Times New Roman" w:cs="Times New Roman" w:eastAsia="Times New Roman" w:hAnsi="Times New Roman"/>
          <w:sz w:val="17"/>
          <w:szCs w:val="17"/>
          <w:b w:val="1"/>
          <w:bCs w:val="1"/>
          <w:color w:val="auto"/>
        </w:rPr>
        <w:t xml:space="preserve">Gain on Sale of McClelland Lake Lodge Assets, net. </w:t>
      </w:r>
      <w:r>
        <w:rPr>
          <w:rFonts w:ascii="Times New Roman" w:cs="Times New Roman" w:eastAsia="Times New Roman" w:hAnsi="Times New Roman"/>
          <w:sz w:val="17"/>
          <w:szCs w:val="17"/>
          <w:color w:val="auto"/>
        </w:rPr>
        <w:t>We recorded $6.0 million in the six months ended June 30, 2024 related to net gains associated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the sale of the McClelland Lake Lodge.</w:t>
      </w:r>
    </w:p>
    <w:p>
      <w:pPr>
        <w:spacing w:after="0" w:line="63" w:lineRule="exact"/>
        <w:rPr>
          <w:sz w:val="20"/>
          <w:szCs w:val="20"/>
          <w:color w:val="auto"/>
        </w:rPr>
      </w:pPr>
    </w:p>
    <w:p>
      <w:pPr>
        <w:jc w:val="both"/>
        <w:ind w:firstLine="47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Operating Income (Loss). </w:t>
      </w:r>
      <w:r>
        <w:rPr>
          <w:rFonts w:ascii="Times New Roman" w:cs="Times New Roman" w:eastAsia="Times New Roman" w:hAnsi="Times New Roman"/>
          <w:sz w:val="17"/>
          <w:szCs w:val="17"/>
          <w:color w:val="auto"/>
        </w:rPr>
        <w:t>Consolidated operating loss increased $14.0 million, or 124%, in the six months ended June 30, 2025 compared to the six</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months ended June 30, 2024, primarily due to lower lodge occupancy in Canada in the six months ended June 30, 2025 compared to the six months ended June 30, 2024, higher SG&amp;A expense during the 2025 period compared to the 2024 period and a net gain on sale of McClelland Lake Lodge assets in the six months ended June 30, 2024. These items were partially offset by higher activity levels in Australia in the six months ended June 30, 2025 compared to the six months ended June 30, 2024 and impairment expenses in the six months ended June 30, 2024.</w:t>
      </w:r>
    </w:p>
    <w:p>
      <w:pPr>
        <w:spacing w:after="0" w:line="1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 xml:space="preserve">Interest Expense, net. </w:t>
      </w:r>
      <w:r>
        <w:rPr>
          <w:rFonts w:ascii="Times New Roman" w:cs="Times New Roman" w:eastAsia="Times New Roman" w:hAnsi="Times New Roman"/>
          <w:sz w:val="17"/>
          <w:szCs w:val="17"/>
          <w:color w:val="auto"/>
        </w:rPr>
        <w:t>Net interest expense decreased by $0.2 million, or 6%, in the six months ended June 30, 2025 compared to the six months ended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30, 2024, primarily related to lower interest rates on credit facility borrowings, partially offset by higher average debt levels during the six months ended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30, 2025 compared to the six months ended June 30, 2024.</w:t>
      </w:r>
    </w:p>
    <w:p>
      <w:pPr>
        <w:spacing w:after="0" w:line="137" w:lineRule="exact"/>
        <w:rPr>
          <w:sz w:val="20"/>
          <w:szCs w:val="20"/>
          <w:color w:val="auto"/>
        </w:rPr>
      </w:pPr>
    </w:p>
    <w:p>
      <w:pPr>
        <w:jc w:val="both"/>
        <w:ind w:firstLine="47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Income Tax Expense. </w:t>
      </w:r>
      <w:r>
        <w:rPr>
          <w:rFonts w:ascii="Times New Roman" w:cs="Times New Roman" w:eastAsia="Times New Roman" w:hAnsi="Times New Roman"/>
          <w:sz w:val="17"/>
          <w:szCs w:val="17"/>
          <w:color w:val="auto"/>
        </w:rPr>
        <w:t>Our income tax expense for the six months ended June 30, 2025 totaled $6.7 million, or (103.5)% of pretax loss, compared to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income tax expense of $5.3 million, or 70.0% of pretax income, for the six months ended June 30, 2024. Our effective tax rate for the six months ended June 30, 2025 and 2024 was impacted by Canada and the U.S. being considered loss jurisdictions that were removed from the annual effective tax rate computation for purposes of computing the interim tax provision.</w:t>
      </w:r>
    </w:p>
    <w:p>
      <w:pPr>
        <w:spacing w:after="0" w:line="87" w:lineRule="exact"/>
        <w:rPr>
          <w:sz w:val="20"/>
          <w:szCs w:val="20"/>
          <w:color w:val="auto"/>
        </w:rPr>
      </w:pPr>
    </w:p>
    <w:p>
      <w:pPr>
        <w:jc w:val="both"/>
        <w:ind w:firstLine="47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Other Comprehensive Income. </w:t>
      </w:r>
      <w:r>
        <w:rPr>
          <w:rFonts w:ascii="Times New Roman" w:cs="Times New Roman" w:eastAsia="Times New Roman" w:hAnsi="Times New Roman"/>
          <w:sz w:val="17"/>
          <w:szCs w:val="17"/>
          <w:color w:val="auto"/>
        </w:rPr>
        <w:t>Other comprehensive income increased $20.6 million in the six months ended June 30, 2025 compared to the six months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ended June 30, 2024, primarily as a result of foreign currency translation adjustments due to changes in the Australian and Canadian dollar exchange rates compared to the U.S. dollar. The Australian dollar exchange rate compared to the U.S. dollar increased 6% in the of six months ended June 30, 2025 compared to a 2% decrease in the six months ended June 30, 2024. The Canadian dollar exchange rate compared to the U.S. dollar increased 5% in the six months ended June 30, 2025 compared to a 3% decrease in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1" w:name="page32"/>
    <w:bookmarkEnd w:id="31"/>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Results of Operations – Australian Segment</w:t>
      </w:r>
    </w:p>
    <w:p>
      <w:pPr>
        <w:spacing w:after="0" w:line="51"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4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6"/>
        </w:trPr>
        <w:tc>
          <w:tcPr>
            <w:tcW w:w="47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47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7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 in thousands)</w:t>
            </w:r>
          </w:p>
        </w:tc>
        <w:tc>
          <w:tcPr>
            <w:tcW w:w="10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96"/>
        </w:trPr>
        <w:tc>
          <w:tcPr>
            <w:tcW w:w="4720" w:type="dxa"/>
            <w:vAlign w:val="bottom"/>
          </w:tcPr>
          <w:p>
            <w:pPr>
              <w:ind w:left="140"/>
              <w:spacing w:after="0" w:line="196" w:lineRule="exact"/>
              <w:rPr>
                <w:sz w:val="20"/>
                <w:szCs w:val="20"/>
                <w:color w:val="auto"/>
              </w:rPr>
            </w:pPr>
            <w:r>
              <w:rPr>
                <w:rFonts w:ascii="Times New Roman" w:cs="Times New Roman" w:eastAsia="Times New Roman" w:hAnsi="Times New Roman"/>
                <w:sz w:val="14"/>
                <w:szCs w:val="14"/>
                <w:color w:val="auto"/>
              </w:rPr>
              <w:t xml:space="preserve">Accommodation revenue </w:t>
            </w:r>
            <w:r>
              <w:rPr>
                <w:rFonts w:ascii="Times New Roman" w:cs="Times New Roman" w:eastAsia="Times New Roman" w:hAnsi="Times New Roman"/>
                <w:sz w:val="18"/>
                <w:szCs w:val="18"/>
                <w:color w:val="auto"/>
                <w:vertAlign w:val="superscript"/>
              </w:rPr>
              <w:t>(1)</w:t>
            </w:r>
          </w:p>
        </w:tc>
        <w:tc>
          <w:tcPr>
            <w:tcW w:w="106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99,505</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96,021</w:t>
            </w:r>
          </w:p>
        </w:tc>
        <w:tc>
          <w:tcPr>
            <w:tcW w:w="100" w:type="dxa"/>
            <w:vAlign w:val="bottom"/>
          </w:tcPr>
          <w:p>
            <w:pPr>
              <w:spacing w:after="0"/>
              <w:rPr>
                <w:sz w:val="17"/>
                <w:szCs w:val="17"/>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3,484</w:t>
            </w:r>
          </w:p>
        </w:tc>
      </w:tr>
      <w:tr>
        <w:trPr>
          <w:trHeight w:val="196"/>
        </w:trPr>
        <w:tc>
          <w:tcPr>
            <w:tcW w:w="4720" w:type="dxa"/>
            <w:vAlign w:val="bottom"/>
            <w:shd w:val="clear" w:color="auto" w:fill="CCEEFF"/>
          </w:tcPr>
          <w:p>
            <w:pPr>
              <w:ind w:left="140"/>
              <w:spacing w:after="0" w:line="196" w:lineRule="exact"/>
              <w:rPr>
                <w:sz w:val="20"/>
                <w:szCs w:val="20"/>
                <w:color w:val="auto"/>
              </w:rPr>
            </w:pPr>
            <w:r>
              <w:rPr>
                <w:rFonts w:ascii="Times New Roman" w:cs="Times New Roman" w:eastAsia="Times New Roman" w:hAnsi="Times New Roman"/>
                <w:sz w:val="14"/>
                <w:szCs w:val="14"/>
                <w:color w:val="auto"/>
              </w:rPr>
              <w:t xml:space="preserve">Food service and other services revenue </w:t>
            </w:r>
            <w:r>
              <w:rPr>
                <w:rFonts w:ascii="Times New Roman" w:cs="Times New Roman" w:eastAsia="Times New Roman" w:hAnsi="Times New Roman"/>
                <w:sz w:val="18"/>
                <w:szCs w:val="18"/>
                <w:color w:val="auto"/>
                <w:vertAlign w:val="superscript"/>
              </w:rPr>
              <w:t>(2)</w:t>
            </w:r>
          </w:p>
        </w:tc>
        <w:tc>
          <w:tcPr>
            <w:tcW w:w="10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116,813</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104,324</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12,489</w:t>
            </w:r>
          </w:p>
        </w:tc>
      </w:tr>
      <w:tr>
        <w:trPr>
          <w:trHeight w:val="182"/>
        </w:trPr>
        <w:tc>
          <w:tcPr>
            <w:tcW w:w="4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106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216,318</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200,345</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15,973</w:t>
            </w:r>
          </w:p>
        </w:tc>
      </w:tr>
      <w:tr>
        <w:trPr>
          <w:trHeight w:val="216"/>
        </w:trPr>
        <w:tc>
          <w:tcPr>
            <w:tcW w:w="4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 and services ($ in thousands)</w:t>
            </w: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3"/>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Accommodation cost</w:t>
            </w:r>
          </w:p>
        </w:tc>
        <w:tc>
          <w:tcPr>
            <w:tcW w:w="106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48,961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46,207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2,754</w:t>
            </w:r>
          </w:p>
        </w:tc>
      </w:tr>
      <w:tr>
        <w:trPr>
          <w:trHeight w:val="189"/>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Food service and other services cost</w:t>
            </w:r>
          </w:p>
        </w:tc>
        <w:tc>
          <w:tcPr>
            <w:tcW w:w="10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103,814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95,431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8,383</w:t>
            </w:r>
          </w:p>
        </w:tc>
      </w:tr>
      <w:tr>
        <w:trPr>
          <w:trHeight w:val="203"/>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Indirect other cost</w:t>
            </w:r>
          </w:p>
        </w:tc>
        <w:tc>
          <w:tcPr>
            <w:tcW w:w="10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6,422</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5,512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910</w:t>
            </w:r>
          </w:p>
        </w:tc>
      </w:tr>
      <w:tr>
        <w:trPr>
          <w:trHeight w:val="182"/>
        </w:trPr>
        <w:tc>
          <w:tcPr>
            <w:tcW w:w="4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106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159,197</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147,150</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12,047</w:t>
            </w:r>
          </w:p>
        </w:tc>
      </w:tr>
      <w:tr>
        <w:trPr>
          <w:trHeight w:val="216"/>
        </w:trPr>
        <w:tc>
          <w:tcPr>
            <w:tcW w:w="4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margin as a % of revenues</w:t>
            </w:r>
          </w:p>
        </w:tc>
        <w:tc>
          <w:tcPr>
            <w:tcW w:w="10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26.4 %</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216"/>
        </w:trPr>
        <w:tc>
          <w:tcPr>
            <w:tcW w:w="4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96"/>
        </w:trPr>
        <w:tc>
          <w:tcPr>
            <w:tcW w:w="4720" w:type="dxa"/>
            <w:vAlign w:val="bottom"/>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Average daily rate for villages </w:t>
            </w:r>
            <w:r>
              <w:rPr>
                <w:rFonts w:ascii="Times New Roman" w:cs="Times New Roman" w:eastAsia="Times New Roman" w:hAnsi="Times New Roman"/>
                <w:sz w:val="18"/>
                <w:szCs w:val="18"/>
                <w:color w:val="auto"/>
                <w:vertAlign w:val="superscript"/>
              </w:rPr>
              <w:t>(3)</w:t>
            </w:r>
          </w:p>
        </w:tc>
        <w:tc>
          <w:tcPr>
            <w:tcW w:w="106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7"/>
                <w:szCs w:val="17"/>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w:t>
            </w:r>
          </w:p>
        </w:tc>
      </w:tr>
      <w:tr>
        <w:trPr>
          <w:trHeight w:val="209"/>
        </w:trPr>
        <w:tc>
          <w:tcPr>
            <w:tcW w:w="4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96"/>
        </w:trPr>
        <w:tc>
          <w:tcPr>
            <w:tcW w:w="4720" w:type="dxa"/>
            <w:vAlign w:val="bottom"/>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Total billed rooms for villages </w:t>
            </w:r>
            <w:r>
              <w:rPr>
                <w:rFonts w:ascii="Times New Roman" w:cs="Times New Roman" w:eastAsia="Times New Roman" w:hAnsi="Times New Roman"/>
                <w:sz w:val="18"/>
                <w:szCs w:val="18"/>
                <w:color w:val="auto"/>
                <w:vertAlign w:val="superscript"/>
              </w:rPr>
              <w:t>(4)</w:t>
            </w:r>
          </w:p>
        </w:tc>
        <w:tc>
          <w:tcPr>
            <w:tcW w:w="1060" w:type="dxa"/>
            <w:vAlign w:val="bottom"/>
          </w:tcPr>
          <w:p>
            <w:pPr>
              <w:spacing w:after="0"/>
              <w:rPr>
                <w:sz w:val="17"/>
                <w:szCs w:val="17"/>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99"/>
              </w:rPr>
              <w:t>1,316,142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1,239,289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76,853</w:t>
            </w:r>
          </w:p>
        </w:tc>
      </w:tr>
      <w:tr>
        <w:trPr>
          <w:trHeight w:val="209"/>
        </w:trPr>
        <w:tc>
          <w:tcPr>
            <w:tcW w:w="4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2"/>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Australian dollar to U.S. dollar</w:t>
            </w:r>
          </w:p>
        </w:tc>
        <w:tc>
          <w:tcPr>
            <w:tcW w:w="106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0.634</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0.658</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(0.024)</w:t>
            </w:r>
          </w:p>
        </w:tc>
      </w:tr>
    </w:tbl>
    <w:p>
      <w:pPr>
        <w:spacing w:after="0" w:line="200" w:lineRule="exact"/>
        <w:rPr>
          <w:sz w:val="20"/>
          <w:szCs w:val="20"/>
          <w:color w:val="auto"/>
        </w:rPr>
      </w:pPr>
    </w:p>
    <w:p>
      <w:pPr>
        <w:spacing w:after="0" w:line="307" w:lineRule="exact"/>
        <w:rPr>
          <w:sz w:val="20"/>
          <w:szCs w:val="20"/>
          <w:color w:val="auto"/>
        </w:rPr>
      </w:pPr>
    </w:p>
    <w:p>
      <w:pPr>
        <w:ind w:left="300" w:hanging="295"/>
        <w:spacing w:after="0"/>
        <w:tabs>
          <w:tab w:leader="none" w:pos="30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village rooms and hospitality services for owned rooms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food services and other services, including facilities management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Average daily rate is based on billed rooms and accommodation revenue.</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Billed rooms represent total billed days for owned assets for the periods presented.</w:t>
      </w:r>
    </w:p>
    <w:p>
      <w:pPr>
        <w:spacing w:after="0" w:line="217"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Our Australian segment reported revenues in the six months ended June 30, 2025 that were $16.0 million, or 8%, higher than the six months ended June 30, 2024. The weakening of the average exchange rate for the Australian dollar relative to the U.S. dollar by 3.6% in the six months ended June 30, 2025 compared to the six months ended June 30, 2024 resulted in a $8.0 million period-over-period decrease in revenues. On a constant currency basis, the Australian segment experienced a 12% period-over-period increase in revenues. Excluding the impact of the weaker Australian exchange rate, the increase in the Australian segment was driven by the Qantac Acquisition in the second quarter of 2025, which generated revenues of $4.9 million in 2025, and new business in our integrated services villages in Western Australia.</w:t>
      </w:r>
    </w:p>
    <w:p>
      <w:pPr>
        <w:spacing w:after="0" w:line="200"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Our Australian segment cost of sales and services increased $12.0 million, or 8%, in the six months ended June 30, 2025 compared to the six months ended June 30, 2024. The weakening of the average exchange rate for the Australian dollar relative to the U.S. dollar by 3.6% in the six months ended June 30, 2025 compared to the six months ended June 30, 2024 resulted in a $5.9 million period-over-period decrease in cost of sales and services. Excluding the impact of the weaker Australian exchange rate, the increase in cost of sales and services in the Australian segment was largely driven by the Qantac Acquisition and new business in our integrated services villages in Western Australia and the associated overhead costs.</w:t>
      </w:r>
    </w:p>
    <w:p>
      <w:pPr>
        <w:spacing w:after="0" w:line="197"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Our Australian segment gross margin as a percentage of revenues decreased to 26.4% in the six months ended June 30, 2025 from 26.6% in the six months ended June 30, 2024. This was primarily driven by an increased relative revenue contribution from our integrated services business, which has a service-only business model, and generates lower overall gross margins than our accommodation business.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Segment Results of Operations – Canadian Segment</w:t>
      </w:r>
    </w:p>
    <w:p>
      <w:pPr>
        <w:spacing w:after="0" w:line="51"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6"/>
        </w:trPr>
        <w:tc>
          <w:tcPr>
            <w:tcW w:w="48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48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69"/>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 ($ in thousands)</w:t>
            </w:r>
          </w:p>
        </w:tc>
        <w:tc>
          <w:tcPr>
            <w:tcW w:w="1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Accommodation revenue </w:t>
            </w:r>
            <w:r>
              <w:rPr>
                <w:rFonts w:ascii="Times New Roman" w:cs="Times New Roman" w:eastAsia="Times New Roman" w:hAnsi="Times New Roman"/>
                <w:sz w:val="9"/>
                <w:szCs w:val="9"/>
                <w:color w:val="auto"/>
              </w:rPr>
              <w:t>(1)</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76,026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132,046</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(56,020)</w:t>
            </w:r>
          </w:p>
        </w:tc>
      </w:tr>
      <w:tr>
        <w:trPr>
          <w:trHeight w:val="203"/>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Mobile facility rental revenue </w:t>
            </w:r>
            <w:r>
              <w:rPr>
                <w:rFonts w:ascii="Times New Roman" w:cs="Times New Roman" w:eastAsia="Times New Roman" w:hAnsi="Times New Roman"/>
                <w:sz w:val="9"/>
                <w:szCs w:val="9"/>
                <w:color w:val="auto"/>
              </w:rPr>
              <w:t>(2)</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1,350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(697)</w:t>
            </w:r>
          </w:p>
        </w:tc>
      </w:tr>
      <w:tr>
        <w:trPr>
          <w:trHeight w:val="189"/>
        </w:trPr>
        <w:tc>
          <w:tcPr>
            <w:tcW w:w="4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 xml:space="preserve">Food service and other services revenue </w:t>
            </w:r>
            <w:r>
              <w:rPr>
                <w:rFonts w:ascii="Times New Roman" w:cs="Times New Roman" w:eastAsia="Times New Roman" w:hAnsi="Times New Roman"/>
                <w:sz w:val="9"/>
                <w:szCs w:val="9"/>
                <w:color w:val="auto"/>
              </w:rPr>
              <w:t>(3)</w:t>
            </w:r>
          </w:p>
        </w:tc>
        <w:tc>
          <w:tcPr>
            <w:tcW w:w="1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13,741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13,291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450</w:t>
            </w:r>
          </w:p>
        </w:tc>
      </w:tr>
      <w:tr>
        <w:trPr>
          <w:trHeight w:val="196"/>
        </w:trPr>
        <w:tc>
          <w:tcPr>
            <w:tcW w:w="4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112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90,420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146,687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(56,267)</w:t>
            </w:r>
          </w:p>
        </w:tc>
      </w:tr>
      <w:tr>
        <w:trPr>
          <w:trHeight w:val="144"/>
        </w:trPr>
        <w:tc>
          <w:tcPr>
            <w:tcW w:w="4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9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 and services ($ in thousands)</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Accommodation cost</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59,483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93,917</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(34,434)</w:t>
            </w:r>
          </w:p>
        </w:tc>
      </w:tr>
      <w:tr>
        <w:trPr>
          <w:trHeight w:val="203"/>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Mobile facility rental cost</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4,052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(3,917)</w:t>
            </w: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Food service and other services cost</w:t>
            </w:r>
          </w:p>
        </w:tc>
        <w:tc>
          <w:tcPr>
            <w:tcW w:w="112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12,710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12,454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256</w:t>
            </w:r>
          </w:p>
        </w:tc>
      </w:tr>
      <w:tr>
        <w:trPr>
          <w:trHeight w:val="203"/>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Indirect other costs</w:t>
            </w:r>
          </w:p>
        </w:tc>
        <w:tc>
          <w:tcPr>
            <w:tcW w:w="1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4,354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5,683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(1,329)</w:t>
            </w:r>
          </w:p>
        </w:tc>
      </w:tr>
      <w:tr>
        <w:trPr>
          <w:trHeight w:val="182"/>
        </w:trPr>
        <w:tc>
          <w:tcPr>
            <w:tcW w:w="4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76,682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116,106</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(39,424)</w:t>
            </w:r>
          </w:p>
        </w:tc>
      </w:tr>
      <w:tr>
        <w:trPr>
          <w:trHeight w:val="151"/>
        </w:trPr>
        <w:tc>
          <w:tcPr>
            <w:tcW w:w="4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Gross margin as a % of revenues</w:t>
            </w:r>
          </w:p>
        </w:tc>
        <w:tc>
          <w:tcPr>
            <w:tcW w:w="1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51"/>
        </w:trPr>
        <w:tc>
          <w:tcPr>
            <w:tcW w:w="4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Average daily rate for lodges </w:t>
            </w:r>
            <w:r>
              <w:rPr>
                <w:rFonts w:ascii="Times New Roman" w:cs="Times New Roman" w:eastAsia="Times New Roman" w:hAnsi="Times New Roman"/>
                <w:sz w:val="9"/>
                <w:szCs w:val="9"/>
                <w:color w:val="auto"/>
              </w:rPr>
              <w:t>(4)</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w:t>
            </w:r>
          </w:p>
        </w:tc>
      </w:tr>
      <w:tr>
        <w:trPr>
          <w:trHeight w:val="151"/>
        </w:trPr>
        <w:tc>
          <w:tcPr>
            <w:tcW w:w="4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Total billed rooms for lodges </w:t>
            </w:r>
            <w:r>
              <w:rPr>
                <w:rFonts w:ascii="Times New Roman" w:cs="Times New Roman" w:eastAsia="Times New Roman" w:hAnsi="Times New Roman"/>
                <w:sz w:val="9"/>
                <w:szCs w:val="9"/>
                <w:color w:val="auto"/>
              </w:rPr>
              <w:t>(5)</w:t>
            </w:r>
          </w:p>
        </w:tc>
        <w:tc>
          <w:tcPr>
            <w:tcW w:w="112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808,667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1,362,396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(553,729)</w:t>
            </w:r>
          </w:p>
        </w:tc>
      </w:tr>
      <w:tr>
        <w:trPr>
          <w:trHeight w:val="151"/>
        </w:trPr>
        <w:tc>
          <w:tcPr>
            <w:tcW w:w="4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2"/>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Average Canadian dollar to U.S. dollar</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0.710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0.736</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(0.026)</w:t>
            </w:r>
          </w:p>
        </w:tc>
      </w:tr>
    </w:tbl>
    <w:p>
      <w:pPr>
        <w:spacing w:after="0" w:line="285" w:lineRule="exact"/>
        <w:rPr>
          <w:sz w:val="20"/>
          <w:szCs w:val="20"/>
          <w:color w:val="auto"/>
        </w:rPr>
      </w:pPr>
    </w:p>
    <w:p>
      <w:pPr>
        <w:ind w:left="300" w:hanging="295"/>
        <w:spacing w:after="0"/>
        <w:tabs>
          <w:tab w:leader="none" w:pos="30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lodge rooms and hospitality services for owned rooms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mobile assets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food services, laundry and water and wastewater treatment services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Average daily rate is based on billed rooms and accommodation revenue.</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Billed rooms represents total billed days for owned assets for the periods presented.</w:t>
      </w:r>
    </w:p>
    <w:p>
      <w:pPr>
        <w:spacing w:after="0" w:line="217"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Our Canadian segment reported revenues in the six months ended June 30, 2025 that were $56.3 million, or 38%, lower than the six months ended June 30, 2024. The weakening of the average exchange rate for the Canadian dollar relative to the U.S. dollar by 3.6% in the six months ended June 30, 2025 compared to the six months ended June 30, 2024 resulted in a $3.1 million period-over-period decrease in revenues. On a constant currency basis, the Canadian segment experienced a 36.2% period-over-period decrease in revenues. Excluding the impact of the weaker Canadian exchange rate, the decrease in the Canadian segment was driven by (i) lower billed rooms at our oil sands lodges as producers in the region remain focused on reducing operating costs, (ii) reduced occupancy at our Sitka Lodge as the Kitimat LNG facility was completed and commenced operations in the second quarter of 2025 and (iii) reduced mobile asset activity from pipeline projects which were completed in the first six months of 2024.</w:t>
      </w:r>
    </w:p>
    <w:p>
      <w:pPr>
        <w:spacing w:after="0" w:line="199"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Our Canadian segment cost of sales and services decreased $39.4 million, or 34%, in the six months ended June 30, 2025 compared to the six months ended June 30, 2024. The weakening of the average exchange rate for the Canadian dollar relative to the U.S. dollar by 3.6% in the six months ended June 30, 2025 compared to the six months ended June 30, 2024 resulted in a $2.9 million period-over-period decrease in cost of sales and services. Excluding the impact of the weaker Canadian exchange rate, the decrease in cost of sales and services in the Canadian segment was largely driven by (i) lower costs at various lodges due to reduced occupancy levels, (ii) lower costs related to the reduced mobile asset activity from pipeline projects for which final costs were incurred in the first six months of 2024 and (iii) reduced indirect costs as a result of various cost reduction measures.</w:t>
      </w:r>
    </w:p>
    <w:p>
      <w:pPr>
        <w:spacing w:after="0" w:line="200"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Our Canadian segment gross margin as a percentage of revenues decreased from 20.8% in the six months ended June 30, 2024 to 15.2% in the six months ended June 30, 2025. This was primarily driven by reduced efficiencies at our lodges with lower occupancy levels.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51"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Our primary liquidity needs are to fund capital expenditures, which in the past have included expanding and improving our hospitality services, developing new lodges and villages and purchasing or leasing land, to repurchase common shares, to pay dividends and for general working capital needs. In addition, capital has been used to repay debt and fund strategic business acquisitions. Historically, our primary sources of funds have been available cash, cash flow from operations, borrowings under our Amended Credit Agreement and proceeds from equity issuances. In the future, capital may be required to move lodges from one site to another, and we may seek to access the debt and equity capital markets from time to time to raise additional capital, increase liquidity, fund acquisitions or refinance debt.</w:t>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our consolidated liquidity position as of June 30, 2025 and December 31, 2024 (in thousands):</w:t>
      </w:r>
    </w:p>
    <w:p>
      <w:pPr>
        <w:spacing w:after="0" w:line="47"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7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156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Lender commitments</w:t>
            </w: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265,000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245,000</w:t>
            </w:r>
          </w:p>
        </w:tc>
      </w:tr>
      <w:tr>
        <w:trPr>
          <w:trHeight w:val="196"/>
        </w:trPr>
        <w:tc>
          <w:tcPr>
            <w:tcW w:w="7140" w:type="dxa"/>
            <w:vAlign w:val="bottom"/>
          </w:tcPr>
          <w:p>
            <w:pPr>
              <w:ind w:left="140"/>
              <w:spacing w:after="0" w:line="196" w:lineRule="exact"/>
              <w:rPr>
                <w:sz w:val="20"/>
                <w:szCs w:val="20"/>
                <w:color w:val="auto"/>
              </w:rPr>
            </w:pPr>
            <w:r>
              <w:rPr>
                <w:rFonts w:ascii="Times New Roman" w:cs="Times New Roman" w:eastAsia="Times New Roman" w:hAnsi="Times New Roman"/>
                <w:sz w:val="14"/>
                <w:szCs w:val="14"/>
                <w:color w:val="auto"/>
              </w:rPr>
              <w:t xml:space="preserve">Reduction in availability </w:t>
            </w:r>
            <w:r>
              <w:rPr>
                <w:rFonts w:ascii="Times New Roman" w:cs="Times New Roman" w:eastAsia="Times New Roman" w:hAnsi="Times New Roman"/>
                <w:sz w:val="18"/>
                <w:szCs w:val="18"/>
                <w:color w:val="auto"/>
                <w:vertAlign w:val="superscript"/>
              </w:rPr>
              <w:t>(1)</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(37,291)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w:t>
            </w:r>
          </w:p>
        </w:tc>
      </w:tr>
      <w:tr>
        <w:trPr>
          <w:trHeight w:val="196"/>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Borrowings against revolving credit capacity</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(168,672)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(43,299)</w:t>
            </w:r>
          </w:p>
        </w:tc>
      </w:tr>
      <w:tr>
        <w:trPr>
          <w:trHeight w:val="189"/>
        </w:trPr>
        <w:tc>
          <w:tcPr>
            <w:tcW w:w="7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Outstanding letters of credit</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w:t>
            </w:r>
          </w:p>
        </w:tc>
      </w:tr>
      <w:tr>
        <w:trPr>
          <w:trHeight w:val="19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Unused availability</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58,167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196,966</w:t>
            </w:r>
          </w:p>
        </w:tc>
      </w:tr>
      <w:tr>
        <w:trPr>
          <w:trHeight w:val="189"/>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14,638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5,204</w:t>
            </w:r>
          </w:p>
        </w:tc>
      </w:tr>
      <w:tr>
        <w:trPr>
          <w:trHeight w:val="221"/>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available liquidity</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72,805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202,170</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left="480" w:hanging="319"/>
        <w:spacing w:after="0" w:line="227" w:lineRule="auto"/>
        <w:tabs>
          <w:tab w:leader="none" w:pos="46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As of June 30, 2025 and December 31, 2024, $37.3 million and $3.6 million, respectively, of our borrowing capacity under the Amended Credit Agreement could not be utilized in order to maintain compliance with the maximum leverage ratio financial covenant in the Amended Credit Agreement.</w:t>
      </w:r>
    </w:p>
    <w:p>
      <w:pPr>
        <w:spacing w:after="0" w:line="218"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Cash totaling $10.8 million was used in operations during the six months ended June 30, 2025, compared to $38.3 million provided by operations during the six months ended June 30, 2024. Net cash used in working capital was $31.3 million during the six months ended June 30, 2025 compared to net cash provided by working capital of $2.4 million during the six months ended June 30, 2024. The year-over-year increase in cash used in working capital in 2025 compared to 2024 is largely due to an increase in cash taxes paid in Australia in 2025 compared to 2024 and the collection of holdbacks in Canada related to the completion of mobile asset pipeline projects during the six months ended June 30, 2024 that did not repeat in 2025, partially offset by a decrease in cash used by accounts payable and accrued liabilities during the six months ended June 30, 2025 compared to the six months ended June 30, 2024.</w:t>
      </w:r>
    </w:p>
    <w:p>
      <w:pPr>
        <w:spacing w:after="0" w:line="200"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Cash was used in investing activities during the six months ended June 30, 2025 in the amount of $74.4 million, compared to cash used in investing activities during the six months ended June 30, 2024 in the amount of $0.1 million. The increase in cash used in investing activities was primarily due to the Qantac Acquisition and lower proceeds from the sale of property, plant and equipment. We received net proceeds from the sale of property, plant and equipment of $0.3 million during the six months ended June 30, 2025 compared to $10.6 million during the six months ended June 30, 2024 related to the sale of our McClelland Lake Lodge accommodation assets in Canada and the sale of our Louisiana land in the U.S. Capital expenditures totaled $9.8 million and $10.9 million during the six months ended June 30, 2025 and 2024, respectively. Capital expenditures in both periods were primarily related to maintenance. In addition, our 2024 capital expenditures included approximately $2.9 million related to customer-funded infrastructure upgrades in Australia.</w:t>
      </w:r>
    </w:p>
    <w:p>
      <w:pPr>
        <w:spacing w:after="0" w:line="199"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We expect our capital expenditures for 2025 to be in the range of $20 million to $25 million, which excludes any unannounced and uncommitted projects, the spending for which is contingent on obtaining customer contracts or commitments or attractive risk-adjusted economics. Whether planned expenditures will actually be spent in 2025 depends on industry conditions, project approvals and schedules, customer room commitments and project and construction timing. We expect to fund these capital expenditures with available cash, cash flow from operations and revolving credit borrowings under our Amended Credit Agreement. The foregoing capital expenditure forecast does not include any funds for strategic acquisitions, which we could pursue should the transaction economics be attractive enough to us compared to the current capital allocation priorities of returning capital to shareholders. We continue to monitor the global economy, commodity prices, demand for met coal, crude oil, LNG and iron ore, inflation and the resultant impact on the capital spending plans of our customers in order to plan our business activities, and we may adjust our capital expenditure plans in the future.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211"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Net cash of $92.2 million was provided by financing activities during the six months ended June 30, 2025 primarily due to net borrowings under our revolving credit facilities of $119.2 million to primarily fund the Qantac Acquisition and share repurchases, partially offset by repurchases of our common shares of $22.5 million, dividend payments of $3.4 million, payments to settle tax obligations on vested shares under our share-based compensation plans of $0.6 million and debt issuance costs of $0.4 million. Net cash of $34.1 million was used in financing activities during the six months ended June 30, 2024 primarily due to net repayments under our revolving credit facilities of $15.8 million, repurchases of our common shares of $9.9 million, dividend payments of $7.4 million and payments to settle tax obligations on vested shares under our share-based compensation plans of $1.1 million.</w:t>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the changes in debt outstanding during the six months ended June 30, 2025 (in thousands):</w:t>
      </w:r>
    </w:p>
    <w:p>
      <w:pPr>
        <w:sectPr>
          <w:pgSz w:w="11900" w:h="16838" w:orient="portrait"/>
          <w:cols w:equalWidth="0" w:num="1">
            <w:col w:w="11240"/>
          </w:cols>
          <w:pgMar w:left="320" w:top="1440" w:right="339" w:bottom="1440" w:gutter="0" w:footer="0" w:header="0"/>
        </w:sectPr>
      </w:pPr>
    </w:p>
    <w:p>
      <w:pPr>
        <w:spacing w:after="0" w:line="33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4"/>
          <w:szCs w:val="14"/>
          <w:color w:val="auto"/>
        </w:rPr>
        <w:t>Balance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1562735</wp:posOffset>
            </wp:positionH>
            <wp:positionV relativeFrom="paragraph">
              <wp:posOffset>-95885</wp:posOffset>
            </wp:positionV>
            <wp:extent cx="4024630" cy="1244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024630" cy="124460"/>
                    </a:xfrm>
                    <a:prstGeom prst="rect">
                      <a:avLst/>
                    </a:prstGeom>
                    <a:noFill/>
                  </pic:spPr>
                </pic:pic>
              </a:graphicData>
            </a:graphic>
          </wp:anchor>
        </w:drawing>
      </w:r>
    </w:p>
    <w:p>
      <w:pPr>
        <w:spacing w:after="0" w:line="1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color w:val="auto"/>
        </w:rPr>
        <w:t>Borrowings under revolving credit facilities</w:t>
      </w:r>
    </w:p>
    <w:p>
      <w:pPr>
        <w:spacing w:after="0" w:line="3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3"/>
          <w:szCs w:val="13"/>
          <w:color w:val="auto"/>
        </w:rPr>
        <w:t>Repayments of borrowings under revolving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1562735</wp:posOffset>
            </wp:positionH>
            <wp:positionV relativeFrom="paragraph">
              <wp:posOffset>-88265</wp:posOffset>
            </wp:positionV>
            <wp:extent cx="4024630" cy="1244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24630" cy="124460"/>
                    </a:xfrm>
                    <a:prstGeom prst="rect">
                      <a:avLst/>
                    </a:prstGeom>
                    <a:noFill/>
                  </pic:spPr>
                </pic:pic>
              </a:graphicData>
            </a:graphic>
          </wp:anchor>
        </w:drawing>
      </w:r>
    </w:p>
    <w:p>
      <w:pPr>
        <w:spacing w:after="0" w:line="2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color w:val="auto"/>
        </w:rPr>
        <w:t>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1562735</wp:posOffset>
            </wp:positionH>
            <wp:positionV relativeFrom="paragraph">
              <wp:posOffset>27940</wp:posOffset>
            </wp:positionV>
            <wp:extent cx="4024630" cy="1492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024630" cy="149225"/>
                    </a:xfrm>
                    <a:prstGeom prst="rect">
                      <a:avLst/>
                    </a:prstGeom>
                    <a:noFill/>
                  </pic:spPr>
                </pic:pic>
              </a:graphicData>
            </a:graphic>
          </wp:anchor>
        </w:drawing>
      </w:r>
    </w:p>
    <w:p>
      <w:pPr>
        <w:spacing w:after="0" w:line="5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4"/>
          <w:szCs w:val="14"/>
          <w:color w:val="auto"/>
        </w:rPr>
        <w:t>Balance at June 30, 2025</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left="902" w:hanging="902"/>
        <w:spacing w:after="0"/>
        <w:tabs>
          <w:tab w:leader="none" w:pos="90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43,299</w:t>
      </w:r>
    </w:p>
    <w:p>
      <w:pPr>
        <w:spacing w:after="0" w:line="35" w:lineRule="exact"/>
        <w:rPr>
          <w:rFonts w:ascii="Times New Roman" w:cs="Times New Roman" w:eastAsia="Times New Roman" w:hAnsi="Times New Roman"/>
          <w:sz w:val="14"/>
          <w:szCs w:val="14"/>
          <w:color w:val="auto"/>
        </w:rPr>
      </w:pPr>
    </w:p>
    <w:p>
      <w:pPr>
        <w:ind w:left="842"/>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232,902</w:t>
      </w:r>
    </w:p>
    <w:p>
      <w:pPr>
        <w:spacing w:after="0" w:line="35" w:lineRule="exact"/>
        <w:rPr>
          <w:sz w:val="20"/>
          <w:szCs w:val="20"/>
          <w:color w:val="auto"/>
        </w:rPr>
      </w:pPr>
    </w:p>
    <w:p>
      <w:pPr>
        <w:jc w:val="right"/>
        <w:ind w:right="2480"/>
        <w:spacing w:after="0"/>
        <w:rPr>
          <w:sz w:val="20"/>
          <w:szCs w:val="20"/>
          <w:color w:val="auto"/>
        </w:rPr>
      </w:pPr>
      <w:r>
        <w:rPr>
          <w:rFonts w:ascii="Times New Roman" w:cs="Times New Roman" w:eastAsia="Times New Roman" w:hAnsi="Times New Roman"/>
          <w:sz w:val="14"/>
          <w:szCs w:val="14"/>
          <w:color w:val="auto"/>
        </w:rPr>
        <w:t>(113,679)</w:t>
      </w:r>
    </w:p>
    <w:p>
      <w:pPr>
        <w:spacing w:after="0" w:line="35" w:lineRule="exact"/>
        <w:rPr>
          <w:sz w:val="20"/>
          <w:szCs w:val="20"/>
          <w:color w:val="auto"/>
        </w:rPr>
      </w:pPr>
    </w:p>
    <w:p>
      <w:pPr>
        <w:jc w:val="right"/>
        <w:ind w:right="2500"/>
        <w:spacing w:after="0"/>
        <w:rPr>
          <w:sz w:val="20"/>
          <w:szCs w:val="20"/>
          <w:color w:val="auto"/>
        </w:rPr>
      </w:pPr>
      <w:r>
        <w:rPr>
          <w:rFonts w:ascii="Times New Roman" w:cs="Times New Roman" w:eastAsia="Times New Roman" w:hAnsi="Times New Roman"/>
          <w:sz w:val="14"/>
          <w:szCs w:val="14"/>
          <w:color w:val="auto"/>
        </w:rPr>
        <w:t>6,150</w:t>
      </w:r>
    </w:p>
    <w:p>
      <w:pPr>
        <w:spacing w:after="0" w:line="48" w:lineRule="exact"/>
        <w:rPr>
          <w:sz w:val="20"/>
          <w:szCs w:val="20"/>
          <w:color w:val="auto"/>
        </w:rPr>
      </w:pPr>
    </w:p>
    <w:p>
      <w:pPr>
        <w:ind w:left="842" w:hanging="842"/>
        <w:spacing w:after="0"/>
        <w:tabs>
          <w:tab w:leader="none" w:pos="84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168,672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53340</wp:posOffset>
            </wp:positionV>
            <wp:extent cx="8712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7122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6718" w:space="720"/>
            <w:col w:w="3802"/>
          </w:cols>
          <w:pgMar w:left="320" w:top="1440" w:right="339" w:bottom="1440" w:gutter="0" w:footer="0" w:header="0"/>
          <w:type w:val="continuous"/>
        </w:sectPr>
      </w:pPr>
    </w:p>
    <w:p>
      <w:pPr>
        <w:spacing w:after="0" w:line="153"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We believe that cash on hand and cash flow from operations will be sufficient to meet our anticipated liquidity needs for the next 12 months. If our plans or assumptions change, including as a result of changes in our customers' capital spending or changes in the price of and demand for natural resources, or are inaccurate, or if we make acquisitions, we may need to raise additional capital. Selectively pursuing strategic organic and inorganic growth opportunities that fit with our current capital allocation priorities of returning capital to shareholders has been, and our management believes will continue to be, an element of our long-term business strategy. The timing, size or success of any growth opportunities and the associated potential capital commitments are unpredictable and uncertain. We may seek to fund all or part of any such efforts with proceeds from debt and/or equity issuances or may issue equity directly to the sellers. Our ability to obtain capital for additional projects to implement our growth strategy over the longer term will depend 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any additional debt service requirements we take on could be based on higher interest rates and shorter maturities and could impose a significant burden on our results of operations and financial condition, and the issuance of additional equity securities could result in significant dilution to shareholders.</w:t>
      </w:r>
    </w:p>
    <w:p>
      <w:pPr>
        <w:spacing w:after="0" w:line="206"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In September 2024, our Board authorized a common share repurchase program (the Share Repurchase Program) to repurchase up to 5.0% of our total common shares which are issued and outstanding at that date, or 0.7 million common shares, over a twelve month period. In March 2025, our Board authorized an increase to the Share Repurchase Program to repurchase up to 10.0% of our total common shares which are issued and outstanding at that date, and in April 2025, our Board authorized a further increase to repurchase up to 20% of our total common shares which are issued and outstanding at that date, or approximately 2.7 million common shares (the 2025 Share Repurchase Program). The 2025 Share Repurchase Program does not expire. In addition, our Board declared quarterly dividends of $0.25 per common share to shareholders in the first quarter of 2025. These dividends were eligible dividends pursuant to the Income Tax Act (Canada). See Dividends below and Note 12 – Share Repurchase Programs and Dividends to the notes to the unaudited consolidated financial statements included in Item 1 of this quarterly report for further discussion.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5" w:name="page36"/>
    <w:bookmarkEnd w:id="35"/>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120"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On March 24, 2025, we amended our Syndicated Facility Agreement (as amended to date, the Amended Credit Agreement) to increase the Australian revolving commitments by $20.0 million to an aggregate amount of $55.0 million.</w:t>
      </w:r>
    </w:p>
    <w:p>
      <w:pPr>
        <w:spacing w:after="0" w:line="42"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As of June 30, 2025, the Amended Credit Agreement provided for a $265.0 million revolving credit facility scheduled to mature on August 8, 2028, allocated as follows: (A) a $10.0 million senior secured revolving credit facility in favor of certain of our U.S. subsidiaries, as borrowers; (B) a $200.0 million senior secured revolving credit facility in favor of Civeo and certain of our U.S. subsidiaries, as borrowers; and (C) a $55.0 million senior secured revolving credit facility in favor of one of our Australian subsidiaries, as borrower.</w:t>
      </w:r>
    </w:p>
    <w:p>
      <w:pPr>
        <w:spacing w:after="0" w:line="65"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As of June 30, 2025, we had outstanding letters of credit of zero under the U.S. facility, zero under the Australian facility and $0.9 million under the Canadian facility. We also had outstanding bank guarantees of A$1.5 million under the Australian facility.</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See Note 8 – Debt to the notes to the unaudited consolidated financial statements included in Item 1 of this quarterly report for further discussion.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51"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In April 2025, we announced the suspension by our Board of quarterly dividends on our common shares to prioritize returning capital to our shareholders through ongoing share repurchases. The declaration and amount of any potential future dividends will be at the discretion of our Board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deems relevant. In addition, our ability to pay cash dividends on common shares is limited by covenants in the Amended Credit Agreement. Future agreements may also limit our ability to pay dividends, and we may incur incremental taxes if we are required to repatriate foreign earnings to pay such dividends. If any dividends are declared in the future, the amount per share of our dividend payments may be changed, or dividends may again be suspended, without advance notice. The likelihood that dividends will be reduced or suspended is increased during periods of market weakness. There can be no assurance that we will pay any dividends in the future.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225"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For a discussion of the critical accounting policies and estimates that we use in the preparation of our consolidated financial statements, see “Management’s Discussion and Analysis of Financial Condition and Results of Operations” in our Annual Report on Form 10-K for the year ended December 31, 2024. These estimates require significant judgments, assumptions and estimates. We have discussed the development, selection and disclosure of these critical accounting policies and estimates with the audit committee of our Board. There have been no material changes to the judgments, assumptions and estimates upon which our critical accounting estimates are based.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Our principal market risks are our exposure to changes in interest rates and foreign currency exchange rates.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225"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We have credit facilities that are subject to the risk of higher interest charges associated with increases in interest rates. As of June 30, 2025, we had $168.7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$1.7 million annually, based on our floating-rate debt obligations and interest rates in effect as of June 30, 2025.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Exchange Rate Risk</w:t>
      </w:r>
    </w:p>
    <w:p>
      <w:pPr>
        <w:spacing w:after="0" w:line="225"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currencies other than the U.S. dollar, which is our reporting currency, or the functional currency of our subsidiaries, which is not necessarily the U.S. dollar. Excluding intercompany balances, our Australian dollar and Canadian dollar functional currency net assets total approximately A$234 million and C$74 million, respectively, at June 30, 2025. We use a sensitivity analysis model to measure the impact of a 10% adverse movement of foreign currency exchange rates against the U.S. dollar. A hypothetical 10% adverse change in the value of the Australian dollar and Canadian dollar relative to the U.S. dollar as of June 30, 2025 would result in translation adjustments of approximately $23 million and $7 million, respectively, recorded in other comprehensive loss. Although we do not currently have any foreign exchange agreements outstanding, to reduce our exposure to fluctuations in currency exchange rates, we may enter into foreign exchange agreements with financial institutions in the future.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25"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June 30, 2025, at the reasonable assurance level.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25"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During the three months ended June 30, 2025,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20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Legal Proceedings</w:t>
      </w:r>
    </w:p>
    <w:p>
      <w:pPr>
        <w:spacing w:after="0" w:line="227" w:lineRule="exact"/>
        <w:rPr>
          <w:sz w:val="20"/>
          <w:szCs w:val="20"/>
          <w:color w:val="auto"/>
        </w:rPr>
      </w:pPr>
    </w:p>
    <w:p>
      <w:pPr>
        <w:jc w:val="both"/>
        <w:ind w:right="100" w:firstLine="314"/>
        <w:spacing w:after="0" w:line="263" w:lineRule="auto"/>
        <w:rPr>
          <w:sz w:val="20"/>
          <w:szCs w:val="20"/>
          <w:color w:val="auto"/>
        </w:rPr>
      </w:pPr>
      <w:r>
        <w:rPr>
          <w:rFonts w:ascii="Times New Roman" w:cs="Times New Roman" w:eastAsia="Times New Roman" w:hAnsi="Times New Roman"/>
          <w:sz w:val="17"/>
          <w:szCs w:val="17"/>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253" w:lineRule="exact"/>
        <w:rPr>
          <w:sz w:val="20"/>
          <w:szCs w:val="20"/>
          <w:color w:val="auto"/>
        </w:rPr>
      </w:pPr>
    </w:p>
    <w:p>
      <w:pPr>
        <w:jc w:val="both"/>
        <w:ind w:right="100" w:firstLine="314"/>
        <w:spacing w:after="0" w:line="266" w:lineRule="auto"/>
        <w:rPr>
          <w:sz w:val="20"/>
          <w:szCs w:val="20"/>
          <w:color w:val="auto"/>
        </w:rPr>
      </w:pPr>
      <w:r>
        <w:rPr>
          <w:rFonts w:ascii="Times New Roman" w:cs="Times New Roman" w:eastAsia="Times New Roman" w:hAnsi="Times New Roman"/>
          <w:sz w:val="17"/>
          <w:szCs w:val="17"/>
          <w:color w:val="auto"/>
        </w:rPr>
        <w:t>In addition to information set forth in this Quarterly Report on Form 10-Q, including “Management’s Discussion and Analysis of Financial Condition and Results of Operations", you should carefully read and consider “Risk Factors” and “Management's Discussion and Analysis of Financial Condition and Results of Operations” in our Annual Report on Form 10-K for the year ended December 31, 2024 and "Risk Factors" in our Quarterly Report on Form 10-Q for the quarter ended March 31, 2025, which contain descriptions of significant factors that may cause our future operating results to differ materially from those currently expected.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provides information about purchases of our common shares during the three months ended June 30, 2025.</w:t>
      </w:r>
    </w:p>
    <w:p>
      <w:pPr>
        <w:spacing w:after="0" w:line="266"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27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20" w:type="dxa"/>
            <w:vAlign w:val="bottom"/>
          </w:tcPr>
          <w:p>
            <w:pPr>
              <w:jc w:val="center"/>
              <w:ind w:left="42"/>
              <w:spacing w:after="0"/>
              <w:rPr>
                <w:sz w:val="20"/>
                <w:szCs w:val="20"/>
                <w:color w:val="auto"/>
              </w:rPr>
            </w:pPr>
            <w:r>
              <w:rPr>
                <w:rFonts w:ascii="Times New Roman" w:cs="Times New Roman" w:eastAsia="Times New Roman" w:hAnsi="Times New Roman"/>
                <w:sz w:val="16"/>
                <w:szCs w:val="16"/>
                <w:b w:val="1"/>
                <w:bCs w:val="1"/>
                <w:color w:val="auto"/>
                <w:w w:val="96"/>
              </w:rPr>
              <w:t>Total number of shares</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Maximum number of</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760" w:type="dxa"/>
            <w:vAlign w:val="bottom"/>
          </w:tcPr>
          <w:p>
            <w:pPr>
              <w:spacing w:after="0"/>
              <w:rPr>
                <w:sz w:val="13"/>
                <w:szCs w:val="13"/>
                <w:color w:val="auto"/>
              </w:rPr>
            </w:pPr>
          </w:p>
        </w:tc>
        <w:tc>
          <w:tcPr>
            <w:tcW w:w="20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vMerge w:val="restart"/>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97"/>
              </w:rPr>
              <w:t>Average Price Paid</w:t>
            </w:r>
          </w:p>
        </w:tc>
        <w:tc>
          <w:tcPr>
            <w:tcW w:w="2020" w:type="dxa"/>
            <w:vAlign w:val="bottom"/>
          </w:tcPr>
          <w:p>
            <w:pPr>
              <w:jc w:val="center"/>
              <w:ind w:left="42"/>
              <w:spacing w:after="0" w:line="157" w:lineRule="exact"/>
              <w:rPr>
                <w:sz w:val="20"/>
                <w:szCs w:val="20"/>
                <w:color w:val="auto"/>
              </w:rPr>
            </w:pPr>
            <w:r>
              <w:rPr>
                <w:rFonts w:ascii="Times New Roman" w:cs="Times New Roman" w:eastAsia="Times New Roman" w:hAnsi="Times New Roman"/>
                <w:sz w:val="16"/>
                <w:szCs w:val="16"/>
                <w:b w:val="1"/>
                <w:bCs w:val="1"/>
                <w:color w:val="auto"/>
                <w:w w:val="98"/>
              </w:rPr>
              <w:t>purchased as part of</w:t>
            </w:r>
          </w:p>
        </w:tc>
        <w:tc>
          <w:tcPr>
            <w:tcW w:w="164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8"/>
              </w:rPr>
              <w:t>shares that may be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760" w:type="dxa"/>
            <w:vAlign w:val="bottom"/>
          </w:tcPr>
          <w:p>
            <w:pPr>
              <w:spacing w:after="0"/>
              <w:rPr>
                <w:sz w:val="13"/>
                <w:szCs w:val="13"/>
                <w:color w:val="auto"/>
              </w:rPr>
            </w:pPr>
          </w:p>
        </w:tc>
        <w:tc>
          <w:tcPr>
            <w:tcW w:w="20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2020" w:type="dxa"/>
            <w:vAlign w:val="bottom"/>
          </w:tcPr>
          <w:p>
            <w:pPr>
              <w:jc w:val="center"/>
              <w:ind w:left="42"/>
              <w:spacing w:after="0" w:line="157" w:lineRule="exact"/>
              <w:rPr>
                <w:sz w:val="20"/>
                <w:szCs w:val="20"/>
                <w:color w:val="auto"/>
              </w:rPr>
            </w:pPr>
            <w:r>
              <w:rPr>
                <w:rFonts w:ascii="Times New Roman" w:cs="Times New Roman" w:eastAsia="Times New Roman" w:hAnsi="Times New Roman"/>
                <w:sz w:val="16"/>
                <w:szCs w:val="16"/>
                <w:b w:val="1"/>
                <w:bCs w:val="1"/>
                <w:color w:val="auto"/>
                <w:w w:val="97"/>
              </w:rPr>
              <w:t>publicly announced plans</w:t>
            </w:r>
          </w:p>
        </w:tc>
        <w:tc>
          <w:tcPr>
            <w:tcW w:w="164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7"/>
              </w:rPr>
              <w:t>purchased under the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76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2020" w:type="dxa"/>
            <w:vAlign w:val="bottom"/>
          </w:tcPr>
          <w:p>
            <w:pPr>
              <w:jc w:val="center"/>
              <w:ind w:left="42"/>
              <w:spacing w:after="0"/>
              <w:rPr>
                <w:sz w:val="20"/>
                <w:szCs w:val="20"/>
                <w:color w:val="auto"/>
              </w:rPr>
            </w:pPr>
            <w:r>
              <w:rPr>
                <w:rFonts w:ascii="Times New Roman" w:cs="Times New Roman" w:eastAsia="Times New Roman" w:hAnsi="Times New Roman"/>
                <w:sz w:val="16"/>
                <w:szCs w:val="16"/>
                <w:b w:val="1"/>
                <w:bCs w:val="1"/>
                <w:color w:val="auto"/>
                <w:w w:val="95"/>
              </w:rPr>
              <w:t>or programs</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plans or programs</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1, 2025 - April 30, 2025</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88,169</w:t>
            </w:r>
          </w:p>
        </w:tc>
        <w:tc>
          <w:tcPr>
            <w:tcW w:w="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rPr>
              <w:t>(1)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22.65</w:t>
            </w:r>
          </w:p>
        </w:tc>
        <w:tc>
          <w:tcPr>
            <w:tcW w:w="20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88,169</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2,690,651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206"/>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1, 2025 - May 31, 2025</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409,200</w:t>
            </w:r>
          </w:p>
        </w:tc>
        <w:tc>
          <w:tcPr>
            <w:tcW w:w="36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rPr>
              <w:t>(2)</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20.60</w:t>
            </w:r>
          </w:p>
        </w:tc>
        <w:tc>
          <w:tcPr>
            <w:tcW w:w="20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409,200</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2,281,451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1, 2025 - June 30, 2025</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385,964</w:t>
            </w:r>
          </w:p>
        </w:tc>
        <w:tc>
          <w:tcPr>
            <w:tcW w:w="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rPr>
              <w:t>(2)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22.50</w:t>
            </w:r>
          </w:p>
        </w:tc>
        <w:tc>
          <w:tcPr>
            <w:tcW w:w="20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385,964</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1,895,487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883,333</w:t>
            </w:r>
          </w:p>
        </w:tc>
        <w:tc>
          <w:tcPr>
            <w:tcW w:w="3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21.64</w:t>
            </w:r>
          </w:p>
        </w:tc>
        <w:tc>
          <w:tcPr>
            <w:tcW w:w="20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883,333</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1,895,487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left="320" w:right="100" w:hanging="315"/>
        <w:spacing w:after="0" w:line="236" w:lineRule="auto"/>
        <w:tabs>
          <w:tab w:leader="none" w:pos="30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 March 2025, our Board authorized the repurchase of up to 10% of our total common shares which were issued and outstanding, or approximately 1.4 million common shares (the Share Repurchase Program). We repurchased an aggregate of 88,169 of our common shares outstanding for approximately $2.0 million under the Share Repurchase Program during the three months ended June 30, 2025.</w:t>
      </w:r>
    </w:p>
    <w:p>
      <w:pPr>
        <w:jc w:val="both"/>
        <w:ind w:left="320" w:right="100" w:hanging="315"/>
        <w:spacing w:after="0" w:line="209" w:lineRule="exact"/>
        <w:tabs>
          <w:tab w:leader="none" w:pos="30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 April 2025, our Board authorized a further increase to repurchase up to 20% of our total common shares which are issued and outstanding at that date, or approximately 2.7 million common shares (the 2025 Share Repurchase Program). Under the 2025 Share Repurchase Program, we may repurchase shares through a variety of methods, including but not limited to open market repurchases, pursuant to a Rule 10b5</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 compliant plan, or privately negotiated transactions. The 2025 Share Repurchase Program does not expire. We repurchased an aggregate of 795,164 of our common shares outstanding for approximately $17.1 million under the 2025 Share Repurchase Program during the three months ended June 30, 2025.</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5. </w:t>
      </w:r>
      <w:r>
        <w:rPr>
          <w:rFonts w:ascii="Times New Roman" w:cs="Times New Roman" w:eastAsia="Times New Roman" w:hAnsi="Times New Roman"/>
          <w:sz w:val="17"/>
          <w:szCs w:val="17"/>
          <w:b w:val="1"/>
          <w:bCs w:val="1"/>
          <w:i w:val="1"/>
          <w:iCs w:val="1"/>
          <w:color w:val="auto"/>
        </w:rPr>
        <w:t>Other Information</w:t>
      </w:r>
    </w:p>
    <w:p>
      <w:pPr>
        <w:spacing w:after="0" w:line="2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 xml:space="preserve">ITEM 6. </w:t>
      </w:r>
      <w:r>
        <w:rPr>
          <w:rFonts w:ascii="Times New Roman" w:cs="Times New Roman" w:eastAsia="Times New Roman" w:hAnsi="Times New Roman"/>
          <w:sz w:val="17"/>
          <w:szCs w:val="17"/>
          <w:b w:val="1"/>
          <w:bCs w:val="1"/>
          <w:i w:val="1"/>
          <w:iCs w:val="1"/>
          <w:color w:val="auto"/>
        </w:rPr>
        <w:t>Exhibits</w:t>
      </w:r>
    </w:p>
    <w:p>
      <w:pPr>
        <w:spacing w:after="0" w:line="253" w:lineRule="exact"/>
        <w:rPr>
          <w:sz w:val="20"/>
          <w:szCs w:val="20"/>
          <w:color w:val="auto"/>
        </w:rPr>
      </w:pPr>
    </w:p>
    <w:p>
      <w:pPr>
        <w:ind w:left="620" w:hanging="459"/>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INDEX OF EXHIBITS</w:t>
      </w:r>
    </w:p>
    <w:p>
      <w:pPr>
        <w:spacing w:after="0" w:line="46"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1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20" w:type="dxa"/>
            <w:vAlign w:val="bottom"/>
            <w:gridSpan w:val="9"/>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20"/>
        </w:trPr>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w:t>
            </w:r>
          </w:p>
        </w:tc>
        <w:tc>
          <w:tcPr>
            <w:tcW w:w="420" w:type="dxa"/>
            <w:vAlign w:val="bottom"/>
          </w:tcPr>
          <w:p>
            <w:pPr>
              <w:spacing w:after="0"/>
              <w:rPr>
                <w:sz w:val="17"/>
                <w:szCs w:val="17"/>
                <w:color w:val="auto"/>
              </w:rPr>
            </w:pPr>
          </w:p>
        </w:tc>
        <w:tc>
          <w:tcPr>
            <w:tcW w:w="828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Form of Phantom Unit Agreement (Australia) under the 2014 Equity Participation Plan of Civeo Corporation used</w:t>
            </w:r>
          </w:p>
        </w:tc>
      </w:tr>
      <w:tr>
        <w:trPr>
          <w:trHeight w:val="163"/>
        </w:trPr>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160" w:type="dxa"/>
            <w:vAlign w:val="bottom"/>
            <w:tcBorders>
              <w:top w:val="single" w:sz="8" w:color="0000FF"/>
            </w:tcBorders>
            <w:gridSpan w:val="8"/>
          </w:tcPr>
          <w:p>
            <w:pPr>
              <w:spacing w:after="0" w:line="163" w:lineRule="exact"/>
              <w:rPr>
                <w:sz w:val="20"/>
                <w:szCs w:val="20"/>
                <w:color w:val="auto"/>
              </w:rPr>
            </w:pPr>
            <w:r>
              <w:rPr>
                <w:rFonts w:ascii="Times New Roman" w:cs="Times New Roman" w:eastAsia="Times New Roman" w:hAnsi="Times New Roman"/>
                <w:sz w:val="17"/>
                <w:szCs w:val="17"/>
                <w:color w:val="0000FF"/>
              </w:rPr>
              <w:t>for select officers.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9"/>
        </w:trPr>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10.2*†</w:t>
            </w:r>
          </w:p>
        </w:tc>
        <w:tc>
          <w:tcPr>
            <w:tcW w:w="420" w:type="dxa"/>
            <w:vAlign w:val="bottom"/>
          </w:tcPr>
          <w:p>
            <w:pPr>
              <w:spacing w:after="0"/>
              <w:rPr>
                <w:sz w:val="24"/>
                <w:szCs w:val="24"/>
                <w:color w:val="auto"/>
              </w:rPr>
            </w:pPr>
          </w:p>
        </w:tc>
        <w:tc>
          <w:tcPr>
            <w:tcW w:w="828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Form of Phantom Unit Agreement (U.S.) under the 2014 Equity Participation Plan of Civeo Corporation used for</w:t>
            </w:r>
          </w:p>
        </w:tc>
      </w:tr>
      <w:tr>
        <w:trPr>
          <w:trHeight w:val="163"/>
        </w:trPr>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Borders>
              <w:top w:val="single" w:sz="8" w:color="0000FF"/>
              <w:bottom w:val="single" w:sz="8" w:color="0000FF"/>
            </w:tcBorders>
          </w:tcPr>
          <w:p>
            <w:pPr>
              <w:spacing w:after="0" w:line="163" w:lineRule="exact"/>
              <w:rPr>
                <w:sz w:val="20"/>
                <w:szCs w:val="20"/>
                <w:color w:val="auto"/>
              </w:rPr>
            </w:pPr>
            <w:r>
              <w:rPr>
                <w:rFonts w:ascii="Times New Roman" w:cs="Times New Roman" w:eastAsia="Times New Roman" w:hAnsi="Times New Roman"/>
                <w:sz w:val="17"/>
                <w:szCs w:val="17"/>
                <w:color w:val="0000FF"/>
              </w:rPr>
              <w:t>select officers.</w:t>
            </w:r>
          </w:p>
        </w:tc>
        <w:tc>
          <w:tcPr>
            <w:tcW w:w="722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46"/>
        </w:trPr>
        <w:tc>
          <w:tcPr>
            <w:tcW w:w="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31.1*</w:t>
            </w:r>
          </w:p>
        </w:tc>
        <w:tc>
          <w:tcPr>
            <w:tcW w:w="80" w:type="dxa"/>
            <w:vAlign w:val="bottom"/>
          </w:tcPr>
          <w:p>
            <w:pPr>
              <w:spacing w:after="0"/>
              <w:rPr>
                <w:sz w:val="24"/>
                <w:szCs w:val="24"/>
                <w:color w:val="auto"/>
              </w:rPr>
            </w:pPr>
          </w:p>
        </w:tc>
        <w:tc>
          <w:tcPr>
            <w:tcW w:w="8700" w:type="dxa"/>
            <w:vAlign w:val="bottom"/>
            <w:gridSpan w:val="15"/>
          </w:tcPr>
          <w:p>
            <w:pPr>
              <w:ind w:left="8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Certification of Chief Executive Officer of Civeo Corporation pursuant to Rules 13a-14(a) or 15d-14(a) under the</w:t>
            </w:r>
          </w:p>
        </w:tc>
      </w:tr>
      <w:tr>
        <w:trPr>
          <w:trHeight w:val="163"/>
        </w:trPr>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60" w:type="dxa"/>
            <w:vAlign w:val="bottom"/>
            <w:tcBorders>
              <w:top w:val="single" w:sz="8" w:color="0000FF"/>
              <w:bottom w:val="single" w:sz="8" w:color="0000FF"/>
            </w:tcBorders>
            <w:gridSpan w:val="4"/>
          </w:tcPr>
          <w:p>
            <w:pPr>
              <w:spacing w:after="0" w:line="163" w:lineRule="exact"/>
              <w:rPr>
                <w:sz w:val="20"/>
                <w:szCs w:val="20"/>
                <w:color w:val="auto"/>
              </w:rPr>
            </w:pPr>
            <w:r>
              <w:rPr>
                <w:rFonts w:ascii="Times New Roman" w:cs="Times New Roman" w:eastAsia="Times New Roman" w:hAnsi="Times New Roman"/>
                <w:sz w:val="17"/>
                <w:szCs w:val="17"/>
                <w:color w:val="0000FF"/>
              </w:rPr>
              <w:t>Securities Exchange Act of 1934.</w:t>
            </w:r>
          </w:p>
        </w:tc>
        <w:tc>
          <w:tcPr>
            <w:tcW w:w="584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424"/>
        </w:trPr>
        <w:tc>
          <w:tcPr>
            <w:tcW w:w="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31.2*</w:t>
            </w:r>
          </w:p>
        </w:tc>
        <w:tc>
          <w:tcPr>
            <w:tcW w:w="80" w:type="dxa"/>
            <w:vAlign w:val="bottom"/>
          </w:tcPr>
          <w:p>
            <w:pPr>
              <w:spacing w:after="0"/>
              <w:rPr>
                <w:sz w:val="24"/>
                <w:szCs w:val="24"/>
                <w:color w:val="auto"/>
              </w:rPr>
            </w:pPr>
          </w:p>
        </w:tc>
        <w:tc>
          <w:tcPr>
            <w:tcW w:w="8700" w:type="dxa"/>
            <w:vAlign w:val="bottom"/>
            <w:gridSpan w:val="15"/>
          </w:tcPr>
          <w:p>
            <w:pPr>
              <w:ind w:left="8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Certification of Chief Financial Officer of Civeo Corporation pursuant to Rules 13a-14(a) or 15d-14(a) under the</w:t>
            </w:r>
          </w:p>
        </w:tc>
      </w:tr>
      <w:tr>
        <w:trPr>
          <w:trHeight w:val="163"/>
        </w:trPr>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20" w:type="dxa"/>
            <w:vAlign w:val="bottom"/>
            <w:tcBorders>
              <w:top w:val="single" w:sz="8" w:color="0000FF"/>
            </w:tcBorders>
            <w:gridSpan w:val="11"/>
          </w:tcPr>
          <w:p>
            <w:pPr>
              <w:spacing w:after="0" w:line="163" w:lineRule="exact"/>
              <w:rPr>
                <w:sz w:val="20"/>
                <w:szCs w:val="20"/>
                <w:color w:val="auto"/>
              </w:rPr>
            </w:pPr>
            <w:r>
              <w:rPr>
                <w:rFonts w:ascii="Times New Roman" w:cs="Times New Roman" w:eastAsia="Times New Roman" w:hAnsi="Times New Roman"/>
                <w:sz w:val="17"/>
                <w:szCs w:val="17"/>
                <w:color w:val="0000FF"/>
              </w:rPr>
              <w:t>Securities Exchange Act of 1934.</w:t>
            </w: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4"/>
        </w:trPr>
        <w:tc>
          <w:tcPr>
            <w:tcW w:w="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32.1**</w:t>
            </w:r>
          </w:p>
        </w:tc>
        <w:tc>
          <w:tcPr>
            <w:tcW w:w="80" w:type="dxa"/>
            <w:vAlign w:val="bottom"/>
          </w:tcPr>
          <w:p>
            <w:pPr>
              <w:spacing w:after="0"/>
              <w:rPr>
                <w:sz w:val="24"/>
                <w:szCs w:val="24"/>
                <w:color w:val="auto"/>
              </w:rPr>
            </w:pPr>
          </w:p>
        </w:tc>
        <w:tc>
          <w:tcPr>
            <w:tcW w:w="8700" w:type="dxa"/>
            <w:vAlign w:val="bottom"/>
            <w:gridSpan w:val="15"/>
          </w:tcPr>
          <w:p>
            <w:pPr>
              <w:ind w:left="8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Certification of Chief Executive Officer of Civeo Corporation pursuant to Rules 13a-14(b) or 15d-14(b) under the</w:t>
            </w:r>
          </w:p>
        </w:tc>
      </w:tr>
      <w:tr>
        <w:trPr>
          <w:trHeight w:val="163"/>
        </w:trPr>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60" w:type="dxa"/>
            <w:vAlign w:val="bottom"/>
            <w:tcBorders>
              <w:top w:val="single" w:sz="8" w:color="0000FF"/>
            </w:tcBorders>
            <w:gridSpan w:val="13"/>
          </w:tcPr>
          <w:p>
            <w:pPr>
              <w:spacing w:after="0" w:line="163" w:lineRule="exact"/>
              <w:rPr>
                <w:sz w:val="20"/>
                <w:szCs w:val="20"/>
                <w:color w:val="auto"/>
              </w:rPr>
            </w:pPr>
            <w:r>
              <w:rPr>
                <w:rFonts w:ascii="Times New Roman" w:cs="Times New Roman" w:eastAsia="Times New Roman" w:hAnsi="Times New Roman"/>
                <w:sz w:val="17"/>
                <w:szCs w:val="17"/>
                <w:color w:val="0000FF"/>
              </w:rPr>
              <w:t>Securities Exchange Act of 1934 and 18 U.S.C. Section 1350.</w:t>
            </w:r>
          </w:p>
        </w:tc>
        <w:tc>
          <w:tcPr>
            <w:tcW w:w="20" w:type="dxa"/>
            <w:vAlign w:val="bottom"/>
          </w:tcPr>
          <w:p>
            <w:pPr>
              <w:spacing w:after="0"/>
              <w:rPr>
                <w:sz w:val="14"/>
                <w:szCs w:val="14"/>
                <w:color w:val="auto"/>
              </w:rPr>
            </w:pPr>
          </w:p>
        </w:tc>
      </w:tr>
      <w:tr>
        <w:trPr>
          <w:trHeight w:val="20"/>
        </w:trPr>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20" w:type="dxa"/>
            <w:vAlign w:val="bottom"/>
            <w:gridSpan w:val="6"/>
            <w:shd w:val="clear" w:color="auto" w:fill="0000FF"/>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424"/>
        </w:trPr>
        <w:tc>
          <w:tcPr>
            <w:tcW w:w="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32.2**</w:t>
            </w:r>
          </w:p>
        </w:tc>
        <w:tc>
          <w:tcPr>
            <w:tcW w:w="80" w:type="dxa"/>
            <w:vAlign w:val="bottom"/>
          </w:tcPr>
          <w:p>
            <w:pPr>
              <w:spacing w:after="0"/>
              <w:rPr>
                <w:sz w:val="24"/>
                <w:szCs w:val="24"/>
                <w:color w:val="auto"/>
              </w:rPr>
            </w:pPr>
          </w:p>
        </w:tc>
        <w:tc>
          <w:tcPr>
            <w:tcW w:w="8700" w:type="dxa"/>
            <w:vAlign w:val="bottom"/>
            <w:gridSpan w:val="15"/>
          </w:tcPr>
          <w:p>
            <w:pPr>
              <w:ind w:left="8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Certification of Chief Financial Officer of Civeo Corporation pursuant to Rules 13a-14(b) or 15d-14(b) under the</w:t>
            </w:r>
          </w:p>
        </w:tc>
      </w:tr>
      <w:tr>
        <w:trPr>
          <w:trHeight w:val="163"/>
        </w:trPr>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180" w:type="dxa"/>
            <w:vAlign w:val="bottom"/>
            <w:tcBorders>
              <w:top w:val="single" w:sz="8" w:color="0000FF"/>
            </w:tcBorders>
            <w:gridSpan w:val="9"/>
          </w:tcPr>
          <w:p>
            <w:pPr>
              <w:spacing w:after="0" w:line="163" w:lineRule="exact"/>
              <w:rPr>
                <w:sz w:val="20"/>
                <w:szCs w:val="20"/>
                <w:color w:val="auto"/>
              </w:rPr>
            </w:pPr>
            <w:r>
              <w:rPr>
                <w:rFonts w:ascii="Times New Roman" w:cs="Times New Roman" w:eastAsia="Times New Roman" w:hAnsi="Times New Roman"/>
                <w:sz w:val="17"/>
                <w:szCs w:val="17"/>
                <w:color w:val="0000FF"/>
              </w:rPr>
              <w:t>Securities Exchange Act of 1934 and 18 U.S.C. Section 1350.</w:t>
            </w:r>
          </w:p>
        </w:tc>
        <w:tc>
          <w:tcPr>
            <w:tcW w:w="100" w:type="dxa"/>
            <w:vAlign w:val="bottom"/>
            <w:gridSpan w:val="5"/>
          </w:tcPr>
          <w:p>
            <w:pPr>
              <w:spacing w:after="0"/>
              <w:rPr>
                <w:sz w:val="14"/>
                <w:szCs w:val="14"/>
                <w:color w:val="auto"/>
              </w:rPr>
            </w:pPr>
          </w:p>
        </w:tc>
      </w:tr>
      <w:tr>
        <w:trPr>
          <w:trHeight w:val="20"/>
        </w:trPr>
        <w:tc>
          <w:tcPr>
            <w:tcW w:w="10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20" w:type="dxa"/>
            <w:vAlign w:val="bottom"/>
            <w:gridSpan w:val="6"/>
            <w:shd w:val="clear" w:color="auto" w:fill="0000FF"/>
          </w:tcPr>
          <w:p>
            <w:pPr>
              <w:spacing w:after="0" w:line="20" w:lineRule="exact"/>
              <w:rPr>
                <w:sz w:val="1"/>
                <w:szCs w:val="1"/>
                <w:color w:val="auto"/>
              </w:rPr>
            </w:pPr>
          </w:p>
        </w:tc>
        <w:tc>
          <w:tcPr>
            <w:tcW w:w="3960" w:type="dxa"/>
            <w:vAlign w:val="bottom"/>
            <w:gridSpan w:val="8"/>
          </w:tcPr>
          <w:p>
            <w:pPr>
              <w:spacing w:after="0" w:line="20" w:lineRule="exact"/>
              <w:rPr>
                <w:sz w:val="1"/>
                <w:szCs w:val="1"/>
                <w:color w:val="auto"/>
              </w:rPr>
            </w:pPr>
          </w:p>
        </w:tc>
      </w:tr>
      <w:tr>
        <w:trPr>
          <w:trHeight w:val="419"/>
        </w:trPr>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101.INS*</w:t>
            </w:r>
          </w:p>
        </w:tc>
        <w:tc>
          <w:tcPr>
            <w:tcW w:w="8700" w:type="dxa"/>
            <w:vAlign w:val="bottom"/>
            <w:gridSpan w:val="15"/>
          </w:tcPr>
          <w:p>
            <w:pPr>
              <w:ind w:left="80"/>
              <w:spacing w:after="0"/>
              <w:rPr>
                <w:sz w:val="20"/>
                <w:szCs w:val="20"/>
                <w:color w:val="auto"/>
              </w:rPr>
            </w:pPr>
            <w:r>
              <w:rPr>
                <w:rFonts w:ascii="Times New Roman" w:cs="Times New Roman" w:eastAsia="Times New Roman" w:hAnsi="Times New Roman"/>
                <w:sz w:val="17"/>
                <w:szCs w:val="17"/>
                <w:color w:val="auto"/>
              </w:rPr>
              <w:t>—  Inline XBRL Instance Document - the instance document does not appear in the Interactive Data File because its</w:t>
            </w:r>
          </w:p>
        </w:tc>
      </w:tr>
      <w:tr>
        <w:trPr>
          <w:trHeight w:val="227"/>
        </w:trPr>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8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XBRL tags are embedded within the Inline XBRL document</w:t>
            </w:r>
          </w:p>
        </w:tc>
      </w:tr>
      <w:tr>
        <w:trPr>
          <w:trHeight w:val="444"/>
        </w:trPr>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101.SCH*</w:t>
            </w:r>
          </w:p>
        </w:tc>
        <w:tc>
          <w:tcPr>
            <w:tcW w:w="8700" w:type="dxa"/>
            <w:vAlign w:val="bottom"/>
            <w:gridSpan w:val="15"/>
          </w:tcPr>
          <w:p>
            <w:pPr>
              <w:ind w:left="80"/>
              <w:spacing w:after="0"/>
              <w:rPr>
                <w:sz w:val="20"/>
                <w:szCs w:val="20"/>
                <w:color w:val="auto"/>
              </w:rPr>
            </w:pPr>
            <w:r>
              <w:rPr>
                <w:rFonts w:ascii="Times New Roman" w:cs="Times New Roman" w:eastAsia="Times New Roman" w:hAnsi="Times New Roman"/>
                <w:sz w:val="17"/>
                <w:szCs w:val="17"/>
                <w:color w:val="auto"/>
              </w:rPr>
              <w:t>—  Inline XBRL Taxonomy Extension Schema Document</w:t>
            </w:r>
          </w:p>
        </w:tc>
      </w:tr>
      <w:tr>
        <w:trPr>
          <w:trHeight w:val="444"/>
        </w:trPr>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101.CAL*</w:t>
            </w:r>
          </w:p>
        </w:tc>
        <w:tc>
          <w:tcPr>
            <w:tcW w:w="8700" w:type="dxa"/>
            <w:vAlign w:val="bottom"/>
            <w:gridSpan w:val="15"/>
          </w:tcPr>
          <w:p>
            <w:pPr>
              <w:ind w:left="80"/>
              <w:spacing w:after="0"/>
              <w:rPr>
                <w:sz w:val="20"/>
                <w:szCs w:val="20"/>
                <w:color w:val="auto"/>
              </w:rPr>
            </w:pPr>
            <w:r>
              <w:rPr>
                <w:rFonts w:ascii="Times New Roman" w:cs="Times New Roman" w:eastAsia="Times New Roman" w:hAnsi="Times New Roman"/>
                <w:sz w:val="17"/>
                <w:szCs w:val="17"/>
                <w:color w:val="auto"/>
              </w:rPr>
              <w:t>—  Inline XBRL Taxonomy Extension Calculation Linkbase Document</w:t>
            </w:r>
          </w:p>
        </w:tc>
      </w:tr>
      <w:tr>
        <w:trPr>
          <w:trHeight w:val="444"/>
        </w:trPr>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101.DEF*</w:t>
            </w:r>
          </w:p>
        </w:tc>
        <w:tc>
          <w:tcPr>
            <w:tcW w:w="8700" w:type="dxa"/>
            <w:vAlign w:val="bottom"/>
            <w:gridSpan w:val="15"/>
          </w:tcPr>
          <w:p>
            <w:pPr>
              <w:ind w:left="80"/>
              <w:spacing w:after="0"/>
              <w:rPr>
                <w:sz w:val="20"/>
                <w:szCs w:val="20"/>
                <w:color w:val="auto"/>
              </w:rPr>
            </w:pPr>
            <w:r>
              <w:rPr>
                <w:rFonts w:ascii="Times New Roman" w:cs="Times New Roman" w:eastAsia="Times New Roman" w:hAnsi="Times New Roman"/>
                <w:sz w:val="17"/>
                <w:szCs w:val="17"/>
                <w:color w:val="auto"/>
              </w:rPr>
              <w:t>—  Inline Taxonomy Extension Definition Linkbase Document</w:t>
            </w:r>
          </w:p>
        </w:tc>
      </w:tr>
      <w:tr>
        <w:trPr>
          <w:trHeight w:val="444"/>
        </w:trPr>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101.LAB*</w:t>
            </w:r>
          </w:p>
        </w:tc>
        <w:tc>
          <w:tcPr>
            <w:tcW w:w="8700" w:type="dxa"/>
            <w:vAlign w:val="bottom"/>
            <w:gridSpan w:val="15"/>
          </w:tcPr>
          <w:p>
            <w:pPr>
              <w:ind w:left="80"/>
              <w:spacing w:after="0"/>
              <w:rPr>
                <w:sz w:val="20"/>
                <w:szCs w:val="20"/>
                <w:color w:val="auto"/>
              </w:rPr>
            </w:pPr>
            <w:r>
              <w:rPr>
                <w:rFonts w:ascii="Times New Roman" w:cs="Times New Roman" w:eastAsia="Times New Roman" w:hAnsi="Times New Roman"/>
                <w:sz w:val="17"/>
                <w:szCs w:val="17"/>
                <w:color w:val="auto"/>
              </w:rPr>
              <w:t>—  Inline XBRL Taxonomy Extension Label Linkbase Document</w:t>
            </w:r>
          </w:p>
        </w:tc>
      </w:tr>
      <w:tr>
        <w:trPr>
          <w:trHeight w:val="444"/>
        </w:trPr>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101.PRE*</w:t>
            </w:r>
          </w:p>
        </w:tc>
        <w:tc>
          <w:tcPr>
            <w:tcW w:w="8700" w:type="dxa"/>
            <w:vAlign w:val="bottom"/>
            <w:gridSpan w:val="15"/>
          </w:tcPr>
          <w:p>
            <w:pPr>
              <w:ind w:left="80"/>
              <w:spacing w:after="0"/>
              <w:rPr>
                <w:sz w:val="20"/>
                <w:szCs w:val="20"/>
                <w:color w:val="auto"/>
              </w:rPr>
            </w:pPr>
            <w:r>
              <w:rPr>
                <w:rFonts w:ascii="Times New Roman" w:cs="Times New Roman" w:eastAsia="Times New Roman" w:hAnsi="Times New Roman"/>
                <w:sz w:val="17"/>
                <w:szCs w:val="17"/>
                <w:color w:val="auto"/>
              </w:rPr>
              <w:t>—  Inline XBRL Taxonomy Extension Presentation Linkbase Document</w:t>
            </w:r>
          </w:p>
        </w:tc>
      </w:tr>
    </w:tbl>
    <w:p>
      <w:pPr>
        <w:spacing w:after="0" w:line="243" w:lineRule="exact"/>
        <w:rPr>
          <w:sz w:val="20"/>
          <w:szCs w:val="20"/>
          <w:color w:val="auto"/>
        </w:rPr>
      </w:pPr>
    </w:p>
    <w:p>
      <w:pPr>
        <w:ind w:left="1480" w:hanging="1144"/>
        <w:spacing w:after="0"/>
        <w:tabs>
          <w:tab w:leader="none" w:pos="148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Cover Page Interactive Data File (formatted as Inline XBRL and contained in Exhibit 101)</w:t>
      </w:r>
    </w:p>
    <w:p>
      <w:pPr>
        <w:spacing w:after="0" w:line="261" w:lineRule="exact"/>
        <w:rPr>
          <w:rFonts w:ascii="Times New Roman" w:cs="Times New Roman" w:eastAsia="Times New Roman" w:hAnsi="Times New Roman"/>
          <w:sz w:val="17"/>
          <w:szCs w:val="17"/>
          <w:color w:val="auto"/>
        </w:rPr>
      </w:pPr>
    </w:p>
    <w:p>
      <w:pPr>
        <w:ind w:left="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52" w:lineRule="exact"/>
        <w:rPr>
          <w:rFonts w:ascii="Times New Roman" w:cs="Times New Roman" w:eastAsia="Times New Roman" w:hAnsi="Times New Roman"/>
          <w:sz w:val="17"/>
          <w:szCs w:val="17"/>
          <w:color w:val="auto"/>
        </w:rPr>
      </w:pPr>
    </w:p>
    <w:p>
      <w:pPr>
        <w:ind w:left="420" w:hanging="398"/>
        <w:spacing w:after="0"/>
        <w:tabs>
          <w:tab w:leader="none" w:pos="4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53" w:lineRule="exact"/>
        <w:rPr>
          <w:sz w:val="20"/>
          <w:szCs w:val="20"/>
          <w:color w:val="auto"/>
        </w:rPr>
      </w:pPr>
    </w:p>
    <w:p>
      <w:pPr>
        <w:ind w:left="420" w:hanging="398"/>
        <w:spacing w:after="0"/>
        <w:tabs>
          <w:tab w:leader="none" w:pos="4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contracts and compensatory plans and arrangements.</w:t>
      </w:r>
    </w:p>
    <w:p>
      <w:pPr>
        <w:spacing w:after="0" w:line="3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39" w:name="page40"/>
    <w:bookmarkEnd w:id="39"/>
    <w:p>
      <w:pPr>
        <w:spacing w:after="0" w:line="2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5"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4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CIVEO CORPORATION</w:t>
      </w:r>
    </w:p>
    <w:p>
      <w:pPr>
        <w:spacing w:after="0" w:line="351" w:lineRule="exact"/>
        <w:rPr>
          <w:sz w:val="20"/>
          <w:szCs w:val="20"/>
          <w:color w:val="auto"/>
        </w:rPr>
      </w:pPr>
    </w:p>
    <w:p>
      <w:pPr>
        <w:ind w:left="20"/>
        <w:spacing w:after="0"/>
        <w:tabs>
          <w:tab w:leader="none" w:pos="5440" w:val="left"/>
        </w:tabs>
        <w:rPr>
          <w:sz w:val="20"/>
          <w:szCs w:val="20"/>
          <w:color w:val="auto"/>
        </w:rPr>
      </w:pPr>
      <w:r>
        <w:rPr>
          <w:rFonts w:ascii="Times New Roman" w:cs="Times New Roman" w:eastAsia="Times New Roman" w:hAnsi="Times New Roman"/>
          <w:sz w:val="17"/>
          <w:szCs w:val="17"/>
          <w:u w:val="single" w:color="auto"/>
          <w:color w:val="auto"/>
        </w:rPr>
        <w:t>Date: July 29, 2025</w:t>
      </w:r>
      <w:r>
        <w:rPr>
          <w:sz w:val="20"/>
          <w:szCs w:val="20"/>
          <w:color w:val="auto"/>
        </w:rPr>
        <w:tab/>
      </w:r>
      <w:r>
        <w:rPr>
          <w:rFonts w:ascii="Times New Roman" w:cs="Times New Roman" w:eastAsia="Times New Roman" w:hAnsi="Times New Roman"/>
          <w:sz w:val="17"/>
          <w:szCs w:val="17"/>
          <w:b w:val="1"/>
          <w:bCs w:val="1"/>
          <w:color w:val="auto"/>
        </w:rPr>
        <w:t>By /s/ E. Collin Gerry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3650615</wp:posOffset>
            </wp:positionH>
            <wp:positionV relativeFrom="paragraph">
              <wp:posOffset>-2540</wp:posOffset>
            </wp:positionV>
            <wp:extent cx="15576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57655" cy="8255"/>
                    </a:xfrm>
                    <a:prstGeom prst="rect">
                      <a:avLst/>
                    </a:prstGeom>
                    <a:noFill/>
                  </pic:spPr>
                </pic:pic>
              </a:graphicData>
            </a:graphic>
          </wp:anchor>
        </w:drawing>
      </w:r>
    </w:p>
    <w:p>
      <w:pPr>
        <w:spacing w:after="0" w:line="1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E. Collin Gerry</w:t>
      </w:r>
    </w:p>
    <w:p>
      <w:pPr>
        <w:spacing w:after="0" w:line="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b w:val="1"/>
          <w:bCs w:val="1"/>
          <w:color w:val="auto"/>
        </w:rPr>
        <w:t>Senior Vice President, Chief Financial Officer and Treasurer (Duly</w:t>
      </w:r>
    </w:p>
    <w:p>
      <w:pPr>
        <w:ind w:left="5460"/>
        <w:spacing w:after="0"/>
        <w:rPr>
          <w:sz w:val="20"/>
          <w:szCs w:val="20"/>
          <w:color w:val="auto"/>
        </w:rPr>
      </w:pPr>
      <w:r>
        <w:rPr>
          <w:rFonts w:ascii="Times New Roman" w:cs="Times New Roman" w:eastAsia="Times New Roman" w:hAnsi="Times New Roman"/>
          <w:sz w:val="17"/>
          <w:szCs w:val="17"/>
          <w:b w:val="1"/>
          <w:bCs w:val="1"/>
          <w:color w:val="auto"/>
        </w:rPr>
        <w:t>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1240"/>
          </w:cols>
          <w:pgMar w:left="320" w:top="1440"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7"/>
          <w:szCs w:val="17"/>
          <w:b w:val="1"/>
          <w:bCs w:val="1"/>
          <w:color w:val="auto"/>
        </w:rPr>
        <w:t>CIVEO CORPORATION</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EMPLOYEE PHANTOM UNIT AGREEMENT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i w:val="1"/>
          <w:iCs w:val="1"/>
          <w:u w:val="single" w:color="auto"/>
          <w:color w:val="auto"/>
        </w:rPr>
        <w:t>(For Australian Employees Only)</w:t>
      </w:r>
    </w:p>
    <w:p>
      <w:pPr>
        <w:spacing w:after="0" w:line="142" w:lineRule="exact"/>
        <w:rPr>
          <w:sz w:val="20"/>
          <w:szCs w:val="20"/>
          <w:color w:val="auto"/>
        </w:rPr>
      </w:pPr>
    </w:p>
    <w:p>
      <w:pPr>
        <w:ind w:firstLine="1255"/>
        <w:spacing w:after="0" w:line="259" w:lineRule="auto"/>
        <w:rPr>
          <w:sz w:val="20"/>
          <w:szCs w:val="20"/>
          <w:color w:val="auto"/>
        </w:rPr>
      </w:pPr>
      <w:r>
        <w:rPr>
          <w:rFonts w:ascii="Arial" w:cs="Arial" w:eastAsia="Arial" w:hAnsi="Arial"/>
          <w:sz w:val="17"/>
          <w:szCs w:val="17"/>
          <w:color w:val="auto"/>
        </w:rPr>
        <w:t>This Phantom Unit Agreement ("</w:t>
      </w:r>
      <w:r>
        <w:rPr>
          <w:rFonts w:ascii="Arial" w:cs="Arial" w:eastAsia="Arial" w:hAnsi="Arial"/>
          <w:sz w:val="17"/>
          <w:szCs w:val="17"/>
          <w:b w:val="1"/>
          <w:bCs w:val="1"/>
          <w:color w:val="auto"/>
        </w:rPr>
        <w:t>Agreement</w:t>
      </w:r>
      <w:r>
        <w:rPr>
          <w:rFonts w:ascii="Arial" w:cs="Arial" w:eastAsia="Arial" w:hAnsi="Arial"/>
          <w:sz w:val="17"/>
          <w:szCs w:val="17"/>
          <w:color w:val="auto"/>
        </w:rPr>
        <w:t>”) is made between Civeo Corporation, a British Columbia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and </w:t>
      </w:r>
      <w:r>
        <w:rPr>
          <w:rFonts w:ascii="Arial" w:cs="Arial" w:eastAsia="Arial" w:hAnsi="Arial"/>
          <w:sz w:val="17"/>
          <w:szCs w:val="17"/>
          <w:b w:val="1"/>
          <w:bCs w:val="1"/>
          <w:color w:val="auto"/>
        </w:rPr>
        <w:t>______________</w:t>
      </w:r>
      <w:r>
        <w:rPr>
          <w:rFonts w:ascii="Arial" w:cs="Arial" w:eastAsia="Arial" w:hAnsi="Arial"/>
          <w:sz w:val="17"/>
          <w:szCs w:val="17"/>
          <w:color w:val="auto"/>
        </w:rPr>
        <w:t xml:space="preserve"> (the “ </w:t>
      </w:r>
      <w:r>
        <w:rPr>
          <w:rFonts w:ascii="Arial" w:cs="Arial" w:eastAsia="Arial" w:hAnsi="Arial"/>
          <w:sz w:val="17"/>
          <w:szCs w:val="17"/>
          <w:b w:val="1"/>
          <w:bCs w:val="1"/>
          <w:color w:val="auto"/>
        </w:rPr>
        <w:t>Participant</w:t>
      </w:r>
      <w:r>
        <w:rPr>
          <w:rFonts w:ascii="Arial" w:cs="Arial" w:eastAsia="Arial" w:hAnsi="Arial"/>
          <w:sz w:val="17"/>
          <w:szCs w:val="17"/>
          <w:color w:val="auto"/>
        </w:rPr>
        <w:t>”), regarding an award ("</w:t>
      </w:r>
      <w:r>
        <w:rPr>
          <w:rFonts w:ascii="Arial" w:cs="Arial" w:eastAsia="Arial" w:hAnsi="Arial"/>
          <w:sz w:val="17"/>
          <w:szCs w:val="17"/>
          <w:b w:val="1"/>
          <w:bCs w:val="1"/>
          <w:color w:val="auto"/>
        </w:rPr>
        <w:t>Award</w:t>
      </w:r>
      <w:r>
        <w:rPr>
          <w:rFonts w:ascii="Arial" w:cs="Arial" w:eastAsia="Arial" w:hAnsi="Arial"/>
          <w:sz w:val="17"/>
          <w:szCs w:val="17"/>
          <w:color w:val="auto"/>
        </w:rPr>
        <w:t>") of _________ Phantom Units granted to the Participant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on _________ (the "</w:t>
      </w:r>
      <w:r>
        <w:rPr>
          <w:rFonts w:ascii="Arial" w:cs="Arial" w:eastAsia="Arial" w:hAnsi="Arial"/>
          <w:sz w:val="17"/>
          <w:szCs w:val="17"/>
          <w:b w:val="1"/>
          <w:bCs w:val="1"/>
          <w:color w:val="auto"/>
        </w:rPr>
        <w:t>Grant Date</w:t>
      </w:r>
      <w:r>
        <w:rPr>
          <w:rFonts w:ascii="Arial" w:cs="Arial" w:eastAsia="Arial" w:hAnsi="Arial"/>
          <w:sz w:val="17"/>
          <w:szCs w:val="17"/>
          <w:color w:val="auto"/>
        </w:rPr>
        <w:t>"), pursuant to the 2014 Equity Participation Plan of Civeo Corporation (the "</w:t>
      </w:r>
      <w:r>
        <w:rPr>
          <w:rFonts w:ascii="Arial" w:cs="Arial" w:eastAsia="Arial" w:hAnsi="Arial"/>
          <w:sz w:val="17"/>
          <w:szCs w:val="17"/>
          <w:b w:val="1"/>
          <w:bCs w:val="1"/>
          <w:color w:val="auto"/>
        </w:rPr>
        <w:t>Plan</w:t>
      </w:r>
      <w:r>
        <w:rPr>
          <w:rFonts w:ascii="Arial" w:cs="Arial" w:eastAsia="Arial" w:hAnsi="Arial"/>
          <w:sz w:val="17"/>
          <w:szCs w:val="17"/>
          <w:color w:val="auto"/>
        </w:rPr>
        <w:t>"), such number of Phantom</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Units subject to the following terms and conditions:</w:t>
      </w:r>
    </w:p>
    <w:p>
      <w:pPr>
        <w:spacing w:after="0" w:line="362" w:lineRule="exact"/>
        <w:rPr>
          <w:sz w:val="20"/>
          <w:szCs w:val="20"/>
          <w:color w:val="auto"/>
        </w:rPr>
      </w:pPr>
    </w:p>
    <w:p>
      <w:pPr>
        <w:jc w:val="both"/>
        <w:ind w:left="20" w:firstLine="1271"/>
        <w:spacing w:after="0" w:line="267" w:lineRule="auto"/>
        <w:tabs>
          <w:tab w:leader="none" w:pos="1796" w:val="left"/>
        </w:tabs>
        <w:numPr>
          <w:ilvl w:val="1"/>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Relationship to Plan</w:t>
      </w:r>
      <w:r>
        <w:rPr>
          <w:rFonts w:ascii="Arial" w:cs="Arial" w:eastAsia="Arial" w:hAnsi="Arial"/>
          <w:sz w:val="17"/>
          <w:szCs w:val="17"/>
          <w:color w:val="auto"/>
        </w:rPr>
        <w:t>. This Award is subject to all of the terms, conditions and provisions of the Plan and administrative</w:t>
      </w:r>
      <w:r>
        <w:rPr>
          <w:rFonts w:ascii="Arial" w:cs="Arial" w:eastAsia="Arial" w:hAnsi="Arial"/>
          <w:sz w:val="17"/>
          <w:szCs w:val="17"/>
          <w:b w:val="1"/>
          <w:bCs w:val="1"/>
          <w:color w:val="auto"/>
        </w:rPr>
        <w:t xml:space="preserve"> </w:t>
      </w:r>
      <w:r>
        <w:rPr>
          <w:rFonts w:ascii="Arial" w:cs="Arial" w:eastAsia="Arial" w:hAnsi="Arial"/>
          <w:sz w:val="17"/>
          <w:szCs w:val="17"/>
          <w:color w:val="auto"/>
        </w:rPr>
        <w:t>interpretations thereunder, if any, which have been adopted by the Committee thereunder and are in effect on the date hereof. Except as otherwise provided herein, capitalized terms shall have the same meanings ascribed to them under the Plan. The Phantom Units are intended to represent a Performance Award under the Plan, representing the right to receive the value of a share of Common Stock in cash, subject to the satisfaction of the terms and conditions of this Agreement.</w:t>
      </w:r>
    </w:p>
    <w:p>
      <w:pPr>
        <w:spacing w:after="0" w:line="206" w:lineRule="exact"/>
        <w:rPr>
          <w:rFonts w:ascii="Arial" w:cs="Arial" w:eastAsia="Arial" w:hAnsi="Arial"/>
          <w:sz w:val="17"/>
          <w:szCs w:val="17"/>
          <w:b w:val="1"/>
          <w:bCs w:val="1"/>
          <w:color w:val="auto"/>
        </w:rPr>
      </w:pPr>
    </w:p>
    <w:p>
      <w:pPr>
        <w:ind w:left="1900" w:hanging="622"/>
        <w:spacing w:after="0"/>
        <w:tabs>
          <w:tab w:leader="none" w:pos="190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Vesting Schedule and Settlement</w:t>
      </w:r>
      <w:r>
        <w:rPr>
          <w:rFonts w:ascii="Arial" w:cs="Arial" w:eastAsia="Arial" w:hAnsi="Arial"/>
          <w:sz w:val="17"/>
          <w:szCs w:val="17"/>
          <w:color w:val="auto"/>
        </w:rPr>
        <w:t>.</w:t>
      </w:r>
    </w:p>
    <w:p>
      <w:pPr>
        <w:spacing w:after="0" w:line="251" w:lineRule="exact"/>
        <w:rPr>
          <w:sz w:val="20"/>
          <w:szCs w:val="20"/>
          <w:color w:val="auto"/>
        </w:rPr>
      </w:pPr>
    </w:p>
    <w:p>
      <w:pPr>
        <w:jc w:val="both"/>
        <w:ind w:left="-20" w:firstLine="1258"/>
        <w:spacing w:after="0" w:line="277" w:lineRule="auto"/>
        <w:tabs>
          <w:tab w:leader="none" w:pos="1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Except as otherwise provided, the Phantom Units shall vest [_______] provided that the Participant remains in continuous employment or other service with the Company or its Affiliates through each applicable vesting date. The period beginning on the Grant Date and ending on the vesting date is the "Restricted Period" with respect to each Phantom Unit.</w:t>
      </w:r>
    </w:p>
    <w:p>
      <w:pPr>
        <w:spacing w:after="0" w:line="198" w:lineRule="exact"/>
        <w:rPr>
          <w:rFonts w:ascii="Arial" w:cs="Arial" w:eastAsia="Arial" w:hAnsi="Arial"/>
          <w:sz w:val="17"/>
          <w:szCs w:val="17"/>
          <w:color w:val="auto"/>
        </w:rPr>
      </w:pPr>
    </w:p>
    <w:p>
      <w:pPr>
        <w:ind w:left="-20" w:right="20" w:firstLine="1258"/>
        <w:spacing w:after="0" w:line="298" w:lineRule="auto"/>
        <w:tabs>
          <w:tab w:leader="none" w:pos="1787" w:val="left"/>
        </w:tabs>
        <w:numPr>
          <w:ilvl w:val="0"/>
          <w:numId w:val="29"/>
        </w:numPr>
        <w:rPr>
          <w:rFonts w:ascii="Arial" w:cs="Arial" w:eastAsia="Arial" w:hAnsi="Arial"/>
          <w:sz w:val="17"/>
          <w:szCs w:val="17"/>
          <w:color w:val="auto"/>
        </w:rPr>
      </w:pPr>
      <w:r>
        <w:rPr>
          <w:rFonts w:ascii="Arial" w:cs="Arial" w:eastAsia="Arial" w:hAnsi="Arial"/>
          <w:sz w:val="17"/>
          <w:szCs w:val="17"/>
          <w:color w:val="auto"/>
        </w:rPr>
        <w:t>Within 10 days following vesting with respect to a Phantom Unit pursuant to Sections 2(a), 3(b) or 3(c), the Participant shall be entitled to receive a cash payment equal to the Fair Market Value of a share of Common Stock on the applicable vesting date.</w:t>
      </w:r>
    </w:p>
    <w:p>
      <w:pPr>
        <w:spacing w:after="0" w:line="166" w:lineRule="exact"/>
        <w:rPr>
          <w:sz w:val="20"/>
          <w:szCs w:val="20"/>
          <w:color w:val="auto"/>
        </w:rPr>
      </w:pPr>
    </w:p>
    <w:p>
      <w:pPr>
        <w:ind w:left="1900" w:hanging="618"/>
        <w:spacing w:after="0"/>
        <w:tabs>
          <w:tab w:leader="none" w:pos="190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Effect of Termination of Employment.</w:t>
      </w:r>
    </w:p>
    <w:p>
      <w:pPr>
        <w:spacing w:after="0" w:line="251" w:lineRule="exact"/>
        <w:rPr>
          <w:sz w:val="20"/>
          <w:szCs w:val="20"/>
          <w:color w:val="auto"/>
        </w:rPr>
      </w:pPr>
    </w:p>
    <w:p>
      <w:pPr>
        <w:ind w:left="-20" w:firstLine="1258"/>
        <w:spacing w:after="0" w:line="298" w:lineRule="auto"/>
        <w:tabs>
          <w:tab w:leader="none" w:pos="1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the Participant's employment with the Company and all Affiliates terminates under any circumstances not described in Section 3(b), all unvested Phantom Units shall be immediately forfeited as of the date of the Participant's termination.</w:t>
      </w:r>
    </w:p>
    <w:p>
      <w:pPr>
        <w:spacing w:after="0" w:line="167" w:lineRule="exact"/>
        <w:rPr>
          <w:rFonts w:ascii="Arial" w:cs="Arial" w:eastAsia="Arial" w:hAnsi="Arial"/>
          <w:sz w:val="17"/>
          <w:szCs w:val="17"/>
          <w:color w:val="auto"/>
        </w:rPr>
      </w:pPr>
    </w:p>
    <w:p>
      <w:pPr>
        <w:jc w:val="both"/>
        <w:ind w:left="-20" w:firstLine="1258"/>
        <w:spacing w:after="0" w:line="277" w:lineRule="auto"/>
        <w:tabs>
          <w:tab w:leader="none" w:pos="1787"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the Participant's employment terminates due to death or Disability, the unvested Phantom Units shall vest in full and the Restricted Period shall terminate as of the date of the Participant's termination of employment. For this purpose, Disability means the Participant's disability that entitles the Participant to receive benefits under a long-term disability plan of the Company.</w:t>
      </w:r>
    </w:p>
    <w:p>
      <w:pPr>
        <w:spacing w:after="0" w:line="185" w:lineRule="exact"/>
        <w:rPr>
          <w:rFonts w:ascii="Arial" w:cs="Arial" w:eastAsia="Arial" w:hAnsi="Arial"/>
          <w:sz w:val="17"/>
          <w:szCs w:val="17"/>
          <w:color w:val="auto"/>
        </w:rPr>
      </w:pPr>
    </w:p>
    <w:p>
      <w:pPr>
        <w:jc w:val="both"/>
        <w:ind w:left="-20" w:firstLine="1258"/>
        <w:spacing w:after="0" w:line="277" w:lineRule="auto"/>
        <w:tabs>
          <w:tab w:leader="none" w:pos="1803"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the event of a Change of Control of Civeo Corporation, all units shall vest upon the date of Change of Control (when such is to have occurred as declared by the Board of Directors) where such units are not converted or assumed by the surviving entity. In the event of vesting acceleration, the participant will be paid the value of the units no later than 10 days following the date of the Change of Control.</w:t>
      </w:r>
    </w:p>
    <w:p>
      <w:pPr>
        <w:spacing w:after="0" w:line="184" w:lineRule="exact"/>
        <w:rPr>
          <w:sz w:val="20"/>
          <w:szCs w:val="20"/>
          <w:color w:val="auto"/>
        </w:rPr>
      </w:pPr>
    </w:p>
    <w:p>
      <w:pPr>
        <w:jc w:val="both"/>
        <w:ind w:firstLine="1257"/>
        <w:spacing w:after="0" w:line="259" w:lineRule="auto"/>
        <w:tabs>
          <w:tab w:leader="none" w:pos="1796" w:val="left"/>
        </w:tabs>
        <w:numPr>
          <w:ilvl w:val="1"/>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Dividend Equivalent Rights. </w:t>
      </w:r>
      <w:r>
        <w:rPr>
          <w:rFonts w:ascii="Arial" w:cs="Arial" w:eastAsia="Arial" w:hAnsi="Arial"/>
          <w:sz w:val="17"/>
          <w:szCs w:val="17"/>
          <w:color w:val="auto"/>
        </w:rPr>
        <w:t>This grant of Phantom Units includes a tandem Dividend Equivalent Right ("DER")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each Phantom Unit. The DER shall entitle the participant to receive, as evidenced by entry in a bookkeeping account, during the Restricted Period, the equivalent value in cash of dividends paid on common stock of the corporation, if and when declared. Tandem DER's shall be subject to vesting and forfeiture under the same terms and conditions as apply to the Phantom Units to which they are attached, and will be paid in cash, without interest, at the same time as the underlying Phantom Units are paid pursuant to Section 2. DER's shall be credited to the Participant's bookkeeping account at the same time as dividends paid to shareholders.</w:t>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351" w:lineRule="exact"/>
        <w:rPr>
          <w:rFonts w:ascii="Arial" w:cs="Arial" w:eastAsia="Arial" w:hAnsi="Arial"/>
          <w:sz w:val="17"/>
          <w:szCs w:val="17"/>
          <w:b w:val="1"/>
          <w:bCs w:val="1"/>
          <w:color w:val="auto"/>
        </w:rPr>
      </w:pPr>
    </w:p>
    <w:p>
      <w:pPr>
        <w:ind w:left="1800" w:hanging="557"/>
        <w:spacing w:after="0"/>
        <w:tabs>
          <w:tab w:leader="none" w:pos="180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Rights as Shareholder. </w:t>
      </w:r>
      <w:r>
        <w:rPr>
          <w:rFonts w:ascii="Arial" w:cs="Arial" w:eastAsia="Arial" w:hAnsi="Arial"/>
          <w:sz w:val="17"/>
          <w:szCs w:val="17"/>
          <w:color w:val="auto"/>
        </w:rPr>
        <w:t>The Participant shall have no rights as a shareholder as a result of the grant of Phantom</w:t>
      </w:r>
    </w:p>
    <w:p>
      <w:pPr>
        <w:spacing w:after="0" w:line="31"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7"/>
          <w:szCs w:val="17"/>
          <w:color w:val="auto"/>
        </w:rPr>
        <w:t>Units hereunder.</w:t>
      </w:r>
    </w:p>
    <w:p>
      <w:pPr>
        <w:sectPr>
          <w:pgSz w:w="11900" w:h="16838" w:orient="portrait"/>
          <w:cols w:equalWidth="0" w:num="1">
            <w:col w:w="11040"/>
          </w:cols>
          <w:pgMar w:left="420" w:top="761" w:right="439" w:bottom="1440" w:gutter="0" w:footer="0" w:header="0"/>
        </w:sectPr>
      </w:pPr>
    </w:p>
    <w:bookmarkStart w:id="41" w:name="page42"/>
    <w:bookmarkEnd w:id="41"/>
    <w:p>
      <w:pPr>
        <w:jc w:val="both"/>
        <w:ind w:left="20" w:right="20" w:firstLine="1257"/>
        <w:spacing w:after="0" w:line="270" w:lineRule="auto"/>
        <w:tabs>
          <w:tab w:leader="none" w:pos="1816"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Assignment of Award. </w:t>
      </w:r>
      <w:r>
        <w:rPr>
          <w:rFonts w:ascii="Arial" w:cs="Arial" w:eastAsia="Arial" w:hAnsi="Arial"/>
          <w:sz w:val="17"/>
          <w:szCs w:val="17"/>
          <w:color w:val="auto"/>
        </w:rPr>
        <w:t>The Participant's rights under this Agreement and the Plan are personal; no assignment or</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 of the Participant 's rights under and interest in this Award may be made by the Participant other than by will, by beneficiary designation, by the laws of descent and distribution or by a qualified domestic relations order.</w:t>
      </w:r>
    </w:p>
    <w:p>
      <w:pPr>
        <w:spacing w:after="0" w:line="189" w:lineRule="exact"/>
        <w:rPr>
          <w:rFonts w:ascii="Arial" w:cs="Arial" w:eastAsia="Arial" w:hAnsi="Arial"/>
          <w:sz w:val="17"/>
          <w:szCs w:val="17"/>
          <w:b w:val="1"/>
          <w:bCs w:val="1"/>
          <w:color w:val="auto"/>
        </w:rPr>
      </w:pPr>
    </w:p>
    <w:p>
      <w:pPr>
        <w:jc w:val="both"/>
        <w:ind w:left="20" w:firstLine="1261"/>
        <w:spacing w:after="0" w:line="259" w:lineRule="auto"/>
        <w:tabs>
          <w:tab w:leader="none" w:pos="1803"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Withholding. </w:t>
      </w:r>
      <w:r>
        <w:rPr>
          <w:rFonts w:ascii="Arial" w:cs="Arial" w:eastAsia="Arial" w:hAnsi="Arial"/>
          <w:sz w:val="17"/>
          <w:szCs w:val="17"/>
          <w:color w:val="auto"/>
        </w:rPr>
        <w:t>To the extent that the grant, vesting or payment of a Phantom Unit results in the receipt of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by the Participant with respect to which the Company or its Affiliate has a tax withholding obligation pursuant to applicable law, the Company or its Affiliate is authorized to withhold from any payment due under this Agreement or from any other compensation or other amount owing to the Participant the amount of such applicable taxes or other statutory remittances payable in respect of the lapse of restrictions hereon and to take such other action as may be necessary in the opinion of the Company or its Affiliate to satisfy its withholding obligations for the payment of such taxes or other statutory remittances.</w:t>
      </w:r>
    </w:p>
    <w:p>
      <w:pPr>
        <w:spacing w:after="0" w:line="224" w:lineRule="exact"/>
        <w:rPr>
          <w:rFonts w:ascii="Arial" w:cs="Arial" w:eastAsia="Arial" w:hAnsi="Arial"/>
          <w:sz w:val="17"/>
          <w:szCs w:val="17"/>
          <w:b w:val="1"/>
          <w:bCs w:val="1"/>
          <w:color w:val="auto"/>
        </w:rPr>
      </w:pPr>
    </w:p>
    <w:p>
      <w:pPr>
        <w:jc w:val="both"/>
        <w:ind w:left="20" w:firstLine="1265"/>
        <w:spacing w:after="0" w:line="319" w:lineRule="auto"/>
        <w:tabs>
          <w:tab w:leader="none" w:pos="1807"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Employment Guaranteed. </w:t>
      </w:r>
      <w:r>
        <w:rPr>
          <w:rFonts w:ascii="Arial" w:cs="Arial" w:eastAsia="Arial" w:hAnsi="Arial"/>
          <w:sz w:val="17"/>
          <w:szCs w:val="17"/>
          <w:color w:val="auto"/>
        </w:rPr>
        <w:t>The Agreement does not constitute a contract of employment, and no provision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confer any right upon the Participant to continued employment with the Company or any Affiliate, or limit the ability of the Company or any Affiliate to discharge the Participant at will.</w:t>
      </w:r>
    </w:p>
    <w:p>
      <w:pPr>
        <w:spacing w:after="0" w:line="135" w:lineRule="exact"/>
        <w:rPr>
          <w:rFonts w:ascii="Arial" w:cs="Arial" w:eastAsia="Arial" w:hAnsi="Arial"/>
          <w:sz w:val="17"/>
          <w:szCs w:val="17"/>
          <w:b w:val="1"/>
          <w:bCs w:val="1"/>
          <w:color w:val="auto"/>
        </w:rPr>
      </w:pPr>
    </w:p>
    <w:p>
      <w:pPr>
        <w:ind w:left="1800" w:hanging="515"/>
        <w:spacing w:after="0"/>
        <w:tabs>
          <w:tab w:leader="none" w:pos="180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Governing Law. </w:t>
      </w:r>
      <w:r>
        <w:rPr>
          <w:rFonts w:ascii="Arial" w:cs="Arial" w:eastAsia="Arial" w:hAnsi="Arial"/>
          <w:sz w:val="17"/>
          <w:szCs w:val="17"/>
          <w:color w:val="auto"/>
        </w:rPr>
        <w:t>This Agreement shall be governed by, construed, and enforced in accordance with the laws of the</w:t>
      </w:r>
    </w:p>
    <w:p>
      <w:pPr>
        <w:spacing w:after="0" w:line="31" w:lineRule="exact"/>
        <w:rPr>
          <w:rFonts w:ascii="Arial" w:cs="Arial" w:eastAsia="Arial" w:hAnsi="Arial"/>
          <w:sz w:val="17"/>
          <w:szCs w:val="17"/>
          <w:b w:val="1"/>
          <w:bCs w:val="1"/>
          <w:color w:val="auto"/>
        </w:rPr>
      </w:pPr>
    </w:p>
    <w:p>
      <w:pPr>
        <w:ind w:left="20"/>
        <w:spacing w:after="0"/>
        <w:rPr>
          <w:rFonts w:ascii="Arial" w:cs="Arial" w:eastAsia="Arial" w:hAnsi="Arial"/>
          <w:sz w:val="17"/>
          <w:szCs w:val="17"/>
          <w:b w:val="1"/>
          <w:bCs w:val="1"/>
          <w:color w:val="auto"/>
        </w:rPr>
      </w:pPr>
      <w:r>
        <w:rPr>
          <w:rFonts w:ascii="Arial" w:cs="Arial" w:eastAsia="Arial" w:hAnsi="Arial"/>
          <w:sz w:val="17"/>
          <w:szCs w:val="17"/>
          <w:color w:val="auto"/>
        </w:rPr>
        <w:t>State of Texas.</w:t>
      </w:r>
    </w:p>
    <w:p>
      <w:pPr>
        <w:spacing w:after="0" w:line="230" w:lineRule="exact"/>
        <w:rPr>
          <w:rFonts w:ascii="Arial" w:cs="Arial" w:eastAsia="Arial" w:hAnsi="Arial"/>
          <w:sz w:val="17"/>
          <w:szCs w:val="17"/>
          <w:b w:val="1"/>
          <w:bCs w:val="1"/>
          <w:color w:val="auto"/>
        </w:rPr>
      </w:pPr>
    </w:p>
    <w:p>
      <w:pPr>
        <w:ind w:left="20" w:right="20" w:firstLine="1282"/>
        <w:spacing w:after="0" w:line="301" w:lineRule="auto"/>
        <w:tabs>
          <w:tab w:leader="none" w:pos="1816" w:val="left"/>
        </w:tabs>
        <w:numPr>
          <w:ilvl w:val="1"/>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Binding Effect. </w:t>
      </w:r>
      <w:r>
        <w:rPr>
          <w:rFonts w:ascii="Arial" w:cs="Arial" w:eastAsia="Arial" w:hAnsi="Arial"/>
          <w:sz w:val="17"/>
          <w:szCs w:val="17"/>
          <w:color w:val="auto"/>
        </w:rPr>
        <w:t>This Agreement shall be binding upon and inure to the benefit of any successor or successors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upon any person lawfully claiming under the Participant.</w:t>
      </w:r>
    </w:p>
    <w:p>
      <w:pPr>
        <w:spacing w:after="0" w:line="176" w:lineRule="exact"/>
        <w:rPr>
          <w:rFonts w:ascii="Arial" w:cs="Arial" w:eastAsia="Arial" w:hAnsi="Arial"/>
          <w:sz w:val="17"/>
          <w:szCs w:val="17"/>
          <w:b w:val="1"/>
          <w:bCs w:val="1"/>
          <w:color w:val="auto"/>
        </w:rPr>
      </w:pPr>
    </w:p>
    <w:p>
      <w:pPr>
        <w:ind w:left="20" w:right="20" w:firstLine="1277"/>
        <w:spacing w:after="0" w:line="285" w:lineRule="auto"/>
        <w:tabs>
          <w:tab w:leader="none" w:pos="1802" w:val="left"/>
        </w:tabs>
        <w:numPr>
          <w:ilvl w:val="1"/>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Counterparts. </w:t>
      </w:r>
      <w:r>
        <w:rPr>
          <w:rFonts w:ascii="Arial" w:cs="Arial" w:eastAsia="Arial" w:hAnsi="Arial"/>
          <w:sz w:val="17"/>
          <w:szCs w:val="17"/>
          <w:color w:val="auto"/>
        </w:rPr>
        <w:t>This Agreement may be executed in one or more counterparts, each of which shall be deemed to be an</w:t>
      </w:r>
      <w:r>
        <w:rPr>
          <w:rFonts w:ascii="Arial" w:cs="Arial" w:eastAsia="Arial" w:hAnsi="Arial"/>
          <w:sz w:val="17"/>
          <w:szCs w:val="17"/>
          <w:b w:val="1"/>
          <w:bCs w:val="1"/>
          <w:color w:val="auto"/>
        </w:rPr>
        <w:t xml:space="preserve"> </w:t>
      </w:r>
      <w:r>
        <w:rPr>
          <w:rFonts w:ascii="Arial" w:cs="Arial" w:eastAsia="Arial" w:hAnsi="Arial"/>
          <w:sz w:val="17"/>
          <w:szCs w:val="17"/>
          <w:color w:val="auto"/>
        </w:rPr>
        <w:t>original, but all of which together will constitute one and the same Agreement.</w:t>
      </w:r>
    </w:p>
    <w:p>
      <w:pPr>
        <w:spacing w:after="0" w:line="215" w:lineRule="exact"/>
        <w:rPr>
          <w:rFonts w:ascii="Arial" w:cs="Arial" w:eastAsia="Arial" w:hAnsi="Arial"/>
          <w:sz w:val="17"/>
          <w:szCs w:val="17"/>
          <w:b w:val="1"/>
          <w:bCs w:val="1"/>
          <w:color w:val="auto"/>
        </w:rPr>
      </w:pPr>
    </w:p>
    <w:p>
      <w:pPr>
        <w:jc w:val="both"/>
        <w:ind w:left="20" w:right="20" w:firstLine="1274"/>
        <w:spacing w:after="0" w:line="269" w:lineRule="auto"/>
        <w:tabs>
          <w:tab w:leader="none" w:pos="1826" w:val="left"/>
        </w:tabs>
        <w:numPr>
          <w:ilvl w:val="1"/>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Committee's Powers. </w:t>
      </w:r>
      <w:r>
        <w:rPr>
          <w:rFonts w:ascii="Arial" w:cs="Arial" w:eastAsia="Arial" w:hAnsi="Arial"/>
          <w:sz w:val="17"/>
          <w:szCs w:val="17"/>
          <w:color w:val="auto"/>
        </w:rPr>
        <w:t>No provision contained in this Agreement shall in any way terminate, modify or alter, or be</w:t>
      </w:r>
      <w:r>
        <w:rPr>
          <w:rFonts w:ascii="Arial" w:cs="Arial" w:eastAsia="Arial" w:hAnsi="Arial"/>
          <w:sz w:val="17"/>
          <w:szCs w:val="17"/>
          <w:b w:val="1"/>
          <w:bCs w:val="1"/>
          <w:color w:val="auto"/>
        </w:rPr>
        <w:t xml:space="preserve"> </w:t>
      </w:r>
      <w:r>
        <w:rPr>
          <w:rFonts w:ascii="Arial" w:cs="Arial" w:eastAsia="Arial" w:hAnsi="Arial"/>
          <w:sz w:val="17"/>
          <w:szCs w:val="17"/>
          <w:color w:val="auto"/>
        </w:rPr>
        <w:t>construed or interpreted as terminating, modifying or altering any of the powers, rights or authority vested in the Committee pursuant to the terms of the Plan, including, without limitation, the Committee's rights to make certain determinations and elections with respect to the Phantom Units.</w:t>
      </w:r>
    </w:p>
    <w:p>
      <w:pPr>
        <w:spacing w:after="0" w:line="200" w:lineRule="exact"/>
        <w:rPr>
          <w:rFonts w:ascii="Arial" w:cs="Arial" w:eastAsia="Arial" w:hAnsi="Arial"/>
          <w:sz w:val="17"/>
          <w:szCs w:val="17"/>
          <w:b w:val="1"/>
          <w:bCs w:val="1"/>
          <w:color w:val="auto"/>
        </w:rPr>
      </w:pPr>
    </w:p>
    <w:p>
      <w:pPr>
        <w:spacing w:after="0" w:line="240" w:lineRule="exact"/>
        <w:rPr>
          <w:rFonts w:ascii="Arial" w:cs="Arial" w:eastAsia="Arial" w:hAnsi="Arial"/>
          <w:sz w:val="17"/>
          <w:szCs w:val="17"/>
          <w:b w:val="1"/>
          <w:bCs w:val="1"/>
          <w:color w:val="auto"/>
        </w:rPr>
      </w:pPr>
    </w:p>
    <w:p>
      <w:pPr>
        <w:ind w:left="20" w:right="20" w:firstLine="1274"/>
        <w:spacing w:after="0" w:line="285" w:lineRule="auto"/>
        <w:tabs>
          <w:tab w:leader="none" w:pos="1826" w:val="left"/>
        </w:tabs>
        <w:numPr>
          <w:ilvl w:val="1"/>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Amendment. </w:t>
      </w:r>
      <w:r>
        <w:rPr>
          <w:rFonts w:ascii="Arial" w:cs="Arial" w:eastAsia="Arial" w:hAnsi="Arial"/>
          <w:sz w:val="17"/>
          <w:szCs w:val="17"/>
          <w:color w:val="auto"/>
        </w:rPr>
        <w:t>This Agreement cannot be modified, altered or amended, except by an agreement, in writing, signed by</w:t>
      </w:r>
      <w:r>
        <w:rPr>
          <w:rFonts w:ascii="Arial" w:cs="Arial" w:eastAsia="Arial" w:hAnsi="Arial"/>
          <w:sz w:val="17"/>
          <w:szCs w:val="17"/>
          <w:b w:val="1"/>
          <w:bCs w:val="1"/>
          <w:color w:val="auto"/>
        </w:rPr>
        <w:t xml:space="preserve"> </w:t>
      </w:r>
      <w:r>
        <w:rPr>
          <w:rFonts w:ascii="Arial" w:cs="Arial" w:eastAsia="Arial" w:hAnsi="Arial"/>
          <w:sz w:val="17"/>
          <w:szCs w:val="17"/>
          <w:color w:val="auto"/>
        </w:rPr>
        <w:t>both the Company and the Participant.</w:t>
      </w:r>
    </w:p>
    <w:p>
      <w:pPr>
        <w:spacing w:after="0" w:line="176" w:lineRule="exact"/>
        <w:rPr>
          <w:sz w:val="20"/>
          <w:szCs w:val="20"/>
          <w:color w:val="auto"/>
        </w:rPr>
      </w:pPr>
    </w:p>
    <w:p>
      <w:pPr>
        <w:ind w:left="3380"/>
        <w:spacing w:after="0"/>
        <w:rPr>
          <w:sz w:val="20"/>
          <w:szCs w:val="20"/>
          <w:color w:val="auto"/>
        </w:rPr>
      </w:pPr>
      <w:r>
        <w:rPr>
          <w:rFonts w:ascii="Arial" w:cs="Arial" w:eastAsia="Arial" w:hAnsi="Arial"/>
          <w:sz w:val="17"/>
          <w:szCs w:val="17"/>
          <w:b w:val="1"/>
          <w:bCs w:val="1"/>
          <w:color w:val="auto"/>
        </w:rPr>
        <w:t>CIVEO CORPORATION</w:t>
      </w:r>
    </w:p>
    <w:p>
      <w:pPr>
        <w:spacing w:after="0" w:line="225" w:lineRule="exact"/>
        <w:rPr>
          <w:sz w:val="20"/>
          <w:szCs w:val="20"/>
          <w:color w:val="auto"/>
        </w:rPr>
      </w:pPr>
    </w:p>
    <w:p>
      <w:pPr>
        <w:ind w:left="20"/>
        <w:spacing w:after="0"/>
        <w:tabs>
          <w:tab w:leader="none" w:pos="84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-5080</wp:posOffset>
            </wp:positionV>
            <wp:extent cx="1225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2555" cy="8255"/>
                    </a:xfrm>
                    <a:prstGeom prst="rect">
                      <a:avLst/>
                    </a:prstGeom>
                    <a:noFill/>
                  </pic:spPr>
                </pic:pic>
              </a:graphicData>
            </a:graphic>
          </wp:anchor>
        </w:drawing>
        <w:drawing>
          <wp:anchor simplePos="0" relativeHeight="251657728" behindDoc="1" locked="0" layoutInCell="0" allowOverlap="1">
            <wp:simplePos x="0" y="0"/>
            <wp:positionH relativeFrom="column">
              <wp:posOffset>834390</wp:posOffset>
            </wp:positionH>
            <wp:positionV relativeFrom="paragraph">
              <wp:posOffset>-5080</wp:posOffset>
            </wp:positionV>
            <wp:extent cx="1225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2555" cy="8255"/>
                    </a:xfrm>
                    <a:prstGeom prst="rect">
                      <a:avLst/>
                    </a:prstGeom>
                    <a:noFill/>
                  </pic:spPr>
                </pic:pic>
              </a:graphicData>
            </a:graphic>
          </wp:anchor>
        </w:drawing>
      </w:r>
    </w:p>
    <w:p>
      <w:pPr>
        <w:spacing w:after="0" w:line="1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-15240</wp:posOffset>
            </wp:positionV>
            <wp:extent cx="1225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2555" cy="8255"/>
                    </a:xfrm>
                    <a:prstGeom prst="rect">
                      <a:avLst/>
                    </a:prstGeom>
                    <a:noFill/>
                  </pic:spPr>
                </pic:pic>
              </a:graphicData>
            </a:graphic>
          </wp:anchor>
        </w:drawing>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-5080</wp:posOffset>
            </wp:positionV>
            <wp:extent cx="1225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2555" cy="8255"/>
                    </a:xfrm>
                    <a:prstGeom prst="rect">
                      <a:avLst/>
                    </a:prstGeom>
                    <a:noFill/>
                  </pic:spPr>
                </pic:pic>
              </a:graphicData>
            </a:graphic>
          </wp:anchor>
        </w:drawing>
      </w:r>
    </w:p>
    <w:p>
      <w:pPr>
        <w:spacing w:after="0" w:line="281" w:lineRule="exact"/>
        <w:rPr>
          <w:sz w:val="20"/>
          <w:szCs w:val="20"/>
          <w:color w:val="auto"/>
        </w:rPr>
      </w:pPr>
    </w:p>
    <w:p>
      <w:pPr>
        <w:ind w:left="20" w:right="280" w:firstLine="1259"/>
        <w:spacing w:after="0" w:line="298" w:lineRule="auto"/>
        <w:rPr>
          <w:sz w:val="20"/>
          <w:szCs w:val="20"/>
          <w:color w:val="auto"/>
        </w:rPr>
      </w:pPr>
      <w:r>
        <w:rPr>
          <w:rFonts w:ascii="Arial" w:cs="Arial" w:eastAsia="Arial" w:hAnsi="Arial"/>
          <w:sz w:val="17"/>
          <w:szCs w:val="17"/>
          <w:color w:val="auto"/>
        </w:rPr>
        <w:t>The Participant hereby accepts the foregoing Agreement, subject to the terms and provisions of the Plan and administrative interpretations thereof referred to above.</w:t>
      </w:r>
    </w:p>
    <w:p>
      <w:pPr>
        <w:spacing w:after="0" w:line="231" w:lineRule="exact"/>
        <w:rPr>
          <w:sz w:val="20"/>
          <w:szCs w:val="20"/>
          <w:color w:val="auto"/>
        </w:rPr>
      </w:pPr>
    </w:p>
    <w:p>
      <w:pPr>
        <w:ind w:left="5420"/>
        <w:spacing w:after="0"/>
        <w:rPr>
          <w:sz w:val="20"/>
          <w:szCs w:val="20"/>
          <w:color w:val="auto"/>
        </w:rPr>
      </w:pPr>
      <w:r>
        <w:rPr>
          <w:rFonts w:ascii="Arial" w:cs="Arial" w:eastAsia="Arial" w:hAnsi="Arial"/>
          <w:sz w:val="17"/>
          <w:szCs w:val="17"/>
          <w:b w:val="1"/>
          <w:bCs w:val="1"/>
          <w:color w:val="auto"/>
        </w:rPr>
        <w:t>PARTICIPANT:</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-5080</wp:posOffset>
            </wp:positionV>
            <wp:extent cx="1225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2555" cy="8255"/>
                    </a:xfrm>
                    <a:prstGeom prst="rect">
                      <a:avLst/>
                    </a:prstGeom>
                    <a:noFill/>
                  </pic:spPr>
                </pic:pic>
              </a:graphicData>
            </a:graphic>
          </wp:anchor>
        </w:drawing>
        <w:drawing>
          <wp:anchor simplePos="0" relativeHeight="251657728" behindDoc="1" locked="0" layoutInCell="0" allowOverlap="1">
            <wp:simplePos x="0" y="0"/>
            <wp:positionH relativeFrom="column">
              <wp:posOffset>3437890</wp:posOffset>
            </wp:positionH>
            <wp:positionV relativeFrom="paragraph">
              <wp:posOffset>-21590</wp:posOffset>
            </wp:positionV>
            <wp:extent cx="1225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2555" cy="8255"/>
                    </a:xfrm>
                    <a:prstGeom prst="rect">
                      <a:avLst/>
                    </a:prstGeom>
                    <a:noFill/>
                  </pic:spPr>
                </pic:pic>
              </a:graphicData>
            </a:graphic>
          </wp:anchor>
        </w:drawing>
      </w:r>
    </w:p>
    <w:p>
      <w:pPr>
        <w:sectPr>
          <w:pgSz w:w="11900" w:h="16838" w:orient="portrait"/>
          <w:cols w:equalWidth="0" w:num="1">
            <w:col w:w="11060"/>
          </w:cols>
          <w:pgMar w:left="400" w:top="356" w:right="439" w:bottom="1440" w:gutter="0" w:footer="0" w:header="0"/>
        </w:sectPr>
      </w:pPr>
    </w:p>
    <w:bookmarkStart w:id="42" w:name="page43"/>
    <w:bookmarkEnd w:id="42"/>
    <w:p>
      <w:pPr>
        <w:jc w:val="center"/>
        <w:spacing w:after="0"/>
        <w:rPr>
          <w:sz w:val="20"/>
          <w:szCs w:val="20"/>
          <w:color w:val="auto"/>
        </w:rPr>
      </w:pPr>
      <w:r>
        <w:rPr>
          <w:rFonts w:ascii="Arial" w:cs="Arial" w:eastAsia="Arial" w:hAnsi="Arial"/>
          <w:sz w:val="17"/>
          <w:szCs w:val="17"/>
          <w:b w:val="1"/>
          <w:bCs w:val="1"/>
          <w:color w:val="auto"/>
        </w:rPr>
        <w:t>CIVEO CORPORATION</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EMPLOYEE PHANTOM UNIT AGREEMENT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u w:val="single" w:color="auto"/>
          <w:color w:val="auto"/>
        </w:rPr>
        <w:t>(For U.S. Employees only)</w:t>
      </w:r>
    </w:p>
    <w:p>
      <w:pPr>
        <w:spacing w:after="0" w:line="378" w:lineRule="exact"/>
        <w:rPr>
          <w:sz w:val="20"/>
          <w:szCs w:val="20"/>
          <w:color w:val="auto"/>
        </w:rPr>
      </w:pPr>
    </w:p>
    <w:p>
      <w:pPr>
        <w:ind w:firstLine="1255"/>
        <w:spacing w:after="0" w:line="259" w:lineRule="auto"/>
        <w:rPr>
          <w:sz w:val="20"/>
          <w:szCs w:val="20"/>
          <w:color w:val="auto"/>
        </w:rPr>
      </w:pPr>
      <w:r>
        <w:rPr>
          <w:rFonts w:ascii="Arial" w:cs="Arial" w:eastAsia="Arial" w:hAnsi="Arial"/>
          <w:sz w:val="17"/>
          <w:szCs w:val="17"/>
          <w:color w:val="auto"/>
        </w:rPr>
        <w:t>This Phantom Unit Agreement ("</w:t>
      </w:r>
      <w:r>
        <w:rPr>
          <w:rFonts w:ascii="Arial" w:cs="Arial" w:eastAsia="Arial" w:hAnsi="Arial"/>
          <w:sz w:val="17"/>
          <w:szCs w:val="17"/>
          <w:b w:val="1"/>
          <w:bCs w:val="1"/>
          <w:color w:val="auto"/>
        </w:rPr>
        <w:t>Agreement</w:t>
      </w:r>
      <w:r>
        <w:rPr>
          <w:rFonts w:ascii="Arial" w:cs="Arial" w:eastAsia="Arial" w:hAnsi="Arial"/>
          <w:sz w:val="17"/>
          <w:szCs w:val="17"/>
          <w:color w:val="auto"/>
        </w:rPr>
        <w:t>”) is made between Civeo Corporation, a British Columbia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and ______________ (the “ </w:t>
      </w:r>
      <w:r>
        <w:rPr>
          <w:rFonts w:ascii="Arial" w:cs="Arial" w:eastAsia="Arial" w:hAnsi="Arial"/>
          <w:sz w:val="17"/>
          <w:szCs w:val="17"/>
          <w:b w:val="1"/>
          <w:bCs w:val="1"/>
          <w:color w:val="auto"/>
        </w:rPr>
        <w:t>Participant</w:t>
      </w:r>
      <w:r>
        <w:rPr>
          <w:rFonts w:ascii="Arial" w:cs="Arial" w:eastAsia="Arial" w:hAnsi="Arial"/>
          <w:sz w:val="17"/>
          <w:szCs w:val="17"/>
          <w:color w:val="auto"/>
        </w:rPr>
        <w:t>”), regarding an award ("</w:t>
      </w:r>
      <w:r>
        <w:rPr>
          <w:rFonts w:ascii="Arial" w:cs="Arial" w:eastAsia="Arial" w:hAnsi="Arial"/>
          <w:sz w:val="17"/>
          <w:szCs w:val="17"/>
          <w:b w:val="1"/>
          <w:bCs w:val="1"/>
          <w:color w:val="auto"/>
        </w:rPr>
        <w:t>Award</w:t>
      </w:r>
      <w:r>
        <w:rPr>
          <w:rFonts w:ascii="Arial" w:cs="Arial" w:eastAsia="Arial" w:hAnsi="Arial"/>
          <w:sz w:val="17"/>
          <w:szCs w:val="17"/>
          <w:color w:val="auto"/>
        </w:rPr>
        <w:t>") of _________, Phantom Units granted to the Participant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on _________ (the "</w:t>
      </w:r>
      <w:r>
        <w:rPr>
          <w:rFonts w:ascii="Arial" w:cs="Arial" w:eastAsia="Arial" w:hAnsi="Arial"/>
          <w:sz w:val="17"/>
          <w:szCs w:val="17"/>
          <w:b w:val="1"/>
          <w:bCs w:val="1"/>
          <w:color w:val="auto"/>
        </w:rPr>
        <w:t>Grant Date</w:t>
      </w:r>
      <w:r>
        <w:rPr>
          <w:rFonts w:ascii="Arial" w:cs="Arial" w:eastAsia="Arial" w:hAnsi="Arial"/>
          <w:sz w:val="17"/>
          <w:szCs w:val="17"/>
          <w:color w:val="auto"/>
        </w:rPr>
        <w:t>"), pursuant to the 2014 Equity Participation Plan of Civeo Corporation (the "</w:t>
      </w:r>
      <w:r>
        <w:rPr>
          <w:rFonts w:ascii="Arial" w:cs="Arial" w:eastAsia="Arial" w:hAnsi="Arial"/>
          <w:sz w:val="17"/>
          <w:szCs w:val="17"/>
          <w:b w:val="1"/>
          <w:bCs w:val="1"/>
          <w:color w:val="auto"/>
        </w:rPr>
        <w:t>Plan</w:t>
      </w:r>
      <w:r>
        <w:rPr>
          <w:rFonts w:ascii="Arial" w:cs="Arial" w:eastAsia="Arial" w:hAnsi="Arial"/>
          <w:sz w:val="17"/>
          <w:szCs w:val="17"/>
          <w:color w:val="auto"/>
        </w:rPr>
        <w:t>"), such number of Phantom</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Units subject to the following terms and conditions:</w:t>
      </w:r>
    </w:p>
    <w:p>
      <w:pPr>
        <w:spacing w:after="0" w:line="362" w:lineRule="exact"/>
        <w:rPr>
          <w:sz w:val="20"/>
          <w:szCs w:val="20"/>
          <w:color w:val="auto"/>
        </w:rPr>
      </w:pPr>
    </w:p>
    <w:p>
      <w:pPr>
        <w:jc w:val="both"/>
        <w:ind w:left="20" w:firstLine="1271"/>
        <w:spacing w:after="0" w:line="267" w:lineRule="auto"/>
        <w:tabs>
          <w:tab w:leader="none" w:pos="1796" w:val="left"/>
        </w:tabs>
        <w:numPr>
          <w:ilvl w:val="1"/>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Relationship to Plan</w:t>
      </w:r>
      <w:r>
        <w:rPr>
          <w:rFonts w:ascii="Arial" w:cs="Arial" w:eastAsia="Arial" w:hAnsi="Arial"/>
          <w:sz w:val="17"/>
          <w:szCs w:val="17"/>
          <w:color w:val="auto"/>
        </w:rPr>
        <w:t>. This Award is subject to all of the terms, conditions and provisions of the Plan and administrative</w:t>
      </w:r>
      <w:r>
        <w:rPr>
          <w:rFonts w:ascii="Arial" w:cs="Arial" w:eastAsia="Arial" w:hAnsi="Arial"/>
          <w:sz w:val="17"/>
          <w:szCs w:val="17"/>
          <w:b w:val="1"/>
          <w:bCs w:val="1"/>
          <w:color w:val="auto"/>
        </w:rPr>
        <w:t xml:space="preserve"> </w:t>
      </w:r>
      <w:r>
        <w:rPr>
          <w:rFonts w:ascii="Arial" w:cs="Arial" w:eastAsia="Arial" w:hAnsi="Arial"/>
          <w:sz w:val="17"/>
          <w:szCs w:val="17"/>
          <w:color w:val="auto"/>
        </w:rPr>
        <w:t>interpretations thereunder, if any, which have been adopted by the Committee thereunder and are in effect on the date hereof. Except as otherwise provided herein, capitalized terms shall have the same meanings ascribed to them under the Plan. The Phantom Units are intended to represent a Performance Award under the Plan, representing the right to receive the value of a share of Common Stock in cash, subject to the satisfaction of the terms and conditions of this Agreement.</w:t>
      </w:r>
    </w:p>
    <w:p>
      <w:pPr>
        <w:spacing w:after="0" w:line="206" w:lineRule="exact"/>
        <w:rPr>
          <w:rFonts w:ascii="Arial" w:cs="Arial" w:eastAsia="Arial" w:hAnsi="Arial"/>
          <w:sz w:val="17"/>
          <w:szCs w:val="17"/>
          <w:b w:val="1"/>
          <w:bCs w:val="1"/>
          <w:color w:val="auto"/>
        </w:rPr>
      </w:pPr>
    </w:p>
    <w:p>
      <w:pPr>
        <w:ind w:left="1900" w:hanging="622"/>
        <w:spacing w:after="0"/>
        <w:tabs>
          <w:tab w:leader="none" w:pos="190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Vesting Schedule and Settlement</w:t>
      </w:r>
      <w:r>
        <w:rPr>
          <w:rFonts w:ascii="Arial" w:cs="Arial" w:eastAsia="Arial" w:hAnsi="Arial"/>
          <w:sz w:val="17"/>
          <w:szCs w:val="17"/>
          <w:color w:val="auto"/>
        </w:rPr>
        <w:t>.</w:t>
      </w:r>
    </w:p>
    <w:p>
      <w:pPr>
        <w:spacing w:after="0" w:line="251" w:lineRule="exact"/>
        <w:rPr>
          <w:sz w:val="20"/>
          <w:szCs w:val="20"/>
          <w:color w:val="auto"/>
        </w:rPr>
      </w:pPr>
    </w:p>
    <w:p>
      <w:pPr>
        <w:jc w:val="both"/>
        <w:ind w:left="-20" w:firstLine="1258"/>
        <w:spacing w:after="0" w:line="277" w:lineRule="auto"/>
        <w:tabs>
          <w:tab w:leader="none" w:pos="1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Except as otherwise provided, the Phantom Units shall vest [_______] provided that the Participant remains in continuous employment or other service with the Company or its Affiliates through each applicable vesting date. The period beginning on the Grant Date and ending on the vesting date is the "Restricted Period" with respect to each Phantom Unit.</w:t>
      </w:r>
    </w:p>
    <w:p>
      <w:pPr>
        <w:spacing w:after="0" w:line="198" w:lineRule="exact"/>
        <w:rPr>
          <w:rFonts w:ascii="Arial" w:cs="Arial" w:eastAsia="Arial" w:hAnsi="Arial"/>
          <w:sz w:val="17"/>
          <w:szCs w:val="17"/>
          <w:color w:val="auto"/>
        </w:rPr>
      </w:pPr>
    </w:p>
    <w:p>
      <w:pPr>
        <w:ind w:left="-20" w:right="20" w:firstLine="1258"/>
        <w:spacing w:after="0" w:line="298" w:lineRule="auto"/>
        <w:tabs>
          <w:tab w:leader="none" w:pos="1787" w:val="left"/>
        </w:tabs>
        <w:numPr>
          <w:ilvl w:val="0"/>
          <w:numId w:val="37"/>
        </w:numPr>
        <w:rPr>
          <w:rFonts w:ascii="Arial" w:cs="Arial" w:eastAsia="Arial" w:hAnsi="Arial"/>
          <w:sz w:val="17"/>
          <w:szCs w:val="17"/>
          <w:color w:val="auto"/>
        </w:rPr>
      </w:pPr>
      <w:r>
        <w:rPr>
          <w:rFonts w:ascii="Arial" w:cs="Arial" w:eastAsia="Arial" w:hAnsi="Arial"/>
          <w:sz w:val="17"/>
          <w:szCs w:val="17"/>
          <w:color w:val="auto"/>
        </w:rPr>
        <w:t>Within 10 days following vesting with respect to a Phantom Unit pursuant to Sections 2(a), 3(b) or 3(c), the Participant shall be entitled to receive a cash payment equal to the Fair Market Value of a share of Common Stock on the applicable vesting date.</w:t>
      </w:r>
    </w:p>
    <w:p>
      <w:pPr>
        <w:spacing w:after="0" w:line="166" w:lineRule="exact"/>
        <w:rPr>
          <w:sz w:val="20"/>
          <w:szCs w:val="20"/>
          <w:color w:val="auto"/>
        </w:rPr>
      </w:pPr>
    </w:p>
    <w:p>
      <w:pPr>
        <w:ind w:left="1900" w:hanging="618"/>
        <w:spacing w:after="0"/>
        <w:tabs>
          <w:tab w:leader="none" w:pos="1900"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Effect of Termination of Employment.</w:t>
      </w:r>
    </w:p>
    <w:p>
      <w:pPr>
        <w:spacing w:after="0" w:line="251" w:lineRule="exact"/>
        <w:rPr>
          <w:sz w:val="20"/>
          <w:szCs w:val="20"/>
          <w:color w:val="auto"/>
        </w:rPr>
      </w:pPr>
    </w:p>
    <w:p>
      <w:pPr>
        <w:ind w:left="-20" w:firstLine="1258"/>
        <w:spacing w:after="0" w:line="298" w:lineRule="auto"/>
        <w:tabs>
          <w:tab w:leader="none" w:pos="18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If the Participant's employment with the Company and all Affiliates terminates under any circumstances not described in Section 3(b), all unvested Phantom Units shall be immediately forfeited as of the date of the Participant's termination.</w:t>
      </w:r>
    </w:p>
    <w:p>
      <w:pPr>
        <w:spacing w:after="0" w:line="181" w:lineRule="exact"/>
        <w:rPr>
          <w:rFonts w:ascii="Arial" w:cs="Arial" w:eastAsia="Arial" w:hAnsi="Arial"/>
          <w:sz w:val="17"/>
          <w:szCs w:val="17"/>
          <w:color w:val="auto"/>
        </w:rPr>
      </w:pPr>
    </w:p>
    <w:p>
      <w:pPr>
        <w:jc w:val="both"/>
        <w:ind w:left="-20" w:firstLine="1258"/>
        <w:spacing w:after="0" w:line="277" w:lineRule="auto"/>
        <w:tabs>
          <w:tab w:leader="none" w:pos="1787" w:val="left"/>
        </w:tabs>
        <w:numPr>
          <w:ilvl w:val="0"/>
          <w:numId w:val="39"/>
        </w:numPr>
        <w:rPr>
          <w:rFonts w:ascii="Arial" w:cs="Arial" w:eastAsia="Arial" w:hAnsi="Arial"/>
          <w:sz w:val="17"/>
          <w:szCs w:val="17"/>
          <w:color w:val="auto"/>
        </w:rPr>
      </w:pPr>
      <w:r>
        <w:rPr>
          <w:rFonts w:ascii="Arial" w:cs="Arial" w:eastAsia="Arial" w:hAnsi="Arial"/>
          <w:sz w:val="17"/>
          <w:szCs w:val="17"/>
          <w:color w:val="auto"/>
        </w:rPr>
        <w:t>If the Participant's employment terminates due to death or Disability, the unvested Phantom Units shall vest in full and the Restricted Period shall terminate as of the date of the Participant's termination of employment. For this purpose, Disability means the Participant's disability that entitles the Participant to receive benefits under a long-term disability plan of the Company.</w:t>
      </w:r>
    </w:p>
    <w:p>
      <w:pPr>
        <w:spacing w:after="0" w:line="185" w:lineRule="exact"/>
        <w:rPr>
          <w:rFonts w:ascii="Arial" w:cs="Arial" w:eastAsia="Arial" w:hAnsi="Arial"/>
          <w:sz w:val="17"/>
          <w:szCs w:val="17"/>
          <w:color w:val="auto"/>
        </w:rPr>
      </w:pPr>
    </w:p>
    <w:p>
      <w:pPr>
        <w:jc w:val="both"/>
        <w:ind w:left="-20" w:firstLine="1258"/>
        <w:spacing w:after="0" w:line="277" w:lineRule="auto"/>
        <w:tabs>
          <w:tab w:leader="none" w:pos="1803"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 the event of a Change of Control of Civeo Corporation, all units shall vest upon the date of Change of Control (when such is to have occurred as declared by the Board of Directors) where such units are not converted or assumed by the surviving entity. In the event of vesting acceleration, the participant will be paid the value of the units no later than 10 days following the date of the Change of Control.</w:t>
      </w:r>
    </w:p>
    <w:p>
      <w:pPr>
        <w:spacing w:after="0" w:line="184" w:lineRule="exact"/>
        <w:rPr>
          <w:sz w:val="20"/>
          <w:szCs w:val="20"/>
          <w:color w:val="auto"/>
        </w:rPr>
      </w:pPr>
    </w:p>
    <w:p>
      <w:pPr>
        <w:jc w:val="both"/>
        <w:ind w:firstLine="1257"/>
        <w:spacing w:after="0" w:line="259" w:lineRule="auto"/>
        <w:tabs>
          <w:tab w:leader="none" w:pos="1796"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Dividend Equivalent Rights. </w:t>
      </w:r>
      <w:r>
        <w:rPr>
          <w:rFonts w:ascii="Arial" w:cs="Arial" w:eastAsia="Arial" w:hAnsi="Arial"/>
          <w:sz w:val="17"/>
          <w:szCs w:val="17"/>
          <w:color w:val="auto"/>
        </w:rPr>
        <w:t>This grant of Phantom Units includes a tandem Dividend Equivalent Right ("DER")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each Phantom Unit. The DER shall entitle the participant to receive, as evidenced by entry in a bookkeeping account, during the Restricted Period, the equivalent value in cash of dividends paid on common stock of the corporation, if and when declared. Tandem DER's shall be subject to vesting and forfeiture under the same terms and conditions as apply to the Phantom Units to which they are attached, and will be paid in cash, without interest, at the same time as the underlying Phantom Units are paid pursuant to Section 2. DER's shall be credited to the Participant's bookkeeping account at the same time as dividends paid to shareholders.</w:t>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68" w:lineRule="exact"/>
        <w:rPr>
          <w:rFonts w:ascii="Arial" w:cs="Arial" w:eastAsia="Arial" w:hAnsi="Arial"/>
          <w:sz w:val="17"/>
          <w:szCs w:val="17"/>
          <w:b w:val="1"/>
          <w:bCs w:val="1"/>
          <w:color w:val="auto"/>
        </w:rPr>
      </w:pPr>
    </w:p>
    <w:p>
      <w:pPr>
        <w:ind w:left="1780" w:hanging="519"/>
        <w:spacing w:after="0"/>
        <w:tabs>
          <w:tab w:leader="none" w:pos="178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Rights as Shareholder. </w:t>
      </w:r>
      <w:r>
        <w:rPr>
          <w:rFonts w:ascii="Arial" w:cs="Arial" w:eastAsia="Arial" w:hAnsi="Arial"/>
          <w:sz w:val="17"/>
          <w:szCs w:val="17"/>
          <w:color w:val="auto"/>
        </w:rPr>
        <w:t>The Participant shall have no rights as a shareholder as a result of the grant of Phantom</w:t>
      </w:r>
    </w:p>
    <w:p>
      <w:pPr>
        <w:spacing w:after="0" w:line="31" w:lineRule="exact"/>
        <w:rPr>
          <w:rFonts w:ascii="Arial" w:cs="Arial" w:eastAsia="Arial" w:hAnsi="Arial"/>
          <w:sz w:val="17"/>
          <w:szCs w:val="17"/>
          <w:b w:val="1"/>
          <w:bCs w:val="1"/>
          <w:color w:val="auto"/>
        </w:rPr>
      </w:pPr>
    </w:p>
    <w:p>
      <w:pPr>
        <w:ind w:left="20"/>
        <w:spacing w:after="0"/>
        <w:rPr>
          <w:rFonts w:ascii="Arial" w:cs="Arial" w:eastAsia="Arial" w:hAnsi="Arial"/>
          <w:sz w:val="17"/>
          <w:szCs w:val="17"/>
          <w:b w:val="1"/>
          <w:bCs w:val="1"/>
          <w:color w:val="auto"/>
        </w:rPr>
      </w:pPr>
      <w:r>
        <w:rPr>
          <w:rFonts w:ascii="Arial" w:cs="Arial" w:eastAsia="Arial" w:hAnsi="Arial"/>
          <w:sz w:val="17"/>
          <w:szCs w:val="17"/>
          <w:color w:val="auto"/>
        </w:rPr>
        <w:t>Units hereunder.</w:t>
      </w:r>
    </w:p>
    <w:p>
      <w:pPr>
        <w:sectPr>
          <w:pgSz w:w="11900" w:h="16838" w:orient="portrait"/>
          <w:cols w:equalWidth="0" w:num="1">
            <w:col w:w="11040"/>
          </w:cols>
          <w:pgMar w:left="420" w:top="879" w:right="439" w:bottom="1440" w:gutter="0" w:footer="0" w:header="0"/>
        </w:sectPr>
      </w:pPr>
    </w:p>
    <w:bookmarkStart w:id="43" w:name="page44"/>
    <w:bookmarkEnd w:id="43"/>
    <w:p>
      <w:pPr>
        <w:jc w:val="both"/>
        <w:ind w:right="20" w:firstLine="1257"/>
        <w:spacing w:after="0" w:line="270" w:lineRule="auto"/>
        <w:tabs>
          <w:tab w:leader="none" w:pos="1796"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Assignment of Award. </w:t>
      </w:r>
      <w:r>
        <w:rPr>
          <w:rFonts w:ascii="Arial" w:cs="Arial" w:eastAsia="Arial" w:hAnsi="Arial"/>
          <w:sz w:val="17"/>
          <w:szCs w:val="17"/>
          <w:color w:val="auto"/>
        </w:rPr>
        <w:t>The Participant's rights under this Agreement and the Plan are personal; no assignment or</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 of the Participant 's rights under and interest in this Award may be made by the Participant other than by will, by beneficiary designation, by the laws of descent and distribution or by a qualified domestic relations order.</w:t>
      </w:r>
    </w:p>
    <w:p>
      <w:pPr>
        <w:spacing w:after="0" w:line="189" w:lineRule="exact"/>
        <w:rPr>
          <w:rFonts w:ascii="Arial" w:cs="Arial" w:eastAsia="Arial" w:hAnsi="Arial"/>
          <w:sz w:val="17"/>
          <w:szCs w:val="17"/>
          <w:b w:val="1"/>
          <w:bCs w:val="1"/>
          <w:color w:val="auto"/>
        </w:rPr>
      </w:pPr>
    </w:p>
    <w:p>
      <w:pPr>
        <w:jc w:val="both"/>
        <w:ind w:firstLine="1261"/>
        <w:spacing w:after="0" w:line="259" w:lineRule="auto"/>
        <w:tabs>
          <w:tab w:leader="none" w:pos="1783"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Withholding. </w:t>
      </w:r>
      <w:r>
        <w:rPr>
          <w:rFonts w:ascii="Arial" w:cs="Arial" w:eastAsia="Arial" w:hAnsi="Arial"/>
          <w:sz w:val="17"/>
          <w:szCs w:val="17"/>
          <w:color w:val="auto"/>
        </w:rPr>
        <w:t>To the extent that the grant, vesting or payment of a Phantom Unit results in the receipt of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by the Participant with respect to which the Company or its Affiliate has a tax withholding obligation pursuant to applicable law, the Company or its Affiliate is authorized to withhold from any payment due under this Agreement or from any other compensation or other amount owing to the Participant the amount of such applicable taxes or other statutory remittances payable in respect of the lapse of restrictions hereon and to take such other action as may be necessary in the opinion of the Company or its Affiliate to satisfy its withholding obligations for the payment of such taxes or other statutory remittances.</w:t>
      </w:r>
    </w:p>
    <w:p>
      <w:pPr>
        <w:spacing w:after="0" w:line="224" w:lineRule="exact"/>
        <w:rPr>
          <w:rFonts w:ascii="Arial" w:cs="Arial" w:eastAsia="Arial" w:hAnsi="Arial"/>
          <w:sz w:val="17"/>
          <w:szCs w:val="17"/>
          <w:b w:val="1"/>
          <w:bCs w:val="1"/>
          <w:color w:val="auto"/>
        </w:rPr>
      </w:pPr>
    </w:p>
    <w:p>
      <w:pPr>
        <w:jc w:val="both"/>
        <w:ind w:firstLine="1265"/>
        <w:spacing w:after="0" w:line="319" w:lineRule="auto"/>
        <w:tabs>
          <w:tab w:leader="none" w:pos="1787"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Employment Guaranteed. </w:t>
      </w:r>
      <w:r>
        <w:rPr>
          <w:rFonts w:ascii="Arial" w:cs="Arial" w:eastAsia="Arial" w:hAnsi="Arial"/>
          <w:sz w:val="17"/>
          <w:szCs w:val="17"/>
          <w:color w:val="auto"/>
        </w:rPr>
        <w:t>The Agreement does not constitute a contract of employment, and no provision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confer any right upon the Participant to continued employment with the Company or any Affiliate, or limit the ability of the Company or any Affiliate to discharge the Participant at will.</w:t>
      </w:r>
    </w:p>
    <w:p>
      <w:pPr>
        <w:spacing w:after="0" w:line="135" w:lineRule="exact"/>
        <w:rPr>
          <w:rFonts w:ascii="Arial" w:cs="Arial" w:eastAsia="Arial" w:hAnsi="Arial"/>
          <w:sz w:val="17"/>
          <w:szCs w:val="17"/>
          <w:b w:val="1"/>
          <w:bCs w:val="1"/>
          <w:color w:val="auto"/>
        </w:rPr>
      </w:pPr>
    </w:p>
    <w:p>
      <w:pPr>
        <w:ind w:left="1780" w:hanging="515"/>
        <w:spacing w:after="0"/>
        <w:tabs>
          <w:tab w:leader="none" w:pos="178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Governing Law. </w:t>
      </w:r>
      <w:r>
        <w:rPr>
          <w:rFonts w:ascii="Arial" w:cs="Arial" w:eastAsia="Arial" w:hAnsi="Arial"/>
          <w:sz w:val="17"/>
          <w:szCs w:val="17"/>
          <w:color w:val="auto"/>
        </w:rPr>
        <w:t>This Agreement shall be governed by, construed, and enforced in accordance with the laws of the</w:t>
      </w:r>
    </w:p>
    <w:p>
      <w:pPr>
        <w:spacing w:after="0" w:line="31"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7"/>
          <w:szCs w:val="17"/>
          <w:color w:val="auto"/>
        </w:rPr>
        <w:t>State of Texas.</w:t>
      </w:r>
    </w:p>
    <w:p>
      <w:pPr>
        <w:spacing w:after="0" w:line="230" w:lineRule="exact"/>
        <w:rPr>
          <w:rFonts w:ascii="Arial" w:cs="Arial" w:eastAsia="Arial" w:hAnsi="Arial"/>
          <w:sz w:val="17"/>
          <w:szCs w:val="17"/>
          <w:b w:val="1"/>
          <w:bCs w:val="1"/>
          <w:color w:val="auto"/>
        </w:rPr>
      </w:pPr>
    </w:p>
    <w:p>
      <w:pPr>
        <w:ind w:right="20" w:firstLine="1282"/>
        <w:spacing w:after="0" w:line="301" w:lineRule="auto"/>
        <w:tabs>
          <w:tab w:leader="none" w:pos="1796" w:val="left"/>
        </w:tabs>
        <w:numPr>
          <w:ilvl w:val="2"/>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Binding Effect. </w:t>
      </w:r>
      <w:r>
        <w:rPr>
          <w:rFonts w:ascii="Arial" w:cs="Arial" w:eastAsia="Arial" w:hAnsi="Arial"/>
          <w:sz w:val="17"/>
          <w:szCs w:val="17"/>
          <w:color w:val="auto"/>
        </w:rPr>
        <w:t>This Agreement shall be binding upon and inure to the benefit of any successor or successors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upon any person lawfully claiming under the Participant.</w:t>
      </w:r>
    </w:p>
    <w:p>
      <w:pPr>
        <w:spacing w:after="0" w:line="176" w:lineRule="exact"/>
        <w:rPr>
          <w:rFonts w:ascii="Arial" w:cs="Arial" w:eastAsia="Arial" w:hAnsi="Arial"/>
          <w:sz w:val="17"/>
          <w:szCs w:val="17"/>
          <w:b w:val="1"/>
          <w:bCs w:val="1"/>
          <w:color w:val="auto"/>
        </w:rPr>
      </w:pPr>
    </w:p>
    <w:p>
      <w:pPr>
        <w:ind w:right="20" w:firstLine="1277"/>
        <w:spacing w:after="0" w:line="285" w:lineRule="auto"/>
        <w:tabs>
          <w:tab w:leader="none" w:pos="1782" w:val="left"/>
        </w:tabs>
        <w:numPr>
          <w:ilvl w:val="2"/>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Counterparts. </w:t>
      </w:r>
      <w:r>
        <w:rPr>
          <w:rFonts w:ascii="Arial" w:cs="Arial" w:eastAsia="Arial" w:hAnsi="Arial"/>
          <w:sz w:val="17"/>
          <w:szCs w:val="17"/>
          <w:color w:val="auto"/>
        </w:rPr>
        <w:t>This Agreement may be executed in one or more counterparts, each of which shall be deemed to be an</w:t>
      </w:r>
      <w:r>
        <w:rPr>
          <w:rFonts w:ascii="Arial" w:cs="Arial" w:eastAsia="Arial" w:hAnsi="Arial"/>
          <w:sz w:val="17"/>
          <w:szCs w:val="17"/>
          <w:b w:val="1"/>
          <w:bCs w:val="1"/>
          <w:color w:val="auto"/>
        </w:rPr>
        <w:t xml:space="preserve"> </w:t>
      </w:r>
      <w:r>
        <w:rPr>
          <w:rFonts w:ascii="Arial" w:cs="Arial" w:eastAsia="Arial" w:hAnsi="Arial"/>
          <w:sz w:val="17"/>
          <w:szCs w:val="17"/>
          <w:color w:val="auto"/>
        </w:rPr>
        <w:t>original, but all of which together will constitute one and the same Agreement.</w:t>
      </w:r>
    </w:p>
    <w:p>
      <w:pPr>
        <w:spacing w:after="0" w:line="215" w:lineRule="exact"/>
        <w:rPr>
          <w:rFonts w:ascii="Arial" w:cs="Arial" w:eastAsia="Arial" w:hAnsi="Arial"/>
          <w:sz w:val="17"/>
          <w:szCs w:val="17"/>
          <w:b w:val="1"/>
          <w:bCs w:val="1"/>
          <w:color w:val="auto"/>
        </w:rPr>
      </w:pPr>
    </w:p>
    <w:p>
      <w:pPr>
        <w:jc w:val="both"/>
        <w:ind w:right="20" w:firstLine="1274"/>
        <w:spacing w:after="0" w:line="269" w:lineRule="auto"/>
        <w:tabs>
          <w:tab w:leader="none" w:pos="1806" w:val="left"/>
        </w:tabs>
        <w:numPr>
          <w:ilvl w:val="2"/>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Committee's Powers. </w:t>
      </w:r>
      <w:r>
        <w:rPr>
          <w:rFonts w:ascii="Arial" w:cs="Arial" w:eastAsia="Arial" w:hAnsi="Arial"/>
          <w:sz w:val="17"/>
          <w:szCs w:val="17"/>
          <w:color w:val="auto"/>
        </w:rPr>
        <w:t>No provision contained in this Agreement shall in any way terminate, modify or alter, or be</w:t>
      </w:r>
      <w:r>
        <w:rPr>
          <w:rFonts w:ascii="Arial" w:cs="Arial" w:eastAsia="Arial" w:hAnsi="Arial"/>
          <w:sz w:val="17"/>
          <w:szCs w:val="17"/>
          <w:b w:val="1"/>
          <w:bCs w:val="1"/>
          <w:color w:val="auto"/>
        </w:rPr>
        <w:t xml:space="preserve"> </w:t>
      </w:r>
      <w:r>
        <w:rPr>
          <w:rFonts w:ascii="Arial" w:cs="Arial" w:eastAsia="Arial" w:hAnsi="Arial"/>
          <w:sz w:val="17"/>
          <w:szCs w:val="17"/>
          <w:color w:val="auto"/>
        </w:rPr>
        <w:t>construed or interpreted as terminating, modifying or altering any of the powers, rights or authority vested in the Committee pursuant to the terms of the Plan, including, without limitation, the Committee's rights to make certain determinations and elections with respect to the Phantom Units.</w:t>
      </w:r>
    </w:p>
    <w:p>
      <w:pPr>
        <w:spacing w:after="0" w:line="200" w:lineRule="exact"/>
        <w:rPr>
          <w:rFonts w:ascii="Arial" w:cs="Arial" w:eastAsia="Arial" w:hAnsi="Arial"/>
          <w:sz w:val="17"/>
          <w:szCs w:val="17"/>
          <w:b w:val="1"/>
          <w:bCs w:val="1"/>
          <w:color w:val="auto"/>
        </w:rPr>
      </w:pPr>
    </w:p>
    <w:p>
      <w:pPr>
        <w:spacing w:after="0" w:line="240" w:lineRule="exact"/>
        <w:rPr>
          <w:rFonts w:ascii="Arial" w:cs="Arial" w:eastAsia="Arial" w:hAnsi="Arial"/>
          <w:sz w:val="17"/>
          <w:szCs w:val="17"/>
          <w:b w:val="1"/>
          <w:bCs w:val="1"/>
          <w:color w:val="auto"/>
        </w:rPr>
      </w:pPr>
    </w:p>
    <w:p>
      <w:pPr>
        <w:ind w:right="20" w:firstLine="1274"/>
        <w:spacing w:after="0" w:line="285" w:lineRule="auto"/>
        <w:tabs>
          <w:tab w:leader="none" w:pos="1806" w:val="left"/>
        </w:tabs>
        <w:numPr>
          <w:ilvl w:val="2"/>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Amendment. </w:t>
      </w:r>
      <w:r>
        <w:rPr>
          <w:rFonts w:ascii="Arial" w:cs="Arial" w:eastAsia="Arial" w:hAnsi="Arial"/>
          <w:sz w:val="17"/>
          <w:szCs w:val="17"/>
          <w:color w:val="auto"/>
        </w:rPr>
        <w:t>This Agreement cannot be modified, altered or amended, except by an agreement, in writing, signed by</w:t>
      </w:r>
      <w:r>
        <w:rPr>
          <w:rFonts w:ascii="Arial" w:cs="Arial" w:eastAsia="Arial" w:hAnsi="Arial"/>
          <w:sz w:val="17"/>
          <w:szCs w:val="17"/>
          <w:b w:val="1"/>
          <w:bCs w:val="1"/>
          <w:color w:val="auto"/>
        </w:rPr>
        <w:t xml:space="preserve"> </w:t>
      </w:r>
      <w:r>
        <w:rPr>
          <w:rFonts w:ascii="Arial" w:cs="Arial" w:eastAsia="Arial" w:hAnsi="Arial"/>
          <w:sz w:val="17"/>
          <w:szCs w:val="17"/>
          <w:color w:val="auto"/>
        </w:rPr>
        <w:t>both the Company and the Participant.</w:t>
      </w:r>
    </w:p>
    <w:p>
      <w:pPr>
        <w:spacing w:after="0" w:line="176" w:lineRule="exact"/>
        <w:rPr>
          <w:rFonts w:ascii="Arial" w:cs="Arial" w:eastAsia="Arial" w:hAnsi="Arial"/>
          <w:sz w:val="17"/>
          <w:szCs w:val="17"/>
          <w:b w:val="1"/>
          <w:bCs w:val="1"/>
          <w:color w:val="auto"/>
        </w:rPr>
      </w:pPr>
    </w:p>
    <w:p>
      <w:pPr>
        <w:ind w:left="1900" w:hanging="626"/>
        <w:spacing w:after="0"/>
        <w:tabs>
          <w:tab w:leader="none" w:pos="1900" w:val="left"/>
        </w:tabs>
        <w:numPr>
          <w:ilvl w:val="2"/>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Section 409A.</w:t>
      </w:r>
    </w:p>
    <w:p>
      <w:pPr>
        <w:spacing w:after="0" w:line="250" w:lineRule="exact"/>
        <w:rPr>
          <w:rFonts w:ascii="Arial" w:cs="Arial" w:eastAsia="Arial" w:hAnsi="Arial"/>
          <w:sz w:val="17"/>
          <w:szCs w:val="17"/>
          <w:b w:val="1"/>
          <w:bCs w:val="1"/>
          <w:color w:val="auto"/>
        </w:rPr>
      </w:pPr>
    </w:p>
    <w:p>
      <w:pPr>
        <w:jc w:val="both"/>
        <w:ind w:left="-20" w:right="20" w:firstLine="1281"/>
        <w:spacing w:after="0" w:line="258" w:lineRule="auto"/>
        <w:tabs>
          <w:tab w:leader="none" w:pos="1798" w:val="left"/>
        </w:tabs>
        <w:numPr>
          <w:ilvl w:val="1"/>
          <w:numId w:val="41"/>
        </w:numPr>
        <w:rPr>
          <w:rFonts w:ascii="Arial" w:cs="Arial" w:eastAsia="Arial" w:hAnsi="Arial"/>
          <w:sz w:val="17"/>
          <w:szCs w:val="17"/>
          <w:color w:val="auto"/>
        </w:rPr>
      </w:pPr>
      <w:r>
        <w:rPr>
          <w:rFonts w:ascii="Arial" w:cs="Arial" w:eastAsia="Arial" w:hAnsi="Arial"/>
          <w:sz w:val="17"/>
          <w:szCs w:val="17"/>
          <w:color w:val="auto"/>
        </w:rPr>
        <w:t>The Phantom Units granted pursuant to this Agreement are intended to comply with or be exempt from Code Section 409A, and ambiguous provisions hereof, if any, shall be construed and interpreted in a manner consistent with such intent. No payment, benefit or consideration shall be substituted for the Phantom Units if such action would result in the imposition of taxes under Code Section 409A. Notwithstanding anything in this Agreement to the contrary, if any Plan provision or this Agreement results in the imposition of an additional tax under Code Section 409A, that Plan provision or provision of this Agreement shall be reformed, to the extent permissible under Code Section 409A, to avoid imposition of the additional tax, and no such action shall be deemed to adversely affect the Participant's rights to the Phantom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20" w:right="20" w:firstLine="1290"/>
        <w:spacing w:after="0" w:line="260" w:lineRule="auto"/>
        <w:tabs>
          <w:tab w:leader="none" w:pos="1793"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Notwithstanding any provision of the Agreement to the contrary, if the Participant is identified by the Company as a "specified employee" within the meaning of Code Section 409A(a)(2)(B)(i) on the date on which the Participant has a "separation from service" (other than due to death) within the meaning of Treasury Regulation </w:t>
      </w:r>
      <w:r>
        <w:rPr>
          <w:rFonts w:ascii="Arial" w:cs="Arial" w:eastAsia="Arial" w:hAnsi="Arial"/>
          <w:sz w:val="17"/>
          <w:szCs w:val="17"/>
          <w:i w:val="1"/>
          <w:iCs w:val="1"/>
          <w:color w:val="auto"/>
        </w:rPr>
        <w:t>§</w:t>
      </w:r>
      <w:r>
        <w:rPr>
          <w:rFonts w:ascii="Arial" w:cs="Arial" w:eastAsia="Arial" w:hAnsi="Arial"/>
          <w:sz w:val="17"/>
          <w:szCs w:val="17"/>
          <w:color w:val="auto"/>
        </w:rPr>
        <w:t xml:space="preserve"> l.409A-l(h), the Phantom Units payable or settled on account of a separation from service that are deferred compensation subject to Code Section 409A shall be paid or settled on the earliest of (i) the first business day</w:t>
      </w:r>
    </w:p>
    <w:p>
      <w:pPr>
        <w:sectPr>
          <w:pgSz w:w="11900" w:h="16838" w:orient="portrait"/>
          <w:cols w:equalWidth="0" w:num="1">
            <w:col w:w="11040"/>
          </w:cols>
          <w:pgMar w:left="420" w:top="983" w:right="439" w:bottom="1440" w:gutter="0" w:footer="0" w:header="0"/>
        </w:sectPr>
      </w:pPr>
    </w:p>
    <w:bookmarkStart w:id="44" w:name="page45"/>
    <w:bookmarkEnd w:id="44"/>
    <w:p>
      <w:pPr>
        <w:spacing w:after="0" w:line="282" w:lineRule="auto"/>
        <w:rPr>
          <w:sz w:val="20"/>
          <w:szCs w:val="20"/>
          <w:color w:val="auto"/>
        </w:rPr>
      </w:pPr>
      <w:r>
        <w:rPr>
          <w:rFonts w:ascii="Arial" w:cs="Arial" w:eastAsia="Arial" w:hAnsi="Arial"/>
          <w:sz w:val="17"/>
          <w:szCs w:val="17"/>
          <w:color w:val="auto"/>
        </w:rPr>
        <w:t>following the expiration of six months from the Participant's separation from service, (ii) the date of the Participant's death, or (iii) such earlier date as complies with the requirements of Code Section 409A.</w:t>
      </w:r>
    </w:p>
    <w:p>
      <w:pPr>
        <w:spacing w:after="0" w:line="194" w:lineRule="exact"/>
        <w:rPr>
          <w:sz w:val="20"/>
          <w:szCs w:val="20"/>
          <w:color w:val="auto"/>
        </w:rPr>
      </w:pPr>
    </w:p>
    <w:p>
      <w:pPr>
        <w:jc w:val="both"/>
        <w:ind w:right="20" w:firstLine="1290"/>
        <w:spacing w:after="0" w:line="268" w:lineRule="auto"/>
        <w:tabs>
          <w:tab w:leader="none" w:pos="1816" w:val="left"/>
        </w:tabs>
        <w:numPr>
          <w:ilvl w:val="0"/>
          <w:numId w:val="43"/>
        </w:numPr>
        <w:rPr>
          <w:rFonts w:ascii="Arial" w:cs="Arial" w:eastAsia="Arial" w:hAnsi="Arial"/>
          <w:sz w:val="17"/>
          <w:szCs w:val="17"/>
          <w:color w:val="auto"/>
        </w:rPr>
      </w:pPr>
      <w:r>
        <w:rPr>
          <w:rFonts w:ascii="Arial" w:cs="Arial" w:eastAsia="Arial" w:hAnsi="Arial"/>
          <w:sz w:val="17"/>
          <w:szCs w:val="17"/>
          <w:color w:val="auto"/>
        </w:rPr>
        <w:t>For all purposes of this Agreement, the Participant shall be considered to have terminated employment with the Company and its Affiliates when the Participant incurs a "separation from service'' with the Company within the meaning of Treasury Regulation § l.409A-l(h).</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40" w:type="dxa"/>
            <w:vAlign w:val="bottom"/>
            <w:gridSpan w:val="7"/>
          </w:tcPr>
          <w:p>
            <w:pPr>
              <w:ind w:left="4760"/>
              <w:spacing w:after="0"/>
              <w:rPr>
                <w:sz w:val="20"/>
                <w:szCs w:val="20"/>
                <w:color w:val="auto"/>
              </w:rPr>
            </w:pPr>
            <w:r>
              <w:rPr>
                <w:rFonts w:ascii="Arial" w:cs="Arial" w:eastAsia="Arial" w:hAnsi="Arial"/>
                <w:sz w:val="17"/>
                <w:szCs w:val="17"/>
                <w:b w:val="1"/>
                <w:bCs w:val="1"/>
                <w:color w:val="auto"/>
              </w:rPr>
              <w:t>CIVEO CORPORATION</w:t>
            </w:r>
          </w:p>
        </w:tc>
        <w:tc>
          <w:tcPr>
            <w:tcW w:w="0" w:type="dxa"/>
            <w:vAlign w:val="bottom"/>
          </w:tcPr>
          <w:p>
            <w:pPr>
              <w:spacing w:after="0"/>
              <w:rPr>
                <w:sz w:val="1"/>
                <w:szCs w:val="1"/>
                <w:color w:val="auto"/>
              </w:rPr>
            </w:pPr>
          </w:p>
        </w:tc>
      </w:tr>
      <w:tr>
        <w:trPr>
          <w:trHeight w:val="367"/>
        </w:trPr>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60" w:type="dxa"/>
            <w:vAlign w:val="bottom"/>
          </w:tcPr>
          <w:p>
            <w:pPr>
              <w:ind w:left="4760"/>
              <w:spacing w:after="0"/>
              <w:rPr>
                <w:sz w:val="20"/>
                <w:szCs w:val="20"/>
                <w:color w:val="auto"/>
              </w:rPr>
            </w:pPr>
            <w:r>
              <w:rPr>
                <w:rFonts w:ascii="Arial" w:cs="Arial" w:eastAsia="Arial" w:hAnsi="Arial"/>
                <w:sz w:val="17"/>
                <w:szCs w:val="17"/>
                <w:color w:val="auto"/>
              </w:rPr>
              <w:t>By:</w:t>
            </w:r>
          </w:p>
        </w:tc>
        <w:tc>
          <w:tcPr>
            <w:tcW w:w="180" w:type="dxa"/>
            <w:vAlign w:val="bottom"/>
            <w:tcBorders>
              <w:bottom w:val="single" w:sz="8" w:color="auto"/>
            </w:tcBorders>
            <w:gridSpan w:val="2"/>
          </w:tcPr>
          <w:p>
            <w:pPr>
              <w:spacing w:after="0"/>
              <w:rPr>
                <w:sz w:val="24"/>
                <w:szCs w:val="24"/>
                <w:color w:val="auto"/>
              </w:rPr>
            </w:pPr>
          </w:p>
        </w:tc>
        <w:tc>
          <w:tcPr>
            <w:tcW w:w="14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60" w:type="dxa"/>
            <w:vAlign w:val="bottom"/>
          </w:tcPr>
          <w:p>
            <w:pPr>
              <w:spacing w:after="0"/>
              <w:rPr>
                <w:sz w:val="20"/>
                <w:szCs w:val="20"/>
                <w:color w:val="auto"/>
              </w:rPr>
            </w:pPr>
            <w:r>
              <w:rPr>
                <w:rFonts w:ascii="Arial" w:cs="Arial" w:eastAsia="Arial" w:hAnsi="Arial"/>
                <w:sz w:val="17"/>
                <w:szCs w:val="17"/>
                <w:color w:val="auto"/>
              </w:rPr>
              <w:t>Date:</w:t>
            </w:r>
          </w:p>
        </w:tc>
        <w:tc>
          <w:tcPr>
            <w:tcW w:w="200" w:type="dxa"/>
            <w:vAlign w:val="bottom"/>
            <w:tcBorders>
              <w:bottom w:val="single" w:sz="8" w:color="auto"/>
            </w:tcBorders>
          </w:tcPr>
          <w:p>
            <w:pPr>
              <w:spacing w:after="0"/>
              <w:rPr>
                <w:sz w:val="24"/>
                <w:szCs w:val="24"/>
                <w:color w:val="auto"/>
              </w:rPr>
            </w:pPr>
          </w:p>
        </w:tc>
        <w:tc>
          <w:tcPr>
            <w:tcW w:w="5320" w:type="dxa"/>
            <w:vAlign w:val="bottom"/>
            <w:gridSpan w:val="4"/>
            <w:vMerge w:val="restart"/>
          </w:tcPr>
          <w:p>
            <w:pPr>
              <w:ind w:left="4760"/>
              <w:spacing w:after="0"/>
              <w:rPr>
                <w:sz w:val="20"/>
                <w:szCs w:val="20"/>
                <w:color w:val="auto"/>
              </w:rPr>
            </w:pPr>
            <w:r>
              <w:rPr>
                <w:rFonts w:ascii="Arial" w:cs="Arial" w:eastAsia="Arial" w:hAnsi="Arial"/>
                <w:sz w:val="17"/>
                <w:szCs w:val="17"/>
                <w:color w:val="auto"/>
              </w:rPr>
              <w:t>Name:</w:t>
            </w:r>
          </w:p>
        </w:tc>
        <w:tc>
          <w:tcPr>
            <w:tcW w:w="180" w:type="dxa"/>
            <w:vAlign w:val="bottom"/>
            <w:gridSpan w:val="2"/>
            <w:vMerge w:val="restart"/>
          </w:tcPr>
          <w:p>
            <w:pPr>
              <w:spacing w:after="0"/>
              <w:rPr>
                <w:sz w:val="24"/>
                <w:szCs w:val="24"/>
                <w:color w:val="auto"/>
              </w:rPr>
            </w:pPr>
          </w:p>
        </w:tc>
        <w:tc>
          <w:tcPr>
            <w:tcW w:w="11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320" w:type="dxa"/>
            <w:vAlign w:val="bottom"/>
            <w:gridSpan w:val="4"/>
            <w:vMerge w:val="continue"/>
          </w:tcPr>
          <w:p>
            <w:pPr>
              <w:spacing w:after="0"/>
              <w:rPr>
                <w:sz w:val="3"/>
                <w:szCs w:val="3"/>
                <w:color w:val="auto"/>
              </w:rPr>
            </w:pPr>
          </w:p>
        </w:tc>
        <w:tc>
          <w:tcPr>
            <w:tcW w:w="180" w:type="dxa"/>
            <w:vAlign w:val="bottom"/>
            <w:tcBorders>
              <w:bottom w:val="single" w:sz="8" w:color="auto"/>
            </w:tcBorders>
            <w:gridSpan w:val="2"/>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98"/>
        </w:trPr>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80" w:type="dxa"/>
            <w:vAlign w:val="bottom"/>
            <w:gridSpan w:val="2"/>
          </w:tcPr>
          <w:p>
            <w:pPr>
              <w:ind w:left="4760"/>
              <w:spacing w:after="0"/>
              <w:rPr>
                <w:sz w:val="20"/>
                <w:szCs w:val="20"/>
                <w:color w:val="auto"/>
              </w:rPr>
            </w:pPr>
            <w:r>
              <w:rPr>
                <w:rFonts w:ascii="Arial" w:cs="Arial" w:eastAsia="Arial" w:hAnsi="Arial"/>
                <w:sz w:val="17"/>
                <w:szCs w:val="17"/>
                <w:color w:val="auto"/>
              </w:rPr>
              <w:t>Title:</w:t>
            </w:r>
          </w:p>
        </w:tc>
        <w:tc>
          <w:tcPr>
            <w:tcW w:w="180" w:type="dxa"/>
            <w:vAlign w:val="bottom"/>
            <w:tcBorders>
              <w:bottom w:val="single" w:sz="8" w:color="auto"/>
            </w:tcBorders>
            <w:gridSpan w:val="3"/>
          </w:tcPr>
          <w:p>
            <w:pPr>
              <w:spacing w:after="0"/>
              <w:rPr>
                <w:sz w:val="24"/>
                <w:szCs w:val="24"/>
                <w:color w:val="auto"/>
              </w:rPr>
            </w:pPr>
          </w:p>
        </w:tc>
        <w:tc>
          <w:tcPr>
            <w:tcW w:w="12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right="260" w:firstLine="1259"/>
        <w:spacing w:after="0" w:line="314" w:lineRule="auto"/>
        <w:rPr>
          <w:sz w:val="20"/>
          <w:szCs w:val="20"/>
          <w:color w:val="auto"/>
        </w:rPr>
      </w:pPr>
      <w:r>
        <w:rPr>
          <w:rFonts w:ascii="Arial" w:cs="Arial" w:eastAsia="Arial" w:hAnsi="Arial"/>
          <w:sz w:val="17"/>
          <w:szCs w:val="17"/>
          <w:color w:val="auto"/>
        </w:rPr>
        <w:t>The Participant hereby accepts the foregoing Agreement, subject to the terms and provisions of the Plan and administrative interpretations thereof referred to above.</w:t>
      </w:r>
    </w:p>
    <w:p>
      <w:pPr>
        <w:spacing w:after="0" w:line="218" w:lineRule="exact"/>
        <w:rPr>
          <w:sz w:val="20"/>
          <w:szCs w:val="20"/>
          <w:color w:val="auto"/>
        </w:rPr>
      </w:pPr>
    </w:p>
    <w:p>
      <w:pPr>
        <w:ind w:left="5420"/>
        <w:spacing w:after="0"/>
        <w:rPr>
          <w:sz w:val="20"/>
          <w:szCs w:val="20"/>
          <w:color w:val="auto"/>
        </w:rPr>
      </w:pPr>
      <w:r>
        <w:rPr>
          <w:rFonts w:ascii="Arial" w:cs="Arial" w:eastAsia="Arial" w:hAnsi="Arial"/>
          <w:sz w:val="17"/>
          <w:szCs w:val="17"/>
          <w:b w:val="1"/>
          <w:bCs w:val="1"/>
          <w:color w:val="auto"/>
        </w:rPr>
        <w:t>PARTICIPANT:</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-5080</wp:posOffset>
            </wp:positionV>
            <wp:extent cx="1225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2555" cy="8255"/>
                    </a:xfrm>
                    <a:prstGeom prst="rect">
                      <a:avLst/>
                    </a:prstGeom>
                    <a:noFill/>
                  </pic:spPr>
                </pic:pic>
              </a:graphicData>
            </a:graphic>
          </wp:anchor>
        </w:drawing>
        <w:drawing>
          <wp:anchor simplePos="0" relativeHeight="251657728" behindDoc="1" locked="0" layoutInCell="0" allowOverlap="1">
            <wp:simplePos x="0" y="0"/>
            <wp:positionH relativeFrom="column">
              <wp:posOffset>3437890</wp:posOffset>
            </wp:positionH>
            <wp:positionV relativeFrom="paragraph">
              <wp:posOffset>-21590</wp:posOffset>
            </wp:positionV>
            <wp:extent cx="1225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2555" cy="8255"/>
                    </a:xfrm>
                    <a:prstGeom prst="rect">
                      <a:avLst/>
                    </a:prstGeom>
                    <a:noFill/>
                  </pic:spPr>
                </pic:pic>
              </a:graphicData>
            </a:graphic>
          </wp:anchor>
        </w:drawing>
      </w:r>
    </w:p>
    <w:p>
      <w:pPr>
        <w:sectPr>
          <w:pgSz w:w="11900" w:h="16838" w:orient="portrait"/>
          <w:cols w:equalWidth="0" w:num="1">
            <w:col w:w="11040"/>
          </w:cols>
          <w:pgMar w:left="400" w:top="750" w:right="45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CERTIFICATION OF</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PURSUANT TO RULE 13a–14(a) UNDER THE</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200" w:lineRule="exact"/>
        <w:rPr>
          <w:sz w:val="20"/>
          <w:szCs w:val="20"/>
          <w:color w:val="auto"/>
        </w:rPr>
      </w:pPr>
    </w:p>
    <w:p>
      <w:pPr>
        <w:spacing w:after="0" w:line="2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 Bradley J. Dodson, certify that:</w:t>
      </w:r>
    </w:p>
    <w:p>
      <w:pPr>
        <w:spacing w:after="0" w:line="353" w:lineRule="exact"/>
        <w:rPr>
          <w:sz w:val="20"/>
          <w:szCs w:val="20"/>
          <w:color w:val="auto"/>
        </w:rPr>
      </w:pPr>
    </w:p>
    <w:p>
      <w:pPr>
        <w:ind w:left="340" w:hanging="318"/>
        <w:spacing w:after="0"/>
        <w:tabs>
          <w:tab w:leader="none" w:pos="3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Civeo Corporation (Registrant);</w:t>
      </w:r>
    </w:p>
    <w:p>
      <w:pPr>
        <w:spacing w:after="0" w:line="66" w:lineRule="exact"/>
        <w:rPr>
          <w:sz w:val="20"/>
          <w:szCs w:val="20"/>
          <w:color w:val="auto"/>
        </w:rPr>
      </w:pPr>
    </w:p>
    <w:p>
      <w:pPr>
        <w:jc w:val="both"/>
        <w:ind w:left="340" w:right="2340" w:hanging="318"/>
        <w:spacing w:after="0" w:line="232" w:lineRule="auto"/>
        <w:tabs>
          <w:tab w:leader="none" w:pos="3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sz w:val="20"/>
          <w:szCs w:val="20"/>
          <w:color w:val="auto"/>
        </w:rPr>
      </w:pPr>
    </w:p>
    <w:p>
      <w:pPr>
        <w:jc w:val="both"/>
        <w:ind w:left="340" w:right="2320" w:hanging="318"/>
        <w:spacing w:after="0" w:line="232" w:lineRule="auto"/>
        <w:tabs>
          <w:tab w:leader="none" w:pos="3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sz w:val="20"/>
          <w:szCs w:val="20"/>
          <w:color w:val="auto"/>
        </w:rPr>
      </w:pPr>
    </w:p>
    <w:p>
      <w:pPr>
        <w:jc w:val="both"/>
        <w:ind w:left="340" w:right="2320" w:hanging="318"/>
        <w:spacing w:after="0" w:line="232" w:lineRule="auto"/>
        <w:tabs>
          <w:tab w:leader="none" w:pos="3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Times New Roman" w:cs="Times New Roman" w:eastAsia="Times New Roman" w:hAnsi="Times New Roman"/>
          <w:sz w:val="17"/>
          <w:szCs w:val="17"/>
          <w:color w:val="auto"/>
        </w:rPr>
      </w:pPr>
    </w:p>
    <w:p>
      <w:pPr>
        <w:ind w:left="700" w:right="2320" w:hanging="36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Times New Roman" w:cs="Times New Roman" w:eastAsia="Times New Roman" w:hAnsi="Times New Roman"/>
          <w:sz w:val="17"/>
          <w:szCs w:val="17"/>
          <w:color w:val="auto"/>
        </w:rPr>
      </w:pPr>
    </w:p>
    <w:p>
      <w:pPr>
        <w:ind w:left="700" w:right="2340" w:hanging="36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Times New Roman" w:cs="Times New Roman" w:eastAsia="Times New Roman" w:hAnsi="Times New Roman"/>
          <w:sz w:val="17"/>
          <w:szCs w:val="17"/>
          <w:color w:val="auto"/>
        </w:rPr>
      </w:pPr>
    </w:p>
    <w:p>
      <w:pPr>
        <w:ind w:left="700" w:right="2320" w:hanging="366"/>
        <w:spacing w:after="0" w:line="22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sz w:val="20"/>
          <w:szCs w:val="20"/>
          <w:color w:val="auto"/>
        </w:rPr>
      </w:pPr>
    </w:p>
    <w:p>
      <w:pPr>
        <w:jc w:val="both"/>
        <w:ind w:left="700" w:right="2340" w:hanging="364"/>
        <w:spacing w:after="0" w:line="230" w:lineRule="auto"/>
        <w:tabs>
          <w:tab w:leader="none" w:pos="7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sz w:val="20"/>
          <w:szCs w:val="20"/>
          <w:color w:val="auto"/>
        </w:rPr>
      </w:pPr>
    </w:p>
    <w:p>
      <w:pPr>
        <w:jc w:val="both"/>
        <w:ind w:left="340" w:right="2320" w:hanging="318"/>
        <w:spacing w:after="0" w:line="232" w:lineRule="auto"/>
        <w:tabs>
          <w:tab w:leader="none" w:pos="3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Times New Roman" w:cs="Times New Roman" w:eastAsia="Times New Roman" w:hAnsi="Times New Roman"/>
          <w:sz w:val="17"/>
          <w:szCs w:val="17"/>
          <w:color w:val="auto"/>
        </w:rPr>
      </w:pPr>
    </w:p>
    <w:p>
      <w:pPr>
        <w:ind w:left="700" w:right="2340" w:hanging="366"/>
        <w:spacing w:after="0" w:line="23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Times New Roman" w:cs="Times New Roman" w:eastAsia="Times New Roman" w:hAnsi="Times New Roman"/>
          <w:sz w:val="17"/>
          <w:szCs w:val="17"/>
          <w:color w:val="auto"/>
        </w:rPr>
      </w:pPr>
    </w:p>
    <w:p>
      <w:pPr>
        <w:ind w:left="700" w:right="2320" w:hanging="366"/>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July 29, 2025</w:t>
      </w:r>
    </w:p>
    <w:p>
      <w:pPr>
        <w:spacing w:after="0" w:line="144"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4243705</wp:posOffset>
            </wp:positionH>
            <wp:positionV relativeFrom="paragraph">
              <wp:posOffset>20320</wp:posOffset>
            </wp:positionV>
            <wp:extent cx="2879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79725" cy="8255"/>
                    </a:xfrm>
                    <a:prstGeom prst="rect">
                      <a:avLst/>
                    </a:prstGeom>
                    <a:noFill/>
                  </pic:spPr>
                </pic:pic>
              </a:graphicData>
            </a:graphic>
          </wp:anchor>
        </w:drawing>
      </w:r>
    </w:p>
    <w:p>
      <w:pPr>
        <w:spacing w:after="0" w:line="2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Bradley J. Dodson</w:t>
      </w:r>
    </w:p>
    <w:p>
      <w:pPr>
        <w:spacing w:after="0" w:line="3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ectPr>
          <w:pgSz w:w="11900" w:h="16838" w:orient="portrait"/>
          <w:cols w:equalWidth="0" w:num="1">
            <w:col w:w="11240"/>
          </w:cols>
          <w:pgMar w:left="320" w:top="864"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CERTIFICATION OF</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PURSUANT TO RULE 13a–14(a) UNDER THE</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200" w:lineRule="exact"/>
        <w:rPr>
          <w:sz w:val="20"/>
          <w:szCs w:val="20"/>
          <w:color w:val="auto"/>
        </w:rPr>
      </w:pPr>
    </w:p>
    <w:p>
      <w:pPr>
        <w:spacing w:after="0" w:line="2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 E. Collin Gerry, certify that:</w:t>
      </w:r>
    </w:p>
    <w:p>
      <w:pPr>
        <w:spacing w:after="0" w:line="353" w:lineRule="exact"/>
        <w:rPr>
          <w:sz w:val="20"/>
          <w:szCs w:val="20"/>
          <w:color w:val="auto"/>
        </w:rPr>
      </w:pPr>
    </w:p>
    <w:p>
      <w:pPr>
        <w:ind w:left="320" w:hanging="298"/>
        <w:spacing w:after="0"/>
        <w:tabs>
          <w:tab w:leader="none" w:pos="3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Civeo Corporation (Registrant);</w:t>
      </w:r>
    </w:p>
    <w:p>
      <w:pPr>
        <w:spacing w:after="0" w:line="66" w:lineRule="exact"/>
        <w:rPr>
          <w:sz w:val="20"/>
          <w:szCs w:val="20"/>
          <w:color w:val="auto"/>
        </w:rPr>
      </w:pPr>
    </w:p>
    <w:p>
      <w:pPr>
        <w:jc w:val="both"/>
        <w:ind w:left="320" w:right="2420" w:hanging="298"/>
        <w:spacing w:after="0" w:line="232" w:lineRule="auto"/>
        <w:tabs>
          <w:tab w:leader="none" w:pos="3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sz w:val="20"/>
          <w:szCs w:val="20"/>
          <w:color w:val="auto"/>
        </w:rPr>
      </w:pPr>
    </w:p>
    <w:p>
      <w:pPr>
        <w:jc w:val="both"/>
        <w:ind w:left="320" w:right="2420" w:hanging="298"/>
        <w:spacing w:after="0" w:line="232" w:lineRule="auto"/>
        <w:tabs>
          <w:tab w:leader="none" w:pos="3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sz w:val="20"/>
          <w:szCs w:val="20"/>
          <w:color w:val="auto"/>
        </w:rPr>
      </w:pPr>
    </w:p>
    <w:p>
      <w:pPr>
        <w:jc w:val="both"/>
        <w:ind w:left="320" w:right="2420" w:hanging="298"/>
        <w:spacing w:after="0" w:line="232" w:lineRule="auto"/>
        <w:tabs>
          <w:tab w:leader="none" w:pos="3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Times New Roman" w:cs="Times New Roman" w:eastAsia="Times New Roman" w:hAnsi="Times New Roman"/>
          <w:sz w:val="17"/>
          <w:szCs w:val="17"/>
          <w:color w:val="auto"/>
        </w:rPr>
      </w:pPr>
    </w:p>
    <w:p>
      <w:pPr>
        <w:ind w:left="720" w:right="2420" w:hanging="392"/>
        <w:spacing w:after="0" w:line="23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4" w:lineRule="exact"/>
        <w:rPr>
          <w:rFonts w:ascii="Times New Roman" w:cs="Times New Roman" w:eastAsia="Times New Roman" w:hAnsi="Times New Roman"/>
          <w:sz w:val="17"/>
          <w:szCs w:val="17"/>
          <w:color w:val="auto"/>
        </w:rPr>
      </w:pPr>
    </w:p>
    <w:p>
      <w:pPr>
        <w:ind w:left="720" w:right="2420" w:hanging="39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Times New Roman" w:cs="Times New Roman" w:eastAsia="Times New Roman" w:hAnsi="Times New Roman"/>
          <w:sz w:val="17"/>
          <w:szCs w:val="17"/>
          <w:color w:val="auto"/>
        </w:rPr>
      </w:pPr>
    </w:p>
    <w:p>
      <w:pPr>
        <w:ind w:left="720" w:right="2420" w:hanging="392"/>
        <w:spacing w:after="0" w:line="23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sz w:val="20"/>
          <w:szCs w:val="20"/>
          <w:color w:val="auto"/>
        </w:rPr>
      </w:pPr>
    </w:p>
    <w:p>
      <w:pPr>
        <w:jc w:val="both"/>
        <w:ind w:left="720" w:right="2420" w:hanging="398"/>
        <w:spacing w:after="0" w:line="230" w:lineRule="auto"/>
        <w:tabs>
          <w:tab w:leader="none" w:pos="7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sz w:val="20"/>
          <w:szCs w:val="20"/>
          <w:color w:val="auto"/>
        </w:rPr>
      </w:pPr>
    </w:p>
    <w:p>
      <w:pPr>
        <w:jc w:val="both"/>
        <w:ind w:left="320" w:right="2420" w:hanging="298"/>
        <w:spacing w:after="0" w:line="232" w:lineRule="auto"/>
        <w:tabs>
          <w:tab w:leader="none" w:pos="3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Times New Roman" w:cs="Times New Roman" w:eastAsia="Times New Roman" w:hAnsi="Times New Roman"/>
          <w:sz w:val="17"/>
          <w:szCs w:val="17"/>
          <w:color w:val="auto"/>
        </w:rPr>
      </w:pPr>
    </w:p>
    <w:p>
      <w:pPr>
        <w:ind w:left="720" w:right="2420" w:hanging="392"/>
        <w:spacing w:after="0" w:line="23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Times New Roman" w:cs="Times New Roman" w:eastAsia="Times New Roman" w:hAnsi="Times New Roman"/>
          <w:sz w:val="17"/>
          <w:szCs w:val="17"/>
          <w:color w:val="auto"/>
        </w:rPr>
      </w:pPr>
    </w:p>
    <w:p>
      <w:pPr>
        <w:ind w:left="720" w:right="2420" w:hanging="392"/>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July 29, 2025</w:t>
      </w:r>
    </w:p>
    <w:p>
      <w:pPr>
        <w:spacing w:after="0" w:line="35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/s/ E. Collin Gerry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4243705</wp:posOffset>
            </wp:positionH>
            <wp:positionV relativeFrom="paragraph">
              <wp:posOffset>20320</wp:posOffset>
            </wp:positionV>
            <wp:extent cx="28797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79725" cy="8255"/>
                    </a:xfrm>
                    <a:prstGeom prst="rect">
                      <a:avLst/>
                    </a:prstGeom>
                    <a:noFill/>
                  </pic:spPr>
                </pic:pic>
              </a:graphicData>
            </a:graphic>
          </wp:anchor>
        </w:drawing>
      </w:r>
    </w:p>
    <w:p>
      <w:pPr>
        <w:spacing w:after="0" w:line="2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E. Collin Gerry</w:t>
      </w:r>
    </w:p>
    <w:p>
      <w:pPr>
        <w:spacing w:after="0" w:line="3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p>
      <w:pPr>
        <w:sectPr>
          <w:pgSz w:w="11900" w:h="16838" w:orient="portrait"/>
          <w:cols w:equalWidth="0" w:num="1">
            <w:col w:w="11240"/>
          </w:cols>
          <w:pgMar w:left="320" w:top="864"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CERTIFICATION OF</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PURSUANT TO 18 U.S.C. § 1350, AS ADOPTED PURSUANT TO</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spacing w:after="0" w:line="214" w:lineRule="exact"/>
        <w:rPr>
          <w:sz w:val="20"/>
          <w:szCs w:val="20"/>
          <w:color w:val="auto"/>
        </w:rPr>
      </w:pPr>
    </w:p>
    <w:p>
      <w:pPr>
        <w:jc w:val="both"/>
        <w:ind w:firstLine="784"/>
        <w:spacing w:after="0" w:line="276" w:lineRule="auto"/>
        <w:rPr>
          <w:sz w:val="20"/>
          <w:szCs w:val="20"/>
          <w:color w:val="auto"/>
        </w:rPr>
      </w:pPr>
      <w:r>
        <w:rPr>
          <w:rFonts w:ascii="Times New Roman" w:cs="Times New Roman" w:eastAsia="Times New Roman" w:hAnsi="Times New Roman"/>
          <w:sz w:val="17"/>
          <w:szCs w:val="17"/>
          <w:color w:val="auto"/>
        </w:rPr>
        <w:t>In connection with the Quarterly Report on Form 10-Q of Civeo Corporation (the “Company”) for the quarterly period ended June 30, 2025,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spacing w:after="0" w:line="293" w:lineRule="exact"/>
        <w:rPr>
          <w:sz w:val="20"/>
          <w:szCs w:val="20"/>
          <w:color w:val="auto"/>
        </w:rPr>
      </w:pPr>
    </w:p>
    <w:p>
      <w:pPr>
        <w:ind w:left="20"/>
        <w:spacing w:after="0"/>
        <w:tabs>
          <w:tab w:leader="none" w:pos="260" w:val="left"/>
        </w:tabs>
        <w:rPr>
          <w:sz w:val="20"/>
          <w:szCs w:val="20"/>
          <w:color w:val="auto"/>
        </w:rPr>
      </w:pPr>
      <w:r>
        <w:rPr>
          <w:rFonts w:ascii="Times New Roman" w:cs="Times New Roman" w:eastAsia="Times New Roman" w:hAnsi="Times New Roman"/>
          <w:sz w:val="17"/>
          <w:szCs w:val="17"/>
          <w:color w:val="auto"/>
        </w:rPr>
        <w:t>1</w:t>
        <w:tab/>
        <w:t>The Report fully complies with the requirements of Section 13(a) or 15(d) of the Securities Exchange Act of 1934; and</w:t>
      </w:r>
    </w:p>
    <w:p>
      <w:pPr>
        <w:spacing w:after="0" w:line="66" w:lineRule="exact"/>
        <w:rPr>
          <w:sz w:val="20"/>
          <w:szCs w:val="20"/>
          <w:color w:val="auto"/>
        </w:rPr>
      </w:pPr>
    </w:p>
    <w:p>
      <w:pPr>
        <w:ind w:left="280" w:right="2340" w:hanging="258"/>
        <w:spacing w:after="0" w:line="247" w:lineRule="auto"/>
        <w:tabs>
          <w:tab w:leader="none" w:pos="28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7"/>
          <w:szCs w:val="17"/>
          <w:color w:val="auto"/>
        </w:rPr>
        <w:t>/s/ Bradley J. Dodson</w:t>
      </w:r>
    </w:p>
    <w:p>
      <w:pPr>
        <w:spacing w:after="0" w:line="32" w:lineRule="exact"/>
        <w:rPr>
          <w:sz w:val="20"/>
          <w:szCs w:val="20"/>
          <w:color w:val="auto"/>
        </w:rPr>
      </w:pPr>
    </w:p>
    <w:tbl>
      <w:tblPr>
        <w:tblLayout w:type="fixed"/>
        <w:tblInd w:w="5920" w:type="dxa"/>
        <w:tblCellMar>
          <w:top w:w="0" w:type="dxa"/>
          <w:left w:w="0" w:type="dxa"/>
          <w:bottom w:w="0" w:type="dxa"/>
          <w:right w:w="0" w:type="dxa"/>
        </w:tblCellMar>
      </w:tblPr>
      <w:tr>
        <w:trPr>
          <w:trHeight w:val="210"/>
        </w:trPr>
        <w:tc>
          <w:tcPr>
            <w:tcW w:w="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Name:</w:t>
            </w:r>
          </w:p>
        </w:tc>
        <w:tc>
          <w:tcPr>
            <w:tcW w:w="7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Bradley</w:t>
            </w:r>
          </w:p>
        </w:tc>
        <w:tc>
          <w:tcPr>
            <w:tcW w:w="2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J. Dodson</w:t>
            </w:r>
          </w:p>
        </w:tc>
      </w:t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7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July 29,</w:t>
            </w:r>
          </w:p>
        </w:tc>
        <w:tc>
          <w:tcPr>
            <w:tcW w:w="2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r>
    </w:tbl>
    <w:p>
      <w:pPr>
        <w:sectPr>
          <w:pgSz w:w="11900" w:h="16838" w:orient="portrait"/>
          <w:cols w:equalWidth="0" w:num="1">
            <w:col w:w="11240"/>
          </w:cols>
          <w:pgMar w:left="320" w:top="864"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CERTIFICATION OF</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PURSUANT TO 18 U.S.C. § 1350, AS ADOPTED PURSUANT TO</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92" w:lineRule="exact"/>
        <w:rPr>
          <w:sz w:val="20"/>
          <w:szCs w:val="20"/>
          <w:color w:val="auto"/>
        </w:rPr>
      </w:pPr>
    </w:p>
    <w:p>
      <w:pPr>
        <w:ind w:right="40" w:firstLine="784"/>
        <w:spacing w:after="0" w:line="253" w:lineRule="auto"/>
        <w:rPr>
          <w:sz w:val="20"/>
          <w:szCs w:val="20"/>
          <w:color w:val="auto"/>
        </w:rPr>
      </w:pPr>
      <w:r>
        <w:rPr>
          <w:rFonts w:ascii="Times New Roman" w:cs="Times New Roman" w:eastAsia="Times New Roman" w:hAnsi="Times New Roman"/>
          <w:sz w:val="17"/>
          <w:szCs w:val="17"/>
          <w:color w:val="auto"/>
        </w:rPr>
        <w:t>In connection with the Quarterly Report on Form 10-Q of Civeo Corporation (the “Company”) for the quarterly period ended June 30, 2025, as filed with the Securities and Exchange Commission on the date hereof (the “Report”), I, E. Collin Gerry, Senior Vice President, Chief Financial Officer and Treasurer of the Company, hereby certify, pursuant to 18 U.S.C. Section 1350, as adopted pursuant to Section 906 of the Sarbanes-Oxley Act of 2002, to the best of my knowledge, that:</w:t>
      </w:r>
    </w:p>
    <w:p>
      <w:pPr>
        <w:spacing w:after="0" w:line="300" w:lineRule="exact"/>
        <w:rPr>
          <w:sz w:val="20"/>
          <w:szCs w:val="20"/>
          <w:color w:val="auto"/>
        </w:rPr>
      </w:pPr>
    </w:p>
    <w:p>
      <w:pPr>
        <w:ind w:left="20"/>
        <w:spacing w:after="0"/>
        <w:tabs>
          <w:tab w:leader="none" w:pos="260" w:val="left"/>
        </w:tabs>
        <w:rPr>
          <w:sz w:val="20"/>
          <w:szCs w:val="20"/>
          <w:color w:val="auto"/>
        </w:rPr>
      </w:pPr>
      <w:r>
        <w:rPr>
          <w:rFonts w:ascii="Times New Roman" w:cs="Times New Roman" w:eastAsia="Times New Roman" w:hAnsi="Times New Roman"/>
          <w:sz w:val="17"/>
          <w:szCs w:val="17"/>
          <w:color w:val="auto"/>
        </w:rPr>
        <w:t>1</w:t>
        <w:tab/>
        <w:t>The Report fully complies with the requirements of Section 13(a) or 15(d) of the Securities Exchange Act of 1934; and</w:t>
      </w:r>
    </w:p>
    <w:p>
      <w:pPr>
        <w:spacing w:after="0" w:line="66" w:lineRule="exact"/>
        <w:rPr>
          <w:sz w:val="20"/>
          <w:szCs w:val="20"/>
          <w:color w:val="auto"/>
        </w:rPr>
      </w:pPr>
    </w:p>
    <w:p>
      <w:pPr>
        <w:ind w:left="280" w:right="2340" w:hanging="258"/>
        <w:spacing w:after="0" w:line="263" w:lineRule="auto"/>
        <w:tabs>
          <w:tab w:leader="none" w:pos="28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4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7"/>
          <w:szCs w:val="17"/>
          <w:color w:val="auto"/>
        </w:rPr>
        <w:t>/s/ E. Collin Gerry</w:t>
      </w:r>
    </w:p>
    <w:p>
      <w:pPr>
        <w:spacing w:after="0" w:line="32" w:lineRule="exact"/>
        <w:rPr>
          <w:sz w:val="20"/>
          <w:szCs w:val="20"/>
          <w:color w:val="auto"/>
        </w:rPr>
      </w:pPr>
    </w:p>
    <w:tbl>
      <w:tblPr>
        <w:tblLayout w:type="fixed"/>
        <w:tblInd w:w="5760" w:type="dxa"/>
        <w:tblCellMar>
          <w:top w:w="0" w:type="dxa"/>
          <w:left w:w="0" w:type="dxa"/>
          <w:bottom w:w="0" w:type="dxa"/>
          <w:right w:w="0" w:type="dxa"/>
        </w:tblCellMar>
      </w:tblPr>
      <w:tr>
        <w:trPr>
          <w:trHeight w:val="210"/>
        </w:trPr>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34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E. Collin Gerry</w:t>
            </w:r>
          </w:p>
        </w:tc>
      </w:tr>
      <w:tr>
        <w:trPr>
          <w:trHeight w:val="227"/>
        </w:trPr>
        <w:tc>
          <w:tcPr>
            <w:tcW w:w="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w:t>
            </w:r>
          </w:p>
        </w:tc>
        <w:tc>
          <w:tcPr>
            <w:tcW w:w="3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July 29, 2025</w:t>
            </w:r>
          </w:p>
        </w:tc>
      </w:tr>
    </w:tbl>
    <w:p>
      <w:pPr>
        <w:spacing w:after="0" w:line="1" w:lineRule="exact"/>
        <w:rPr>
          <w:sz w:val="20"/>
          <w:szCs w:val="20"/>
          <w:color w:val="auto"/>
        </w:rPr>
      </w:pPr>
    </w:p>
    <w:sectPr>
      <w:pgSz w:w="11900" w:h="16838" w:orient="portrait"/>
      <w:cols w:equalWidth="0" w:num="1">
        <w:col w:w="11240"/>
      </w:cols>
      <w:pgMar w:left="320" w:top="8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decimal"/>
      <w:start w:val="1"/>
    </w:lvl>
  </w:abstractNum>
  <w:abstractNum w:abstractNumId="3">
    <w:nsid w:val="1E7FF521"/>
    <w:multiLevelType w:val="hybridMultilevel"/>
    <w:lvl w:ilvl="0">
      <w:lvlJc w:val="left"/>
      <w:lvlText w:val="%1."/>
      <w:numFmt w:val="decimal"/>
      <w:start w:val="2"/>
    </w:lvl>
  </w:abstractNum>
  <w:abstractNum w:abstractNumId="4">
    <w:nsid w:val="7C3DBD3D"/>
    <w:multiLevelType w:val="hybridMultilevel"/>
    <w:lvl w:ilvl="0">
      <w:lvlJc w:val="left"/>
      <w:lvlText w:val="%1."/>
      <w:numFmt w:val="decimal"/>
      <w:start w:val="3"/>
    </w:lvl>
  </w:abstractNum>
  <w:abstractNum w:abstractNumId="5">
    <w:nsid w:val="737B8DDC"/>
    <w:multiLevelType w:val="hybridMultilevel"/>
    <w:lvl w:ilvl="0">
      <w:lvlJc w:val="left"/>
      <w:lvlText w:val="%1."/>
      <w:numFmt w:val="decimal"/>
      <w:start w:val="4"/>
    </w:lvl>
  </w:abstractNum>
  <w:abstractNum w:abstractNumId="6">
    <w:nsid w:val="6CEAF087"/>
    <w:multiLevelType w:val="hybridMultilevel"/>
    <w:lvl w:ilvl="0">
      <w:lvlJc w:val="left"/>
      <w:lvlText w:val="%1."/>
      <w:numFmt w:val="decimal"/>
      <w:start w:val="5"/>
    </w:lvl>
  </w:abstractNum>
  <w:abstractNum w:abstractNumId="7">
    <w:nsid w:val="22221A70"/>
    <w:multiLevelType w:val="hybridMultilevel"/>
    <w:lvl w:ilvl="0">
      <w:lvlJc w:val="left"/>
      <w:lvlText w:val="(%1)"/>
      <w:numFmt w:val="decimal"/>
      <w:start w:val="1"/>
    </w:lvl>
  </w:abstractNum>
  <w:abstractNum w:abstractNumId="8">
    <w:nsid w:val="4516DDE9"/>
    <w:multiLevelType w:val="hybridMultilevel"/>
    <w:lvl w:ilvl="0">
      <w:lvlJc w:val="left"/>
      <w:lvlText w:val="%1."/>
      <w:numFmt w:val="decimal"/>
      <w:start w:val="6"/>
    </w:lvl>
  </w:abstractNum>
  <w:abstractNum w:abstractNumId="9">
    <w:nsid w:val="3006C83E"/>
    <w:multiLevelType w:val="hybridMultilevel"/>
    <w:lvl w:ilvl="0">
      <w:lvlJc w:val="left"/>
      <w:lvlText w:val="%1."/>
      <w:numFmt w:val="decimal"/>
      <w:start w:val="7"/>
    </w:lvl>
  </w:abstractNum>
  <w:abstractNum w:abstractNumId="10">
    <w:nsid w:val="614FD4A1"/>
    <w:multiLevelType w:val="hybridMultilevel"/>
    <w:lvl w:ilvl="0">
      <w:lvlJc w:val="left"/>
      <w:lvlText w:val="%1."/>
      <w:numFmt w:val="decimal"/>
      <w:start w:val="8"/>
    </w:lvl>
  </w:abstractNum>
  <w:abstractNum w:abstractNumId="11">
    <w:nsid w:val="419AC241"/>
    <w:multiLevelType w:val="hybridMultilevel"/>
    <w:lvl w:ilvl="0">
      <w:lvlJc w:val="left"/>
      <w:lvlText w:val="%1."/>
      <w:numFmt w:val="decimal"/>
      <w:start w:val="9"/>
    </w:lvl>
  </w:abstractNum>
  <w:abstractNum w:abstractNumId="12">
    <w:nsid w:val="5577F8E1"/>
    <w:multiLevelType w:val="hybridMultilevel"/>
    <w:lvl w:ilvl="0">
      <w:lvlJc w:val="left"/>
      <w:lvlText w:val="(%1)"/>
      <w:numFmt w:val="decimal"/>
      <w:start w:val="1"/>
    </w:lvl>
  </w:abstractNum>
  <w:abstractNum w:abstractNumId="13">
    <w:nsid w:val="440BADFC"/>
    <w:multiLevelType w:val="hybridMultilevel"/>
    <w:lvl w:ilvl="0">
      <w:lvlJc w:val="left"/>
      <w:lvlText w:val="(%1)"/>
      <w:numFmt w:val="decimal"/>
      <w:start w:val="1"/>
    </w:lvl>
  </w:abstractNum>
  <w:abstractNum w:abstractNumId="14">
    <w:nsid w:val="5072367"/>
    <w:multiLevelType w:val="hybridMultilevel"/>
    <w:lvl w:ilvl="0">
      <w:lvlJc w:val="left"/>
      <w:lvlText w:val="(%1)"/>
      <w:numFmt w:val="decimal"/>
      <w:start w:val="1"/>
    </w:lvl>
  </w:abstractNum>
  <w:abstractNum w:abstractNumId="15">
    <w:nsid w:val="3804823E"/>
    <w:multiLevelType w:val="hybridMultilevel"/>
    <w:lvl w:ilvl="0">
      <w:lvlJc w:val="left"/>
      <w:lvlText w:val="(%1)"/>
      <w:numFmt w:val="decimal"/>
      <w:start w:val="1"/>
    </w:lvl>
  </w:abstractNum>
  <w:abstractNum w:abstractNumId="16">
    <w:nsid w:val="77465F01"/>
    <w:multiLevelType w:val="hybridMultilevel"/>
    <w:lvl w:ilvl="0">
      <w:lvlJc w:val="left"/>
      <w:lvlText w:val="(%1)"/>
      <w:numFmt w:val="decimal"/>
      <w:start w:val="1"/>
    </w:lvl>
  </w:abstractNum>
  <w:abstractNum w:abstractNumId="17">
    <w:nsid w:val="7724C67E"/>
    <w:multiLevelType w:val="hybridMultilevel"/>
    <w:lvl w:ilvl="0">
      <w:lvlJc w:val="left"/>
      <w:lvlText w:val="(%1)"/>
      <w:numFmt w:val="decimal"/>
      <w:start w:val="1"/>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1)"/>
      <w:numFmt w:val="lowerLetter"/>
      <w:start w:val="1"/>
    </w:lvl>
  </w:abstractNum>
  <w:abstractNum w:abstractNumId="23">
    <w:nsid w:val="580BD78F"/>
    <w:multiLevelType w:val="hybridMultilevel"/>
    <w:lvl w:ilvl="0">
      <w:lvlJc w:val="left"/>
      <w:lvlText w:val="*"/>
      <w:numFmt w:val="bullet"/>
      <w:start w:val="1"/>
    </w:lvl>
    <w:lvl w:ilvl="1">
      <w:lvlJc w:val="left"/>
      <w:lvlText w:val="%2"/>
      <w:numFmt w:val="decimal"/>
      <w:start w:val="104"/>
    </w:lvl>
  </w:abstractNum>
  <w:abstractNum w:abstractNumId="24">
    <w:nsid w:val="153EA438"/>
    <w:multiLevelType w:val="hybridMultilevel"/>
    <w:lvl w:ilvl="0">
      <w:lvlJc w:val="left"/>
      <w:lvlText w:val="**"/>
      <w:numFmt w:val="bullet"/>
      <w:start w:val="1"/>
    </w:lvl>
    <w:lvl w:ilvl="1">
      <w:lvlJc w:val="left"/>
      <w:lvlText w:val="%2"/>
      <w:numFmt w:val="decimal"/>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1"/>
      <w:numFmt w:val="decimal"/>
      <w:start w:val="1"/>
    </w:lvl>
    <w:lvl w:ilvl="1">
      <w:lvlJc w:val="left"/>
      <w:lvlText w:val="%2."/>
      <w:numFmt w:val="decimal"/>
      <w:start w:val="1"/>
    </w:lvl>
  </w:abstractNum>
  <w:abstractNum w:abstractNumId="27">
    <w:nsid w:val="6A2342EC"/>
    <w:multiLevelType w:val="hybridMultilevel"/>
    <w:lvl w:ilvl="0">
      <w:lvlJc w:val="left"/>
      <w:lvlText w:val="%1."/>
      <w:numFmt w:val="decimal"/>
      <w:start w:val="2"/>
    </w:lvl>
    <w:lvl w:ilvl="1">
      <w:lvlJc w:val="left"/>
      <w:lvlText w:val="%2"/>
      <w:numFmt w:val="decimal"/>
      <w:start w:val="1"/>
    </w:lvl>
  </w:abstractNum>
  <w:abstractNum w:abstractNumId="28">
    <w:nsid w:val="2A487CB0"/>
    <w:multiLevelType w:val="hybridMultilevel"/>
    <w:lvl w:ilvl="0">
      <w:lvlJc w:val="left"/>
      <w:lvlText w:val="(%1)"/>
      <w:numFmt w:val="lowerLetter"/>
      <w:start w:val="1"/>
    </w:lvl>
  </w:abstractNum>
  <w:abstractNum w:abstractNumId="29">
    <w:nsid w:val="1D4ED43B"/>
    <w:multiLevelType w:val="hybridMultilevel"/>
    <w:lvl w:ilvl="0">
      <w:lvlJc w:val="left"/>
      <w:lvlText w:val="%1."/>
      <w:numFmt w:val="decimal"/>
      <w:start w:val="3"/>
    </w:lvl>
  </w:abstractNum>
  <w:abstractNum w:abstractNumId="30">
    <w:nsid w:val="725A06FB"/>
    <w:multiLevelType w:val="hybridMultilevel"/>
    <w:lvl w:ilvl="0">
      <w:lvlJc w:val="left"/>
      <w:lvlText w:val="(%1)"/>
      <w:numFmt w:val="lowerLetter"/>
      <w:start w:val="1"/>
    </w:lvl>
  </w:abstractNum>
  <w:abstractNum w:abstractNumId="31">
    <w:nsid w:val="2CD89A32"/>
    <w:multiLevelType w:val="hybridMultilevel"/>
    <w:lvl w:ilvl="0">
      <w:lvlJc w:val="left"/>
      <w:lvlText w:val="%1"/>
      <w:numFmt w:val="decimal"/>
      <w:start w:val="1"/>
    </w:lvl>
    <w:lvl w:ilvl="1">
      <w:lvlJc w:val="left"/>
      <w:lvlText w:val="%2."/>
      <w:numFmt w:val="decimal"/>
      <w:start w:val="4"/>
    </w:lvl>
  </w:abstractNum>
  <w:abstractNum w:abstractNumId="32">
    <w:nsid w:val="57E4CCAF"/>
    <w:multiLevelType w:val="hybridMultilevel"/>
    <w:lvl w:ilvl="0">
      <w:lvlJc w:val="left"/>
      <w:lvlText w:val="%1."/>
      <w:numFmt w:val="decimal"/>
      <w:start w:val="5"/>
    </w:lvl>
    <w:lvl w:ilvl="1">
      <w:lvlJc w:val="left"/>
      <w:lvlText w:val="%2"/>
      <w:numFmt w:val="decimal"/>
      <w:start w:val="1"/>
    </w:lvl>
  </w:abstractNum>
  <w:abstractNum w:abstractNumId="33">
    <w:nsid w:val="7A6D8D3C"/>
    <w:multiLevelType w:val="hybridMultilevel"/>
    <w:lvl w:ilvl="0">
      <w:lvlJc w:val="left"/>
      <w:lvlText w:val="%1."/>
      <w:numFmt w:val="decimal"/>
      <w:start w:val="6"/>
    </w:lvl>
    <w:lvl w:ilvl="1">
      <w:lvlJc w:val="left"/>
      <w:lvlText w:val="%2."/>
      <w:numFmt w:val="decimal"/>
      <w:start w:val="10"/>
    </w:lvl>
  </w:abstractNum>
  <w:abstractNum w:abstractNumId="34">
    <w:nsid w:val="4B588F54"/>
    <w:multiLevelType w:val="hybridMultilevel"/>
    <w:lvl w:ilvl="0">
      <w:lvlJc w:val="left"/>
      <w:lvlText w:val="%1"/>
      <w:numFmt w:val="decimal"/>
      <w:start w:val="1"/>
    </w:lvl>
    <w:lvl w:ilvl="1">
      <w:lvlJc w:val="left"/>
      <w:lvlText w:val="%2."/>
      <w:numFmt w:val="decimal"/>
      <w:start w:val="1"/>
    </w:lvl>
  </w:abstractNum>
  <w:abstractNum w:abstractNumId="35">
    <w:nsid w:val="542289EC"/>
    <w:multiLevelType w:val="hybridMultilevel"/>
    <w:lvl w:ilvl="0">
      <w:lvlJc w:val="left"/>
      <w:lvlText w:val="%1."/>
      <w:numFmt w:val="decimal"/>
      <w:start w:val="2"/>
    </w:lvl>
    <w:lvl w:ilvl="1">
      <w:lvlJc w:val="left"/>
      <w:lvlText w:val="%2"/>
      <w:numFmt w:val="decimal"/>
      <w:start w:val="1"/>
    </w:lvl>
  </w:abstractNum>
  <w:abstractNum w:abstractNumId="36">
    <w:nsid w:val="6DE91B18"/>
    <w:multiLevelType w:val="hybridMultilevel"/>
    <w:lvl w:ilvl="0">
      <w:lvlJc w:val="left"/>
      <w:lvlText w:val="(%1)"/>
      <w:numFmt w:val="lowerLetter"/>
      <w:start w:val="1"/>
    </w:lvl>
  </w:abstractNum>
  <w:abstractNum w:abstractNumId="37">
    <w:nsid w:val="38437FDB"/>
    <w:multiLevelType w:val="hybridMultilevel"/>
    <w:lvl w:ilvl="0">
      <w:lvlJc w:val="left"/>
      <w:lvlText w:val="%1."/>
      <w:numFmt w:val="decimal"/>
      <w:start w:val="3"/>
    </w:lvl>
  </w:abstractNum>
  <w:abstractNum w:abstractNumId="38">
    <w:nsid w:val="7644A45C"/>
    <w:multiLevelType w:val="hybridMultilevel"/>
    <w:lvl w:ilvl="0">
      <w:lvlJc w:val="left"/>
      <w:lvlText w:val="(%1)"/>
      <w:numFmt w:val="lowerLetter"/>
      <w:start w:val="1"/>
    </w:lvl>
  </w:abstractNum>
  <w:abstractNum w:abstractNumId="39">
    <w:nsid w:val="32FFF902"/>
    <w:multiLevelType w:val="hybridMultilevel"/>
    <w:lvl w:ilvl="0">
      <w:lvlJc w:val="left"/>
      <w:lvlText w:val="%1."/>
      <w:numFmt w:val="decimal"/>
      <w:start w:val="4"/>
    </w:lvl>
  </w:abstractNum>
  <w:abstractNum w:abstractNumId="40">
    <w:nsid w:val="684A481A"/>
    <w:multiLevelType w:val="hybridMultilevel"/>
    <w:lvl w:ilvl="0">
      <w:lvlJc w:val="left"/>
      <w:lvlText w:val="%1."/>
      <w:numFmt w:val="decimal"/>
      <w:start w:val="6"/>
    </w:lvl>
    <w:lvl w:ilvl="1">
      <w:lvlJc w:val="left"/>
      <w:lvlText w:val="(%2)"/>
      <w:numFmt w:val="lowerLetter"/>
    </w:lvl>
    <w:lvl w:ilvl="2">
      <w:lvlJc w:val="left"/>
      <w:lvlText w:val="%3."/>
      <w:numFmt w:val="decimal"/>
      <w:start w:val="10"/>
    </w:lvl>
  </w:abstractNum>
  <w:abstractNum w:abstractNumId="41">
    <w:nsid w:val="579478FE"/>
    <w:multiLevelType w:val="hybridMultilevel"/>
    <w:lvl w:ilvl="0">
      <w:lvlJc w:val="left"/>
      <w:lvlText w:val="(%1)"/>
      <w:numFmt w:val="lowerLetter"/>
      <w:start w:val="2"/>
    </w:lvl>
  </w:abstractNum>
  <w:abstractNum w:abstractNumId="42">
    <w:nsid w:val="749ABB43"/>
    <w:multiLevelType w:val="hybridMultilevel"/>
    <w:lvl w:ilvl="0">
      <w:lvlJc w:val="left"/>
      <w:lvlText w:val="(%1)"/>
      <w:numFmt w:val="lowerLetter"/>
      <w:start w:val="3"/>
    </w:lvl>
  </w:abstractNum>
  <w:abstractNum w:abstractNumId="43">
    <w:nsid w:val="3DC240FB"/>
    <w:multiLevelType w:val="hybridMultilevel"/>
    <w:lvl w:ilvl="0">
      <w:lvlJc w:val="left"/>
      <w:lvlText w:val="1"/>
      <w:numFmt w:val="bullet"/>
      <w:start w:val="1"/>
    </w:lvl>
  </w:abstractNum>
  <w:abstractNum w:abstractNumId="44">
    <w:nsid w:val="1BA026FA"/>
    <w:multiLevelType w:val="hybridMultilevel"/>
    <w:lvl w:ilvl="0">
      <w:lvlJc w:val="left"/>
      <w:lvlText w:val="2"/>
      <w:numFmt w:val="bullet"/>
      <w:start w:val="1"/>
    </w:lvl>
  </w:abstractNum>
  <w:abstractNum w:abstractNumId="45">
    <w:nsid w:val="79A1DEAA"/>
    <w:multiLevelType w:val="hybridMultilevel"/>
    <w:lvl w:ilvl="0">
      <w:lvlJc w:val="left"/>
      <w:lvlText w:val="3"/>
      <w:numFmt w:val="bullet"/>
      <w:start w:val="1"/>
    </w:lvl>
  </w:abstractNum>
  <w:abstractNum w:abstractNumId="46">
    <w:nsid w:val="75C6C33A"/>
    <w:multiLevelType w:val="hybridMultilevel"/>
    <w:lvl w:ilvl="0">
      <w:lvlJc w:val="left"/>
      <w:lvlText w:val="4"/>
      <w:numFmt w:val="bullet"/>
      <w:start w:val="1"/>
    </w:lvl>
  </w:abstractNum>
  <w:abstractNum w:abstractNumId="47">
    <w:nsid w:val="12E685FB"/>
    <w:multiLevelType w:val="hybridMultilevel"/>
    <w:lvl w:ilvl="0">
      <w:lvlJc w:val="left"/>
      <w:lvlText w:val="d"/>
      <w:numFmt w:val="bullet"/>
      <w:start w:val="1"/>
    </w:lvl>
  </w:abstractNum>
  <w:abstractNum w:abstractNumId="48">
    <w:nsid w:val="70C6A529"/>
    <w:multiLevelType w:val="hybridMultilevel"/>
    <w:lvl w:ilvl="0">
      <w:lvlJc w:val="left"/>
      <w:lvlText w:val="5"/>
      <w:numFmt w:val="bullet"/>
      <w:start w:val="1"/>
    </w:lvl>
  </w:abstractNum>
  <w:abstractNum w:abstractNumId="49">
    <w:nsid w:val="520EEDD1"/>
    <w:multiLevelType w:val="hybridMultilevel"/>
    <w:lvl w:ilvl="0">
      <w:lvlJc w:val="left"/>
      <w:lvlText w:val="1"/>
      <w:numFmt w:val="bullet"/>
      <w:start w:val="1"/>
    </w:lvl>
  </w:abstractNum>
  <w:abstractNum w:abstractNumId="50">
    <w:nsid w:val="374A3FE6"/>
    <w:multiLevelType w:val="hybridMultilevel"/>
    <w:lvl w:ilvl="0">
      <w:lvlJc w:val="left"/>
      <w:lvlText w:val="2"/>
      <w:numFmt w:val="bullet"/>
      <w:start w:val="1"/>
    </w:lvl>
  </w:abstractNum>
  <w:abstractNum w:abstractNumId="51">
    <w:nsid w:val="4F4EF005"/>
    <w:multiLevelType w:val="hybridMultilevel"/>
    <w:lvl w:ilvl="0">
      <w:lvlJc w:val="left"/>
      <w:lvlText w:val="3"/>
      <w:numFmt w:val="bullet"/>
      <w:start w:val="1"/>
    </w:lvl>
  </w:abstractNum>
  <w:abstractNum w:abstractNumId="52">
    <w:nsid w:val="23F9C13C"/>
    <w:multiLevelType w:val="hybridMultilevel"/>
    <w:lvl w:ilvl="0">
      <w:lvlJc w:val="left"/>
      <w:lvlText w:val="4"/>
      <w:numFmt w:val="bullet"/>
      <w:start w:val="1"/>
    </w:lvl>
  </w:abstractNum>
  <w:abstractNum w:abstractNumId="53">
    <w:nsid w:val="649BB77C"/>
    <w:multiLevelType w:val="hybridMultilevel"/>
    <w:lvl w:ilvl="0">
      <w:lvlJc w:val="left"/>
      <w:lvlText w:val="d"/>
      <w:numFmt w:val="bullet"/>
      <w:start w:val="1"/>
    </w:lvl>
  </w:abstractNum>
  <w:abstractNum w:abstractNumId="54">
    <w:nsid w:val="275AC794"/>
    <w:multiLevelType w:val="hybridMultilevel"/>
    <w:lvl w:ilvl="0">
      <w:lvlJc w:val="left"/>
      <w:lvlText w:val="5"/>
      <w:numFmt w:val="bullet"/>
      <w:start w:val="1"/>
    </w:lvl>
  </w:abstractNum>
  <w:abstractNum w:abstractNumId="55">
    <w:nsid w:val="39386575"/>
    <w:multiLevelType w:val="hybridMultilevel"/>
    <w:lvl w:ilvl="0">
      <w:lvlJc w:val="left"/>
      <w:lvlText w:val="2"/>
      <w:numFmt w:val="bullet"/>
      <w:start w:val="1"/>
    </w:lvl>
  </w:abstractNum>
  <w:abstractNum w:abstractNumId="56">
    <w:nsid w:val="1CF10FD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2025-07-29T14:42:04Z</dcterms:created>
  <dcterms:modified xsi:type="dcterms:W3CDTF">2025-07-29T14:42:04Z</dcterms:modified>
</cp:coreProperties>
</file>