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803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80390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Gerry Elbridge Collin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4"/>
        <w:spacing w:after="0"/>
        <w:rPr>
          <w:sz w:val="20"/>
          <w:szCs w:val="20"/>
          <w:color w:val="auto"/>
        </w:rPr>
      </w:pPr>
      <w:r>
        <w:rPr>
          <w:rFonts w:ascii="Times New Roman" w:cs="Times New Roman" w:eastAsia="Times New Roman" w:hAnsi="Times New Roman"/>
          <w:sz w:val="17"/>
          <w:szCs w:val="17"/>
          <w:color w:val="0000FF"/>
        </w:rPr>
        <w:t>SVP CFO and Treasurer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5,699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4"/>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8,966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03/02/2026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5,699</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27.82</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3,267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03/03/2026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2,691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4"/>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5,958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2,691</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27.03</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3,267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center"/>
              <w:ind w:right="12"/>
              <w:spacing w:after="0" w:line="130"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03/02/2026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5,699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jc w:val="center"/>
              <w:ind w:right="152"/>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5,699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13,773</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2,691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80" w:type="dxa"/>
            <w:vAlign w:val="bottom"/>
          </w:tcPr>
          <w:p>
            <w:pPr>
              <w:jc w:val="center"/>
              <w:ind w:right="152"/>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2,691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11,082</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-2282190</wp:posOffset>
            </wp:positionV>
            <wp:extent cx="29210" cy="2287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72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payable in cash. The phantom shares vest at various times based on grant date. 5,699 shares vested on March 2,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payable in cash. The phantom shares vest at various times based on grant date. 2,691 shares vested on March 3, 2026.</w:t>
      </w:r>
    </w:p>
    <w:p>
      <w:pPr>
        <w:sectPr>
          <w:pgSz w:w="11900" w:h="16838" w:orient="portrait"/>
          <w:cols w:equalWidth="0" w:num="1">
            <w:col w:w="11080"/>
          </w:cols>
          <w:pgMar w:left="460" w:top="216" w:right="35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 Collin Gerry,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203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3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8660" w:space="14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2118"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2026-03-03T19:57:18Z</dcterms:created>
  <dcterms:modified xsi:type="dcterms:W3CDTF">2026-03-03T19:57:18Z</dcterms:modified>
</cp:coreProperties>
</file>