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8" w:lineRule="exact"/>
        <w:rPr>
          <w:rFonts w:ascii="MS PGothic" w:cs="MS PGothic" w:eastAsia="MS PGothic" w:hAnsi="MS PGothic"/>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Soliciting Material Pursuant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240.14a-12</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16" w:lineRule="exact"/>
        <w:rPr>
          <w:sz w:val="24"/>
          <w:szCs w:val="24"/>
          <w:color w:val="auto"/>
        </w:rPr>
      </w:pPr>
    </w:p>
    <w:p>
      <w:pPr>
        <w:ind w:left="540" w:hanging="51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Fee paid previously with preliminary materials</w:t>
      </w:r>
    </w:p>
    <w:p>
      <w:pPr>
        <w:spacing w:after="0" w:line="67" w:lineRule="exact"/>
        <w:rPr>
          <w:rFonts w:ascii="MS PGothic" w:cs="MS PGothic" w:eastAsia="MS PGothic" w:hAnsi="MS PGothic"/>
          <w:sz w:val="18"/>
          <w:szCs w:val="18"/>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96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5"/>
          <w:szCs w:val="35"/>
          <w:b w:val="1"/>
          <w:bCs w:val="1"/>
          <w:color w:val="006DB6"/>
        </w:rPr>
        <w:t>Notice of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51435</wp:posOffset>
            </wp:positionV>
            <wp:extent cx="8255" cy="1174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17411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713"/>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b w:val="1"/>
                <w:bCs w:val="1"/>
                <w:color w:val="006DB6"/>
              </w:rPr>
              <w:t>DATE AND TIME</w:t>
            </w:r>
          </w:p>
        </w:tc>
        <w:tc>
          <w:tcPr>
            <w:tcW w:w="4960" w:type="dxa"/>
            <w:vAlign w:val="bottom"/>
          </w:tcPr>
          <w:p>
            <w:pPr>
              <w:ind w:left="140"/>
              <w:spacing w:after="0"/>
              <w:rPr>
                <w:sz w:val="20"/>
                <w:szCs w:val="20"/>
                <w:color w:val="auto"/>
              </w:rPr>
            </w:pPr>
            <w:r>
              <w:rPr>
                <w:rFonts w:ascii="Arial" w:cs="Arial" w:eastAsia="Arial" w:hAnsi="Arial"/>
                <w:sz w:val="14"/>
                <w:szCs w:val="14"/>
                <w:b w:val="1"/>
                <w:bCs w:val="1"/>
                <w:color w:val="006DB6"/>
              </w:rPr>
              <w:t>LOCATION</w:t>
            </w:r>
          </w:p>
        </w:tc>
      </w:tr>
      <w:tr>
        <w:trPr>
          <w:trHeight w:val="176"/>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May 27, 2026 (Wednesday)</w:t>
            </w:r>
          </w:p>
        </w:tc>
        <w:tc>
          <w:tcPr>
            <w:tcW w:w="4960" w:type="dxa"/>
            <w:vAlign w:val="bottom"/>
          </w:tcPr>
          <w:p>
            <w:pPr>
              <w:ind w:left="140"/>
              <w:spacing w:after="0"/>
              <w:rPr>
                <w:sz w:val="20"/>
                <w:szCs w:val="20"/>
                <w:color w:val="auto"/>
              </w:rPr>
            </w:pPr>
            <w:r>
              <w:rPr>
                <w:rFonts w:ascii="Arial" w:cs="Arial" w:eastAsia="Arial" w:hAnsi="Arial"/>
                <w:sz w:val="14"/>
                <w:szCs w:val="14"/>
                <w:color w:val="auto"/>
              </w:rPr>
              <w:t>Virtually www.virtualshareholdermeeting.com/CVEO2026, where you will be</w:t>
            </w:r>
          </w:p>
        </w:tc>
      </w:tr>
      <w:tr>
        <w:trPr>
          <w:trHeight w:val="190"/>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9:00 a.m., Houston, Texas time</w:t>
            </w:r>
          </w:p>
        </w:tc>
        <w:tc>
          <w:tcPr>
            <w:tcW w:w="4960" w:type="dxa"/>
            <w:vAlign w:val="bottom"/>
          </w:tcPr>
          <w:p>
            <w:pPr>
              <w:ind w:left="140"/>
              <w:spacing w:after="0"/>
              <w:rPr>
                <w:sz w:val="20"/>
                <w:szCs w:val="20"/>
                <w:color w:val="auto"/>
              </w:rPr>
            </w:pPr>
            <w:r>
              <w:rPr>
                <w:rFonts w:ascii="Arial" w:cs="Arial" w:eastAsia="Arial" w:hAnsi="Arial"/>
                <w:sz w:val="14"/>
                <w:szCs w:val="14"/>
                <w:color w:val="auto"/>
              </w:rPr>
              <w:t>able to listen to the meeting live, submit questions, and vote.</w:t>
            </w:r>
          </w:p>
        </w:tc>
      </w:tr>
      <w:tr>
        <w:trPr>
          <w:trHeight w:val="751"/>
        </w:trPr>
        <w:tc>
          <w:tcPr>
            <w:tcW w:w="2560" w:type="dxa"/>
            <w:vAlign w:val="bottom"/>
            <w:tcBorders>
              <w:right w:val="single" w:sz="8" w:color="FFC03C"/>
            </w:tcBorders>
          </w:tcPr>
          <w:p>
            <w:pPr>
              <w:spacing w:after="0"/>
              <w:rPr>
                <w:sz w:val="24"/>
                <w:szCs w:val="24"/>
                <w:color w:val="auto"/>
              </w:rPr>
            </w:pPr>
          </w:p>
        </w:tc>
        <w:tc>
          <w:tcPr>
            <w:tcW w:w="4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-1148080</wp:posOffset>
            </wp:positionV>
            <wp:extent cx="25717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16319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9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26543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Only shareholders of record at the close of business on March 30, 2026 are entitled to notice of and to vote during the annual general meeting or at any adjournment or postponement thereof that may take place.</w:t>
      </w:r>
    </w:p>
    <w:p>
      <w:pPr>
        <w:spacing w:after="0" w:line="185" w:lineRule="exact"/>
        <w:rPr>
          <w:sz w:val="20"/>
          <w:szCs w:val="20"/>
          <w:color w:val="auto"/>
        </w:rPr>
      </w:pPr>
    </w:p>
    <w:p>
      <w:pPr>
        <w:sectPr>
          <w:pgSz w:w="11900" w:h="16838" w:orient="portrait"/>
          <w:cols w:equalWidth="0" w:num="2">
            <w:col w:w="7540" w:space="520"/>
            <w:col w:w="3180"/>
          </w:cols>
          <w:pgMar w:left="320" w:top="1236"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6DB6"/>
        </w:rPr>
        <w:t>Voting Items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2"/>
          </w:tcPr>
          <w:p>
            <w:pPr>
              <w:ind w:left="20"/>
              <w:spacing w:after="0"/>
              <w:rPr>
                <w:sz w:val="20"/>
                <w:szCs w:val="20"/>
                <w:color w:val="auto"/>
              </w:rPr>
            </w:pPr>
            <w:r>
              <w:rPr>
                <w:rFonts w:ascii="Arial" w:cs="Arial" w:eastAsia="Arial" w:hAnsi="Arial"/>
                <w:sz w:val="13"/>
                <w:szCs w:val="13"/>
                <w:b w:val="1"/>
                <w:bCs w:val="1"/>
                <w:color w:val="706F6F"/>
              </w:rPr>
              <w:t>Proposals</w:t>
            </w:r>
          </w:p>
        </w:tc>
        <w:tc>
          <w:tcPr>
            <w:tcW w:w="2040" w:type="dxa"/>
            <w:vAlign w:val="bottom"/>
          </w:tcPr>
          <w:p>
            <w:pPr>
              <w:ind w:left="120"/>
              <w:spacing w:after="0"/>
              <w:rPr>
                <w:sz w:val="20"/>
                <w:szCs w:val="20"/>
                <w:color w:val="auto"/>
              </w:rPr>
            </w:pPr>
            <w:r>
              <w:rPr>
                <w:rFonts w:ascii="Arial" w:cs="Arial" w:eastAsia="Arial" w:hAnsi="Arial"/>
                <w:sz w:val="13"/>
                <w:szCs w:val="13"/>
                <w:b w:val="1"/>
                <w:bCs w:val="1"/>
                <w:color w:val="706F6F"/>
              </w:rPr>
              <w:t>Board Vote Recommendation</w:t>
            </w: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706F6F"/>
              </w:rPr>
              <w:t>For Further Details</w:t>
            </w:r>
          </w:p>
        </w:tc>
        <w:tc>
          <w:tcPr>
            <w:tcW w:w="0" w:type="dxa"/>
            <w:vAlign w:val="bottom"/>
          </w:tcPr>
          <w:p>
            <w:pPr>
              <w:spacing w:after="0"/>
              <w:rPr>
                <w:sz w:val="1"/>
                <w:szCs w:val="1"/>
                <w:color w:val="auto"/>
              </w:rPr>
            </w:pPr>
          </w:p>
        </w:tc>
      </w:tr>
      <w:tr>
        <w:trPr>
          <w:trHeight w:val="22"/>
        </w:trPr>
        <w:tc>
          <w:tcPr>
            <w:tcW w:w="220" w:type="dxa"/>
            <w:vAlign w:val="bottom"/>
            <w:tcBorders>
              <w:bottom w:val="single" w:sz="8" w:color="006DB6"/>
            </w:tcBorders>
          </w:tcPr>
          <w:p>
            <w:pPr>
              <w:spacing w:after="0" w:line="20" w:lineRule="exact"/>
              <w:rPr>
                <w:sz w:val="1"/>
                <w:szCs w:val="1"/>
                <w:color w:val="auto"/>
              </w:rPr>
            </w:pPr>
          </w:p>
        </w:tc>
        <w:tc>
          <w:tcPr>
            <w:tcW w:w="7380" w:type="dxa"/>
            <w:vAlign w:val="bottom"/>
            <w:tcBorders>
              <w:bottom w:val="single" w:sz="8" w:color="006DB6"/>
            </w:tcBorders>
          </w:tcPr>
          <w:p>
            <w:pPr>
              <w:spacing w:after="0" w:line="20" w:lineRule="exact"/>
              <w:rPr>
                <w:sz w:val="1"/>
                <w:szCs w:val="1"/>
                <w:color w:val="auto"/>
              </w:rPr>
            </w:pPr>
          </w:p>
        </w:tc>
        <w:tc>
          <w:tcPr>
            <w:tcW w:w="2040" w:type="dxa"/>
            <w:vAlign w:val="bottom"/>
            <w:tcBorders>
              <w:bottom w:val="single" w:sz="8" w:color="006DB6"/>
            </w:tcBorders>
          </w:tcPr>
          <w:p>
            <w:pPr>
              <w:spacing w:after="0" w:line="20" w:lineRule="exact"/>
              <w:rPr>
                <w:sz w:val="1"/>
                <w:szCs w:val="1"/>
                <w:color w:val="auto"/>
              </w:rPr>
            </w:pPr>
          </w:p>
        </w:tc>
        <w:tc>
          <w:tcPr>
            <w:tcW w:w="44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1000" w:type="dxa"/>
            <w:vAlign w:val="bottom"/>
            <w:tcBorders>
              <w:bottom w:val="single" w:sz="8" w:color="006D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20" w:type="dxa"/>
            <w:vAlign w:val="bottom"/>
          </w:tcPr>
          <w:p>
            <w:pPr>
              <w:ind w:left="20"/>
              <w:spacing w:after="0"/>
              <w:rPr>
                <w:sz w:val="20"/>
                <w:szCs w:val="20"/>
                <w:color w:val="auto"/>
              </w:rPr>
            </w:pPr>
            <w:r>
              <w:rPr>
                <w:rFonts w:ascii="Arial" w:cs="Arial" w:eastAsia="Arial" w:hAnsi="Arial"/>
                <w:sz w:val="14"/>
                <w:szCs w:val="14"/>
                <w:color w:val="auto"/>
              </w:rPr>
              <w:t>1.</w:t>
            </w:r>
          </w:p>
        </w:tc>
        <w:tc>
          <w:tcPr>
            <w:tcW w:w="7380" w:type="dxa"/>
            <w:vAlign w:val="bottom"/>
          </w:tcPr>
          <w:p>
            <w:pPr>
              <w:ind w:left="80"/>
              <w:spacing w:after="0"/>
              <w:rPr>
                <w:sz w:val="20"/>
                <w:szCs w:val="20"/>
                <w:color w:val="auto"/>
              </w:rPr>
            </w:pPr>
            <w:r>
              <w:rPr>
                <w:rFonts w:ascii="Arial" w:cs="Arial" w:eastAsia="Arial" w:hAnsi="Arial"/>
                <w:sz w:val="14"/>
                <w:szCs w:val="14"/>
                <w:color w:val="auto"/>
              </w:rPr>
              <w:t>To elect the six persons named in this proxy statement as Class II and Class III members of Civeo’s board of</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 each director nominee</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9</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7380" w:type="dxa"/>
            <w:vAlign w:val="bottom"/>
            <w:vMerge w:val="restart"/>
          </w:tcPr>
          <w:p>
            <w:pPr>
              <w:ind w:left="80"/>
              <w:spacing w:after="0"/>
              <w:rPr>
                <w:sz w:val="20"/>
                <w:szCs w:val="20"/>
                <w:color w:val="auto"/>
              </w:rPr>
            </w:pPr>
            <w:r>
              <w:rPr>
                <w:rFonts w:ascii="Arial" w:cs="Arial" w:eastAsia="Arial" w:hAnsi="Arial"/>
                <w:sz w:val="14"/>
                <w:szCs w:val="14"/>
                <w:color w:val="auto"/>
              </w:rPr>
              <w:t>directors, each for a one year term ending at the 2027 annual general meeting of shareholders</w:t>
            </w:r>
          </w:p>
        </w:tc>
        <w:tc>
          <w:tcPr>
            <w:tcW w:w="204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73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 w:type="dxa"/>
            <w:vAlign w:val="bottom"/>
          </w:tcPr>
          <w:p>
            <w:pPr>
              <w:ind w:left="20"/>
              <w:spacing w:after="0"/>
              <w:rPr>
                <w:sz w:val="20"/>
                <w:szCs w:val="20"/>
                <w:color w:val="auto"/>
              </w:rPr>
            </w:pPr>
            <w:r>
              <w:rPr>
                <w:rFonts w:ascii="Arial" w:cs="Arial" w:eastAsia="Arial" w:hAnsi="Arial"/>
                <w:sz w:val="14"/>
                <w:szCs w:val="14"/>
                <w:color w:val="auto"/>
              </w:rPr>
              <w:t>2</w:t>
            </w:r>
          </w:p>
        </w:tc>
        <w:tc>
          <w:tcPr>
            <w:tcW w:w="7380" w:type="dxa"/>
            <w:vAlign w:val="bottom"/>
          </w:tcPr>
          <w:p>
            <w:pPr>
              <w:ind w:left="80"/>
              <w:spacing w:after="0"/>
              <w:rPr>
                <w:sz w:val="20"/>
                <w:szCs w:val="20"/>
                <w:color w:val="auto"/>
              </w:rPr>
            </w:pPr>
            <w:r>
              <w:rPr>
                <w:rFonts w:ascii="Arial" w:cs="Arial" w:eastAsia="Arial" w:hAnsi="Arial"/>
                <w:sz w:val="14"/>
                <w:szCs w:val="14"/>
                <w:color w:val="auto"/>
              </w:rPr>
              <w:t>To approve, on an advisory basis, the compensation of Civeo’s named executive officers</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30</w:t>
            </w: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20" w:type="dxa"/>
            <w:vAlign w:val="bottom"/>
          </w:tcPr>
          <w:p>
            <w:pPr>
              <w:ind w:left="20"/>
              <w:spacing w:after="0"/>
              <w:rPr>
                <w:sz w:val="20"/>
                <w:szCs w:val="20"/>
                <w:color w:val="auto"/>
              </w:rPr>
            </w:pPr>
            <w:r>
              <w:rPr>
                <w:rFonts w:ascii="Arial" w:cs="Arial" w:eastAsia="Arial" w:hAnsi="Arial"/>
                <w:sz w:val="14"/>
                <w:szCs w:val="14"/>
                <w:color w:val="auto"/>
              </w:rPr>
              <w:t>3.</w:t>
            </w:r>
          </w:p>
        </w:tc>
        <w:tc>
          <w:tcPr>
            <w:tcW w:w="7380" w:type="dxa"/>
            <w:vAlign w:val="bottom"/>
          </w:tcPr>
          <w:p>
            <w:pPr>
              <w:ind w:left="80"/>
              <w:spacing w:after="0"/>
              <w:rPr>
                <w:sz w:val="20"/>
                <w:szCs w:val="20"/>
                <w:color w:val="auto"/>
              </w:rPr>
            </w:pPr>
            <w:r>
              <w:rPr>
                <w:rFonts w:ascii="Arial" w:cs="Arial" w:eastAsia="Arial" w:hAnsi="Arial"/>
                <w:sz w:val="14"/>
                <w:szCs w:val="14"/>
                <w:color w:val="auto"/>
              </w:rPr>
              <w:t>To approve an amendment to the 2014 Equity Participation Plan of Civeo Corporation (the "EPP") to increase the</w:t>
            </w:r>
          </w:p>
        </w:tc>
        <w:tc>
          <w:tcPr>
            <w:tcW w:w="204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006DB6"/>
              </w:rPr>
              <w:t>FOR</w:t>
            </w:r>
            <w:r>
              <w:rPr>
                <w:rFonts w:ascii="Arial" w:cs="Arial" w:eastAsia="Arial" w:hAnsi="Arial"/>
                <w:sz w:val="14"/>
                <w:szCs w:val="14"/>
                <w:b w:val="1"/>
                <w:bCs w:val="1"/>
                <w:color w:val="auto"/>
              </w:rPr>
              <w:t>”</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Page 55</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number of shares available for issuance thereunder by 520,920 shares, subject to adjustment in accordance with</w:t>
            </w: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the terms of the EPP</w:t>
            </w:r>
          </w:p>
        </w:tc>
        <w:tc>
          <w:tcPr>
            <w:tcW w:w="2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0" w:type="dxa"/>
            <w:vAlign w:val="bottom"/>
          </w:tcPr>
          <w:p>
            <w:pPr>
              <w:ind w:left="20"/>
              <w:spacing w:after="0"/>
              <w:rPr>
                <w:sz w:val="20"/>
                <w:szCs w:val="20"/>
                <w:color w:val="auto"/>
              </w:rPr>
            </w:pPr>
            <w:r>
              <w:rPr>
                <w:rFonts w:ascii="Arial" w:cs="Arial" w:eastAsia="Arial" w:hAnsi="Arial"/>
                <w:sz w:val="14"/>
                <w:szCs w:val="14"/>
                <w:color w:val="auto"/>
              </w:rPr>
              <w:t>4.</w:t>
            </w:r>
          </w:p>
        </w:tc>
        <w:tc>
          <w:tcPr>
            <w:tcW w:w="7380" w:type="dxa"/>
            <w:vAlign w:val="bottom"/>
          </w:tcPr>
          <w:p>
            <w:pPr>
              <w:ind w:left="80"/>
              <w:spacing w:after="0"/>
              <w:rPr>
                <w:sz w:val="20"/>
                <w:szCs w:val="20"/>
                <w:color w:val="auto"/>
              </w:rPr>
            </w:pPr>
            <w:r>
              <w:rPr>
                <w:rFonts w:ascii="Arial" w:cs="Arial" w:eastAsia="Arial" w:hAnsi="Arial"/>
                <w:sz w:val="14"/>
                <w:szCs w:val="14"/>
                <w:color w:val="auto"/>
              </w:rPr>
              <w:t>To ratify the appointment of Ernst &amp; Young LLP as Civeo’s independent registered public accounting firm for the</w:t>
            </w:r>
          </w:p>
        </w:tc>
        <w:tc>
          <w:tcPr>
            <w:tcW w:w="2040" w:type="dxa"/>
            <w:vAlign w:val="bottom"/>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u w:val="single" w:color="auto"/>
                <w:color w:val="auto"/>
              </w:rPr>
              <w:t>62</w:t>
            </w:r>
          </w:p>
        </w:tc>
        <w:tc>
          <w:tcPr>
            <w:tcW w:w="0" w:type="dxa"/>
            <w:vAlign w:val="bottom"/>
          </w:tcPr>
          <w:p>
            <w:pPr>
              <w:spacing w:after="0"/>
              <w:rPr>
                <w:sz w:val="1"/>
                <w:szCs w:val="1"/>
                <w:color w:val="auto"/>
              </w:rPr>
            </w:pPr>
          </w:p>
        </w:tc>
      </w:tr>
    </w:tbl>
    <w:p>
      <w:pPr>
        <w:ind w:left="300" w:right="3700"/>
        <w:spacing w:after="0" w:line="272" w:lineRule="auto"/>
        <w:rPr>
          <w:sz w:val="20"/>
          <w:szCs w:val="20"/>
          <w:color w:val="auto"/>
        </w:rPr>
      </w:pPr>
      <w:r>
        <w:rPr>
          <w:rFonts w:ascii="Arial" w:cs="Arial" w:eastAsia="Arial" w:hAnsi="Arial"/>
          <w:sz w:val="14"/>
          <w:szCs w:val="14"/>
          <w:color w:val="auto"/>
        </w:rPr>
        <w:t>year ending December 31, 2026 and until the next annual general meeting of shareholders and to authorize the directors of Civeo, acting through the Audit Committee, to determine the remuneration to be paid to Ernst &amp; Young LLP for 2026</w:t>
      </w:r>
    </w:p>
    <w:p>
      <w:pPr>
        <w:spacing w:after="0" w:line="200" w:lineRule="exact"/>
        <w:rPr>
          <w:sz w:val="20"/>
          <w:szCs w:val="20"/>
          <w:color w:val="auto"/>
        </w:rPr>
      </w:pPr>
    </w:p>
    <w:p>
      <w:pPr>
        <w:spacing w:after="0" w:line="318"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Shareholders will also conduct any other business as may properly come before the annual general meeting or any adjournment or postponement thereof. The proposals are more fully described in the proxy statement accompanying this notice. Please give your attention to all of the information in the accompanying proxy statement.</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r>
        <w:rPr>
          <w:rFonts w:ascii="Arial" w:cs="Arial" w:eastAsia="Arial" w:hAnsi="Arial"/>
          <w:sz w:val="14"/>
          <w:szCs w:val="14"/>
          <w:u w:val="single" w:color="auto"/>
          <w:color w:val="0000FF"/>
        </w:rPr>
        <w:t>67</w:t>
      </w:r>
      <w:r>
        <w:rPr>
          <w:rFonts w:ascii="Arial" w:cs="Arial" w:eastAsia="Arial" w:hAnsi="Arial"/>
          <w:sz w:val="14"/>
          <w:szCs w:val="14"/>
          <w:color w:val="auto"/>
        </w:rPr>
        <w:t xml:space="preserve"> of the accompanying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89979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LaTosha N. Fraley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April 13, 2026</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158750</wp:posOffset>
            </wp:positionV>
            <wp:extent cx="25717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INTERNET</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You may vote your shares 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134620</wp:posOffset>
            </wp:positionV>
            <wp:extent cx="25717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TELEPHONE</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If you are located within the U.S., you may vote your shares by calling 1-800-690-6903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-95885</wp:posOffset>
            </wp:positionV>
            <wp:extent cx="2571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9" w:lineRule="exact"/>
        <w:rPr>
          <w:sz w:val="20"/>
          <w:szCs w:val="20"/>
          <w:color w:val="auto"/>
        </w:rPr>
      </w:pPr>
    </w:p>
    <w:p>
      <w:pPr>
        <w:ind w:left="880" w:right="280"/>
        <w:spacing w:after="0" w:line="264" w:lineRule="auto"/>
        <w:rPr>
          <w:sz w:val="20"/>
          <w:szCs w:val="20"/>
          <w:color w:val="auto"/>
        </w:rPr>
      </w:pPr>
      <w:r>
        <w:rPr>
          <w:rFonts w:ascii="Arial" w:cs="Arial" w:eastAsia="Arial" w:hAnsi="Arial"/>
          <w:sz w:val="14"/>
          <w:szCs w:val="14"/>
          <w:color w:val="auto"/>
        </w:rPr>
        <w:t>If you received printed copies of the proxy materials by mail, you may vote by mail. You would need to mark, sign, date and mail the enclosed proxy card in the postage-paid envelope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5" w:lineRule="exact"/>
        <w:rPr>
          <w:sz w:val="20"/>
          <w:szCs w:val="20"/>
          <w:color w:val="auto"/>
        </w:rPr>
      </w:pPr>
    </w:p>
    <w:p>
      <w:pPr>
        <w:ind w:left="20" w:right="160"/>
        <w:spacing w:after="0" w:line="31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May 27, 2026: A COPY OF THIS PROXY STATEMENT, PROXY VOTING CARD AND THE CIVEO 2025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5"/>
          <w:szCs w:val="45"/>
          <w:b w:val="1"/>
          <w:bCs w:val="1"/>
          <w:color w:val="006DB6"/>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Proxy Statement Summary</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Company Overview</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2025 Performance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Voting Matters and Recommendations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Corporate Governance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Independent Registered Public Accounting Firm’s Fees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Corporate Governance</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6DB6"/>
              </w:rPr>
              <w:t>Election of Directors</w:t>
            </w: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shd w:val="clear" w:color="auto" w:fill="006DB6"/>
          </w:tcPr>
          <w:p>
            <w:pPr>
              <w:spacing w:after="0"/>
              <w:rPr>
                <w:sz w:val="24"/>
                <w:szCs w:val="24"/>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1</w:t>
            </w:r>
          </w:p>
        </w:tc>
        <w:tc>
          <w:tcPr>
            <w:tcW w:w="9640" w:type="dxa"/>
            <w:vAlign w:val="bottom"/>
            <w:gridSpan w:val="3"/>
            <w:vMerge w:val="continue"/>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006DB6"/>
          </w:tcPr>
          <w:p>
            <w:pPr>
              <w:spacing w:after="0"/>
              <w:rPr>
                <w:sz w:val="5"/>
                <w:szCs w:val="5"/>
                <w:color w:val="auto"/>
              </w:rPr>
            </w:pPr>
          </w:p>
        </w:tc>
        <w:tc>
          <w:tcPr>
            <w:tcW w:w="1380" w:type="dxa"/>
            <w:vAlign w:val="bottom"/>
            <w:vMerge w:val="continue"/>
            <w:shd w:val="clear" w:color="auto" w:fill="006DB6"/>
          </w:tcPr>
          <w:p>
            <w:pPr>
              <w:spacing w:after="0"/>
              <w:rPr>
                <w:sz w:val="5"/>
                <w:szCs w:val="5"/>
                <w:color w:val="auto"/>
              </w:rPr>
            </w:pPr>
          </w:p>
        </w:tc>
        <w:tc>
          <w:tcPr>
            <w:tcW w:w="16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6DB6"/>
            </w:tcBorders>
            <w:shd w:val="clear" w:color="auto" w:fill="006DB6"/>
          </w:tcPr>
          <w:p>
            <w:pPr>
              <w:spacing w:after="0"/>
              <w:rPr>
                <w:sz w:val="2"/>
                <w:szCs w:val="2"/>
                <w:color w:val="auto"/>
              </w:rPr>
            </w:pPr>
          </w:p>
        </w:tc>
        <w:tc>
          <w:tcPr>
            <w:tcW w:w="1380" w:type="dxa"/>
            <w:vAlign w:val="bottom"/>
            <w:tcBorders>
              <w:top w:val="single" w:sz="8" w:color="006DB6"/>
            </w:tcBorders>
            <w:shd w:val="clear" w:color="auto" w:fill="006DB6"/>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Board of Directors—Skills and Experience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Board of Directors—Role and Responsibilities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Board of Directors—Structure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Board of Directors—Practices, Policies and Processes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Director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6DB6"/>
              </w:rPr>
              <w:t>Advisory Vote to Approve Executive Compensation</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shd w:val="clear" w:color="auto" w:fill="006DB6"/>
          </w:tcPr>
          <w:p>
            <w:pPr>
              <w:spacing w:after="0"/>
              <w:rPr>
                <w:sz w:val="22"/>
                <w:szCs w:val="22"/>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2</w:t>
            </w:r>
          </w:p>
        </w:tc>
        <w:tc>
          <w:tcPr>
            <w:tcW w:w="9640" w:type="dxa"/>
            <w:vAlign w:val="bottom"/>
            <w:gridSpan w:val="3"/>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006DB6"/>
            </w:tcBorders>
            <w:shd w:val="clear" w:color="auto" w:fill="006DB6"/>
          </w:tcPr>
          <w:p>
            <w:pPr>
              <w:spacing w:after="0"/>
              <w:rPr>
                <w:sz w:val="8"/>
                <w:szCs w:val="8"/>
                <w:color w:val="auto"/>
              </w:rPr>
            </w:pPr>
          </w:p>
        </w:tc>
        <w:tc>
          <w:tcPr>
            <w:tcW w:w="1380" w:type="dxa"/>
            <w:vAlign w:val="bottom"/>
            <w:tcBorders>
              <w:bottom w:val="single" w:sz="8" w:color="006DB6"/>
            </w:tcBorders>
            <w:vMerge w:val="continue"/>
            <w:shd w:val="clear" w:color="auto" w:fill="006DB6"/>
          </w:tcPr>
          <w:p>
            <w:pPr>
              <w:spacing w:after="0"/>
              <w:rPr>
                <w:sz w:val="8"/>
                <w:szCs w:val="8"/>
                <w:color w:val="auto"/>
              </w:rPr>
            </w:pPr>
          </w:p>
        </w:tc>
        <w:tc>
          <w:tcPr>
            <w:tcW w:w="16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Compensation Discussion and Analysis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Compensation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Executive Compensation Tables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Pay Ratio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Pay Versus Performance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6DB6"/>
              </w:rPr>
              <w:t>Approval of an Amendment to the 2014 Equity Participation Plan</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shd w:val="clear" w:color="auto" w:fill="006DB6"/>
          </w:tcPr>
          <w:p>
            <w:pPr>
              <w:spacing w:after="0"/>
              <w:rPr>
                <w:sz w:val="22"/>
                <w:szCs w:val="22"/>
                <w:color w:val="auto"/>
              </w:rPr>
            </w:pPr>
          </w:p>
        </w:tc>
        <w:tc>
          <w:tcPr>
            <w:tcW w:w="1380" w:type="dxa"/>
            <w:vAlign w:val="bottom"/>
            <w:vMerge w:val="restart"/>
            <w:shd w:val="clear" w:color="auto" w:fill="006DB6"/>
          </w:tcPr>
          <w:p>
            <w:pPr>
              <w:ind w:left="60"/>
              <w:spacing w:after="0"/>
              <w:rPr>
                <w:sz w:val="20"/>
                <w:szCs w:val="20"/>
                <w:color w:val="auto"/>
              </w:rPr>
            </w:pPr>
            <w:r>
              <w:rPr>
                <w:rFonts w:ascii="Arial" w:cs="Arial" w:eastAsia="Arial" w:hAnsi="Arial"/>
                <w:sz w:val="16"/>
                <w:szCs w:val="16"/>
                <w:b w:val="1"/>
                <w:bCs w:val="1"/>
                <w:color w:val="FFFFFF"/>
              </w:rPr>
              <w:t>PROPOSAL 3</w:t>
            </w:r>
          </w:p>
        </w:tc>
        <w:tc>
          <w:tcPr>
            <w:tcW w:w="9640" w:type="dxa"/>
            <w:vAlign w:val="bottom"/>
            <w:gridSpan w:val="3"/>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006DB6"/>
            </w:tcBorders>
            <w:shd w:val="clear" w:color="auto" w:fill="006DB6"/>
          </w:tcPr>
          <w:p>
            <w:pPr>
              <w:spacing w:after="0"/>
              <w:rPr>
                <w:sz w:val="8"/>
                <w:szCs w:val="8"/>
                <w:color w:val="auto"/>
              </w:rPr>
            </w:pPr>
          </w:p>
        </w:tc>
        <w:tc>
          <w:tcPr>
            <w:tcW w:w="1380" w:type="dxa"/>
            <w:vAlign w:val="bottom"/>
            <w:tcBorders>
              <w:bottom w:val="single" w:sz="8" w:color="006DB6"/>
            </w:tcBorders>
            <w:vMerge w:val="continue"/>
            <w:shd w:val="clear" w:color="auto" w:fill="006DB6"/>
          </w:tcPr>
          <w:p>
            <w:pPr>
              <w:spacing w:after="0"/>
              <w:rPr>
                <w:sz w:val="8"/>
                <w:szCs w:val="8"/>
                <w:color w:val="auto"/>
              </w:rPr>
            </w:pPr>
          </w:p>
        </w:tc>
        <w:tc>
          <w:tcPr>
            <w:tcW w:w="16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b w:val="1"/>
                <w:bCs w:val="1"/>
                <w:color w:val="006DB6"/>
              </w:rPr>
              <w:t>Audit Matters</w:t>
            </w:r>
          </w:p>
        </w:tc>
        <w:tc>
          <w:tcPr>
            <w:tcW w:w="1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006DB6"/>
              </w:rPr>
              <w:t>Ratification of Auditors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shd w:val="clear" w:color="auto" w:fill="006DB6"/>
          </w:tcPr>
          <w:p>
            <w:pPr>
              <w:spacing w:after="0"/>
              <w:rPr>
                <w:sz w:val="22"/>
                <w:szCs w:val="22"/>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4</w:t>
            </w:r>
          </w:p>
        </w:tc>
        <w:tc>
          <w:tcPr>
            <w:tcW w:w="9640" w:type="dxa"/>
            <w:vAlign w:val="bottom"/>
            <w:gridSpan w:val="3"/>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006DB6"/>
            </w:tcBorders>
            <w:shd w:val="clear" w:color="auto" w:fill="006DB6"/>
          </w:tcPr>
          <w:p>
            <w:pPr>
              <w:spacing w:after="0"/>
              <w:rPr>
                <w:sz w:val="8"/>
                <w:szCs w:val="8"/>
                <w:color w:val="auto"/>
              </w:rPr>
            </w:pPr>
          </w:p>
        </w:tc>
        <w:tc>
          <w:tcPr>
            <w:tcW w:w="1380" w:type="dxa"/>
            <w:vAlign w:val="bottom"/>
            <w:tcBorders>
              <w:bottom w:val="single" w:sz="8" w:color="006DB6"/>
            </w:tcBorders>
            <w:vMerge w:val="continue"/>
            <w:shd w:val="clear" w:color="auto" w:fill="006DB6"/>
          </w:tcPr>
          <w:p>
            <w:pPr>
              <w:spacing w:after="0"/>
              <w:rPr>
                <w:sz w:val="8"/>
                <w:szCs w:val="8"/>
                <w:color w:val="auto"/>
              </w:rPr>
            </w:pPr>
          </w:p>
        </w:tc>
        <w:tc>
          <w:tcPr>
            <w:tcW w:w="16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Audit Fee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Pre-Approval Policy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Audit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Security Ownership of Management and Certain Beneficial Owners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6DB6"/>
              </w:rPr>
              <w:t>Additional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General Information about the Annual General Meeting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ind w:left="240"/>
              <w:spacing w:after="0"/>
              <w:rPr>
                <w:sz w:val="20"/>
                <w:szCs w:val="20"/>
                <w:color w:val="auto"/>
              </w:rPr>
            </w:pPr>
            <w:r>
              <w:rPr>
                <w:rFonts w:ascii="Arial" w:cs="Arial" w:eastAsia="Arial" w:hAnsi="Arial"/>
                <w:sz w:val="16"/>
                <w:szCs w:val="16"/>
                <w:color w:val="auto"/>
              </w:rPr>
              <w:t>Future Shareholder Proposals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240"/>
              <w:spacing w:after="0"/>
              <w:rPr>
                <w:sz w:val="20"/>
                <w:szCs w:val="20"/>
                <w:color w:val="auto"/>
              </w:rPr>
            </w:pPr>
            <w:r>
              <w:rPr>
                <w:rFonts w:ascii="Arial" w:cs="Arial" w:eastAsia="Arial" w:hAnsi="Arial"/>
                <w:sz w:val="16"/>
                <w:szCs w:val="16"/>
                <w:color w:val="auto"/>
              </w:rPr>
              <w:t>Householding</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rPr>
              <w:t>Appendix A - Non-GAAP Reconciliation</w:t>
            </w:r>
          </w:p>
        </w:tc>
        <w:tc>
          <w:tcPr>
            <w:tcW w:w="7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4"/>
          </w:tcPr>
          <w:p>
            <w:pPr>
              <w:spacing w:after="0"/>
              <w:rPr>
                <w:sz w:val="20"/>
                <w:szCs w:val="20"/>
                <w:color w:val="auto"/>
              </w:rPr>
            </w:pPr>
            <w:r>
              <w:rPr>
                <w:rFonts w:ascii="Arial" w:cs="Arial" w:eastAsia="Arial" w:hAnsi="Arial"/>
                <w:sz w:val="16"/>
                <w:szCs w:val="16"/>
                <w:b w:val="1"/>
                <w:bCs w:val="1"/>
                <w:color w:val="0000FF"/>
              </w:rPr>
              <w:t>Appendix B - Amendment to the 2014 Equity Participation Plan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1660" w:type="dxa"/>
            <w:vAlign w:val="bottom"/>
            <w:tcBorders>
              <w:top w:val="single" w:sz="8" w:color="0000FF"/>
              <w:bottom w:val="single" w:sz="8" w:color="9A9A9A"/>
            </w:tcBorders>
          </w:tcPr>
          <w:p>
            <w:pPr>
              <w:spacing w:after="0"/>
              <w:rPr>
                <w:sz w:val="24"/>
                <w:szCs w:val="24"/>
                <w:color w:val="auto"/>
              </w:rPr>
            </w:pPr>
          </w:p>
        </w:tc>
        <w:tc>
          <w:tcPr>
            <w:tcW w:w="1800" w:type="dxa"/>
            <w:vAlign w:val="bottom"/>
            <w:tcBorders>
              <w:top w:val="single" w:sz="8" w:color="0000FF"/>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 w:name="page5"/>
    <w:bookmarkEnd w:id="4"/>
    <w:p>
      <w:pPr>
        <w:spacing w:after="0"/>
        <w:rPr>
          <w:sz w:val="20"/>
          <w:szCs w:val="20"/>
          <w:color w:val="auto"/>
        </w:rPr>
      </w:pPr>
      <w:r>
        <w:rPr>
          <w:rFonts w:ascii="Arial" w:cs="Arial" w:eastAsia="Arial" w:hAnsi="Arial"/>
          <w:sz w:val="45"/>
          <w:szCs w:val="45"/>
          <w:b w:val="1"/>
          <w:bCs w:val="1"/>
          <w:color w:val="006DB6"/>
        </w:rPr>
        <w:t>Proxy Statement Summary</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This proxy statement is being furnished to shareholders of Civeo Corporation (“Civeo”) in connection with the solicitation of proxies by its board of directors for use at the 2026 annual general meeting of shareholders (the “annual general meeting”), which will be held online at www.virtualshareholdermeeting.com/CVEO2026 on May 27, 2026 at 9:00 a.m., local time. The annual general meeting will be held by virtual means only, and shareholders will not be able to attend the meeting in person. During the annual general meeting, shareholders will have the opportunity to vote on the proposals to elect the following six persons as Class II and Class III members of Civeo’s board of directors: Bradley J. Dodson, Martin A. Lambert, Constance B. Moore, Richard A. Navarre, Daniel B. Silvers and Timothy O. Wall, each for a term of one year ending at the 2027 annual general meeting of shareholders or until their successors are duly elected and qualified (the “Director Proposal”); to approve, on an advisory basis, the compensation of Civeo's named executive officers (the "Say-on-Pay Proposal"); to approve an amendment to the 2014 Equity Participation Plan of Civeo Corporation (the "EPP") to increase the numbers of shares available for issuance thereunder by 520,920 shares, subject to adjustment in accordance with the terms of the EPP (the "EPP Proposal"); to ratify the appointment of Ernst &amp; Young LLP as Civeo’s independent registered public accounting firm for the year ending December 31, 2026 and until the next annual general meeting of shareholders and to authorize the directors, acting through the Audit Committee, to determine the remuneration to be paid to Ernst &amp; Young LLP for 2026 (the “Auditor Proposal”); and to conduct any other business as may properly come before the annual general meeting or any adjournment or postponement thereof. The approximate date of first mailing of this proxy statement, the accompanying proxy and Civeo’s 2025 annual report is expected to be April 13, 2026.</w:t>
      </w:r>
    </w:p>
    <w:p>
      <w:pPr>
        <w:spacing w:after="0" w:line="6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Only shareholders of record at the close of business on March 30, 2026 are entitled to notice of and to vote during the annual general meeting or at any adjournment or postponement thereof that may take place. On March 30, 2026, we had 10,943,297 common shares outstanding and entitled to vote. Each common share is entitled to one vote for each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spacing w:after="0" w:line="8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this proxy statement, we sometimes refer to Civeo and its subsidiaries as “we,” “us,” “our,” "Company" or “Civeo.” Unless otherwise indicated, all references in this proxy statement to “dollars” or “$” are to U.S. dollars. Our principal executive offices are located at Three Allen Center, 333 Clay Street, Suite 4400, Houston, Texas 77002.</w:t>
      </w:r>
    </w:p>
    <w:p>
      <w:pPr>
        <w:spacing w:after="0" w:line="5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To assist you in reviewing the proposals to be considered at the annual general meeting, we call your attention to the following summary, which includes information about our fiscal 2025 financial performance. For more information, please review our 2025 Annual Report on Form 10-K and the other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Company Overview</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DB6"/>
        </w:rPr>
        <w:t>Who We Are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w:t>
      </w:r>
    </w:p>
    <w:p>
      <w:pPr>
        <w:spacing w:after="0" w:line="113" w:lineRule="exact"/>
        <w:rPr>
          <w:sz w:val="20"/>
          <w:szCs w:val="20"/>
          <w:color w:val="auto"/>
        </w:rPr>
      </w:pPr>
    </w:p>
    <w:p>
      <w:pPr>
        <w:ind w:left="20"/>
        <w:spacing w:after="0" w:line="267" w:lineRule="auto"/>
        <w:rPr>
          <w:sz w:val="20"/>
          <w:szCs w:val="20"/>
          <w:color w:val="auto"/>
        </w:rPr>
      </w:pPr>
      <w:r>
        <w:rPr>
          <w:rFonts w:ascii="Arial" w:cs="Arial" w:eastAsia="Arial" w:hAnsi="Arial"/>
          <w:sz w:val="16"/>
          <w:szCs w:val="16"/>
          <w:b w:val="1"/>
          <w:bCs w:val="1"/>
          <w:color w:val="auto"/>
        </w:rPr>
        <w:t>We are a leading provider of hospitality services, including catering and food service, lodging, housekeeping and maintenance at accommodations facilities that we or our customers own.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MARKETS</w:t>
      </w:r>
    </w:p>
    <w:p>
      <w:pPr>
        <w:spacing w:after="0" w:line="127" w:lineRule="exact"/>
        <w:rPr>
          <w:sz w:val="20"/>
          <w:szCs w:val="20"/>
          <w:color w:val="auto"/>
        </w:rPr>
      </w:pPr>
    </w:p>
    <w:p>
      <w:pPr>
        <w:ind w:left="20"/>
        <w:spacing w:after="0" w:line="269" w:lineRule="auto"/>
        <w:rPr>
          <w:sz w:val="20"/>
          <w:szCs w:val="20"/>
          <w:color w:val="auto"/>
        </w:rPr>
      </w:pPr>
      <w:r>
        <w:rPr>
          <w:rFonts w:ascii="Arial" w:cs="Arial" w:eastAsia="Arial" w:hAnsi="Arial"/>
          <w:sz w:val="16"/>
          <w:szCs w:val="16"/>
          <w:b w:val="1"/>
          <w:bCs w:val="1"/>
          <w:color w:val="auto"/>
        </w:rPr>
        <w:t>We serve natural resource producers in some of the world’s most active met coal, oil, iron ore and LNG producing regions in Australia and Canada.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GROSS PROFIT BY ACTIVITY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1722755" cy="1139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Global</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steel demand drives demand for met coal</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and iron ore, which are the primary</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commodities we serve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right="120"/>
        <w:spacing w:after="0" w:line="296" w:lineRule="auto"/>
        <w:rPr>
          <w:sz w:val="20"/>
          <w:szCs w:val="20"/>
          <w:color w:val="auto"/>
        </w:rPr>
      </w:pPr>
      <w:r>
        <w:rPr>
          <w:rFonts w:ascii="Arial" w:cs="Arial" w:eastAsia="Arial" w:hAnsi="Arial"/>
          <w:sz w:val="16"/>
          <w:szCs w:val="16"/>
          <w:b w:val="1"/>
          <w:bCs w:val="1"/>
          <w:color w:val="auto"/>
        </w:rPr>
        <w:t>Note: Gross Profit equals Revenues less Cost of Sales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638175</wp:posOffset>
            </wp:positionV>
            <wp:extent cx="39433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Where We Operate </w:t>
      </w:r>
      <w:r>
        <w:rPr>
          <w:rFonts w:ascii="Arial" w:cs="Arial" w:eastAsia="Arial" w:hAnsi="Arial"/>
          <w:sz w:val="17"/>
          <w:szCs w:val="17"/>
          <w:b w:val="1"/>
          <w:bCs w:val="1"/>
          <w:color w:val="006DB6"/>
        </w:rPr>
        <w:t>(as of 12/31/25)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-206375</wp:posOffset>
            </wp:positionV>
            <wp:extent cx="8890" cy="5237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2374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AUSTRALIA – 72% OF 2025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1697355" cy="917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355" cy="917575"/>
                    </a:xfrm>
                    <a:prstGeom prst="rect">
                      <a:avLst/>
                    </a:prstGeom>
                    <a:noFill/>
                  </pic:spPr>
                </pic:pic>
              </a:graphicData>
            </a:graphic>
          </wp:anchor>
        </w:drawing>
      </w:r>
    </w:p>
    <w:p>
      <w:pPr>
        <w:spacing w:after="0" w:line="93" w:lineRule="exact"/>
        <w:rPr>
          <w:sz w:val="20"/>
          <w:szCs w:val="20"/>
          <w:color w:val="auto"/>
        </w:rPr>
      </w:pPr>
    </w:p>
    <w:p>
      <w:pPr>
        <w:ind w:left="4220" w:right="28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12 owned villages with approximately</w:t>
      </w:r>
      <w:r>
        <w:rPr>
          <w:rFonts w:ascii="Arial" w:cs="Arial" w:eastAsia="Arial" w:hAnsi="Arial"/>
          <w:sz w:val="16"/>
          <w:szCs w:val="16"/>
          <w:color w:val="006DB6"/>
        </w:rPr>
        <w:t xml:space="preserve"> </w:t>
      </w:r>
      <w:r>
        <w:rPr>
          <w:rFonts w:ascii="Arial" w:cs="Arial" w:eastAsia="Arial" w:hAnsi="Arial"/>
          <w:sz w:val="16"/>
          <w:szCs w:val="16"/>
          <w:color w:val="000000"/>
        </w:rPr>
        <w:t>10,300 rooms</w:t>
      </w:r>
    </w:p>
    <w:p>
      <w:pPr>
        <w:spacing w:after="0" w:line="21" w:lineRule="exact"/>
        <w:rPr>
          <w:sz w:val="20"/>
          <w:szCs w:val="20"/>
          <w:color w:val="auto"/>
        </w:rPr>
      </w:pPr>
    </w:p>
    <w:p>
      <w:pPr>
        <w:ind w:left="4220" w:right="80" w:hanging="193"/>
        <w:spacing w:after="0" w:line="260"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Operated 23 customer-owned villages</w:t>
      </w:r>
      <w:r>
        <w:rPr>
          <w:rFonts w:ascii="Arial" w:cs="Arial" w:eastAsia="Arial" w:hAnsi="Arial"/>
          <w:sz w:val="16"/>
          <w:szCs w:val="16"/>
          <w:color w:val="006DB6"/>
        </w:rPr>
        <w:t xml:space="preserve"> </w:t>
      </w:r>
      <w:r>
        <w:rPr>
          <w:rFonts w:ascii="Arial" w:cs="Arial" w:eastAsia="Arial" w:hAnsi="Arial"/>
          <w:sz w:val="16"/>
          <w:szCs w:val="16"/>
          <w:color w:val="000000"/>
        </w:rPr>
        <w:t>with approximately 18,000 rooms where Civeo provided hospitality services including housekeeping and catering services</w:t>
      </w:r>
    </w:p>
    <w:p>
      <w:pPr>
        <w:spacing w:after="0" w:line="43"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drivers are met coal and iron ore</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production and activity</w:t>
      </w:r>
    </w:p>
    <w:p>
      <w:pPr>
        <w:spacing w:after="0" w:line="60"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Growing presence in Western and South</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Australia managing customer assets</w:t>
      </w:r>
    </w:p>
    <w:p>
      <w:pPr>
        <w:spacing w:after="0" w:line="60"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Also serve gold, lithium, copper and LNG</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projects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CANADA – 28% OF 2025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2091690" cy="1028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1690" cy="1028700"/>
                    </a:xfrm>
                    <a:prstGeom prst="rect">
                      <a:avLst/>
                    </a:prstGeom>
                    <a:noFill/>
                  </pic:spPr>
                </pic:pic>
              </a:graphicData>
            </a:graphic>
          </wp:anchor>
        </w:drawing>
      </w:r>
    </w:p>
    <w:p>
      <w:pPr>
        <w:spacing w:after="0" w:line="93" w:lineRule="exact"/>
        <w:rPr>
          <w:sz w:val="20"/>
          <w:szCs w:val="20"/>
          <w:color w:val="auto"/>
        </w:rPr>
      </w:pPr>
    </w:p>
    <w:p>
      <w:pPr>
        <w:ind w:left="4220" w:right="34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14 lodges with approximately 16,000</w:t>
      </w:r>
      <w:r>
        <w:rPr>
          <w:rFonts w:ascii="Arial" w:cs="Arial" w:eastAsia="Arial" w:hAnsi="Arial"/>
          <w:sz w:val="16"/>
          <w:szCs w:val="16"/>
          <w:color w:val="006DB6"/>
        </w:rPr>
        <w:t xml:space="preserve"> </w:t>
      </w:r>
      <w:r>
        <w:rPr>
          <w:rFonts w:ascii="Arial" w:cs="Arial" w:eastAsia="Arial" w:hAnsi="Arial"/>
          <w:sz w:val="16"/>
          <w:szCs w:val="16"/>
          <w:color w:val="000000"/>
        </w:rPr>
        <w:t>rooms</w:t>
      </w:r>
    </w:p>
    <w:p>
      <w:pPr>
        <w:spacing w:after="0" w:line="21" w:lineRule="exact"/>
        <w:rPr>
          <w:sz w:val="20"/>
          <w:szCs w:val="20"/>
          <w:color w:val="auto"/>
        </w:rPr>
      </w:pPr>
    </w:p>
    <w:p>
      <w:pPr>
        <w:ind w:left="4220" w:right="14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Mobile camp assets with approximately</w:t>
      </w:r>
      <w:r>
        <w:rPr>
          <w:rFonts w:ascii="Arial" w:cs="Arial" w:eastAsia="Arial" w:hAnsi="Arial"/>
          <w:sz w:val="16"/>
          <w:szCs w:val="16"/>
          <w:color w:val="006DB6"/>
        </w:rPr>
        <w:t xml:space="preserve"> </w:t>
      </w:r>
      <w:r>
        <w:rPr>
          <w:rFonts w:ascii="Arial" w:cs="Arial" w:eastAsia="Arial" w:hAnsi="Arial"/>
          <w:sz w:val="16"/>
          <w:szCs w:val="16"/>
          <w:color w:val="000000"/>
        </w:rPr>
        <w:t>2,600 rooms</w:t>
      </w:r>
    </w:p>
    <w:p>
      <w:pPr>
        <w:spacing w:after="0" w:line="21" w:lineRule="exact"/>
        <w:rPr>
          <w:sz w:val="20"/>
          <w:szCs w:val="20"/>
          <w:color w:val="auto"/>
        </w:rPr>
      </w:pPr>
    </w:p>
    <w:p>
      <w:pPr>
        <w:ind w:left="422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 is oil sands production and</w:t>
      </w:r>
      <w:r>
        <w:rPr>
          <w:rFonts w:ascii="Arial" w:cs="Arial" w:eastAsia="Arial" w:hAnsi="Arial"/>
          <w:sz w:val="16"/>
          <w:szCs w:val="16"/>
          <w:color w:val="006DB6"/>
        </w:rPr>
        <w:t xml:space="preserve"> </w:t>
      </w:r>
      <w:r>
        <w:rPr>
          <w:rFonts w:ascii="Arial" w:cs="Arial" w:eastAsia="Arial" w:hAnsi="Arial"/>
          <w:sz w:val="16"/>
          <w:szCs w:val="16"/>
          <w:color w:val="000000"/>
        </w:rPr>
        <w:t>activity</w:t>
      </w:r>
    </w:p>
    <w:p>
      <w:pPr>
        <w:spacing w:after="0" w:line="21" w:lineRule="exact"/>
        <w:rPr>
          <w:sz w:val="20"/>
          <w:szCs w:val="20"/>
          <w:color w:val="auto"/>
        </w:rPr>
      </w:pPr>
    </w:p>
    <w:p>
      <w:pPr>
        <w:ind w:left="4220" w:right="60" w:hanging="193"/>
        <w:spacing w:after="0" w:line="304"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Exposure to Canadian infrastructure and</w:t>
      </w:r>
      <w:r>
        <w:rPr>
          <w:rFonts w:ascii="Arial" w:cs="Arial" w:eastAsia="Arial" w:hAnsi="Arial"/>
          <w:sz w:val="16"/>
          <w:szCs w:val="16"/>
          <w:color w:val="006DB6"/>
        </w:rPr>
        <w:t xml:space="preserve"> </w:t>
      </w:r>
      <w:r>
        <w:rPr>
          <w:rFonts w:ascii="Arial" w:cs="Arial" w:eastAsia="Arial" w:hAnsi="Arial"/>
          <w:sz w:val="16"/>
          <w:szCs w:val="16"/>
          <w:color w:val="000000"/>
        </w:rPr>
        <w:t>LNG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1689100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80" w:space="720"/>
            <w:col w:w="7160"/>
          </w:cols>
          <w:pgMar w:left="320" w:top="233" w:right="4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2025 Performance Highlights</w:t>
      </w:r>
    </w:p>
    <w:p>
      <w:pPr>
        <w:spacing w:after="0" w:line="12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2025 was a year of meaningful transition for Civeo across several key dimensions of our business, including capital allocation, the continued right-sizing of our Canadian operations, strong growth in Australia, and an unwavering focus on our core values.</w:t>
      </w:r>
    </w:p>
    <w:p>
      <w:pPr>
        <w:spacing w:after="0" w:line="3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capital allocation strategy in 2025 reflected both discipline and conviction. We deployed capital in a deliberate manner—returning significant capital to shareholders through share repurchases, driven by our belief that Civeo’s shares were undervalued, while also investing in growth through a strategic acquisition in Australia. These actions underscore our commitment to balancing near-term returns with long-term value creation.</w:t>
      </w:r>
    </w:p>
    <w:p>
      <w:pPr>
        <w:spacing w:after="0" w:line="5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Canada, we continued to proactively right-size our business in response to ongoing structural headwinds in the oil sands region. While the operating environment remains challenged, we have taken decisive actions to better align our cost structure and asset base with current demand levels. These efforts position our Canadian operations to generate sustainable returns in a lower-activity environment.</w:t>
      </w:r>
    </w:p>
    <w:p>
      <w:pPr>
        <w:spacing w:after="0" w:line="70"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At the same time, we are increasingly optimistic about the medium-term outlook in North America. A growing pipeline of infrastructure and resource development projects is creating new opportunities to deploy our mobile accommodation fleet. We believe this positions us well to participate in a broader set of end markets and drive incremental growth over time.</w:t>
      </w:r>
    </w:p>
    <w:p>
      <w:pPr>
        <w:spacing w:after="0" w:line="7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contrast, Australia was a clear driver of growth in 2025. Building on strong momentum, the division delivered another year of strong performance, supported by increased customer activity and continued demand for high-quality accommodation and integrated services. Our ability to execute and expand in this region reinforces the strength of our operating model and highlights the benefits of our diversified portfolio.</w:t>
      </w:r>
    </w:p>
    <w:p>
      <w:pPr>
        <w:spacing w:after="0" w:line="7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Across all regions, our commitment to our core values—safety, respect, care, integrity, and excellence—remained central to how we operate. Safety is our top priority and foundational to every decision we make. We foster a culture of respect and care for our employees, guests, and communities, while holding ourselves to the highest standards of integrity. Our focus on excellence drives consistent execution and high-quality service delivery across our operations. As we navigate change and pursue growth, these values continue to guide our actions and ensure we deliver strong, reliable outcomes for our customers and shareholders.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6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Delivered record Australian</w:t>
            </w:r>
          </w:p>
        </w:tc>
        <w:tc>
          <w:tcPr>
            <w:tcW w:w="100" w:type="dxa"/>
            <w:vAlign w:val="bottom"/>
          </w:tcPr>
          <w:p>
            <w:pPr>
              <w:spacing w:after="0"/>
              <w:rPr>
                <w:sz w:val="17"/>
                <w:szCs w:val="17"/>
                <w:color w:val="auto"/>
              </w:rPr>
            </w:pPr>
          </w:p>
        </w:tc>
        <w:tc>
          <w:tcPr>
            <w:tcW w:w="4440" w:type="dxa"/>
            <w:vAlign w:val="bottom"/>
            <w:gridSpan w:val="2"/>
            <w:shd w:val="clear" w:color="auto" w:fill="E8EEF7"/>
          </w:tcPr>
          <w:p>
            <w:pPr>
              <w:ind w:left="20"/>
              <w:spacing w:after="0"/>
              <w:rPr>
                <w:sz w:val="20"/>
                <w:szCs w:val="20"/>
                <w:color w:val="auto"/>
              </w:rPr>
            </w:pPr>
            <w:r>
              <w:rPr>
                <w:rFonts w:ascii="Arial" w:cs="Arial" w:eastAsia="Arial" w:hAnsi="Arial"/>
                <w:sz w:val="16"/>
                <w:szCs w:val="16"/>
                <w:color w:val="auto"/>
              </w:rPr>
              <w:t>Acquired four villages in the Australian Bowen Basin for</w:t>
            </w:r>
          </w:p>
        </w:tc>
        <w:tc>
          <w:tcPr>
            <w:tcW w:w="140" w:type="dxa"/>
            <w:vAlign w:val="bottom"/>
          </w:tcPr>
          <w:p>
            <w:pPr>
              <w:spacing w:after="0"/>
              <w:rPr>
                <w:sz w:val="17"/>
                <w:szCs w:val="17"/>
                <w:color w:val="auto"/>
              </w:rPr>
            </w:pPr>
          </w:p>
        </w:tc>
        <w:tc>
          <w:tcPr>
            <w:tcW w:w="3860" w:type="dxa"/>
            <w:vAlign w:val="bottom"/>
            <w:shd w:val="clear" w:color="auto" w:fill="E8EEF7"/>
          </w:tcPr>
          <w:p>
            <w:pPr>
              <w:ind w:left="20"/>
              <w:spacing w:after="0"/>
              <w:rPr>
                <w:sz w:val="20"/>
                <w:szCs w:val="20"/>
                <w:color w:val="auto"/>
              </w:rPr>
            </w:pPr>
            <w:r>
              <w:rPr>
                <w:rFonts w:ascii="Arial" w:cs="Arial" w:eastAsia="Arial" w:hAnsi="Arial"/>
                <w:sz w:val="16"/>
                <w:szCs w:val="16"/>
                <w:color w:val="auto"/>
              </w:rPr>
              <w:t>Increased Adjusted EBITDA 10% year-over-year to</w:t>
            </w:r>
          </w:p>
        </w:tc>
      </w:tr>
      <w:tr>
        <w:trPr>
          <w:trHeight w:val="203"/>
        </w:trPr>
        <w:tc>
          <w:tcPr>
            <w:tcW w:w="2660" w:type="dxa"/>
            <w:vAlign w:val="bottom"/>
            <w:shd w:val="clear" w:color="auto" w:fill="E8EEF7"/>
          </w:tcPr>
          <w:p>
            <w:pPr>
              <w:ind w:left="20"/>
              <w:spacing w:after="0"/>
              <w:rPr>
                <w:sz w:val="20"/>
                <w:szCs w:val="20"/>
                <w:color w:val="auto"/>
              </w:rPr>
            </w:pPr>
            <w:r>
              <w:rPr>
                <w:rFonts w:ascii="Arial" w:cs="Arial" w:eastAsia="Arial" w:hAnsi="Arial"/>
                <w:sz w:val="16"/>
                <w:szCs w:val="16"/>
                <w:color w:val="auto"/>
              </w:rPr>
              <w:t>segment annual revenues of $460</w:t>
            </w:r>
          </w:p>
        </w:tc>
        <w:tc>
          <w:tcPr>
            <w:tcW w:w="100" w:type="dxa"/>
            <w:vAlign w:val="bottom"/>
          </w:tcPr>
          <w:p>
            <w:pPr>
              <w:spacing w:after="0"/>
              <w:rPr>
                <w:sz w:val="17"/>
                <w:szCs w:val="17"/>
                <w:color w:val="auto"/>
              </w:rPr>
            </w:pPr>
          </w:p>
        </w:tc>
        <w:tc>
          <w:tcPr>
            <w:tcW w:w="4440" w:type="dxa"/>
            <w:vAlign w:val="bottom"/>
            <w:gridSpan w:val="2"/>
            <w:shd w:val="clear" w:color="auto" w:fill="E8EEF7"/>
          </w:tcPr>
          <w:p>
            <w:pPr>
              <w:ind w:left="20"/>
              <w:spacing w:after="0"/>
              <w:rPr>
                <w:sz w:val="20"/>
                <w:szCs w:val="20"/>
                <w:color w:val="auto"/>
              </w:rPr>
            </w:pPr>
            <w:r>
              <w:rPr>
                <w:rFonts w:ascii="Arial" w:cs="Arial" w:eastAsia="Arial" w:hAnsi="Arial"/>
                <w:sz w:val="16"/>
                <w:szCs w:val="16"/>
                <w:color w:val="auto"/>
              </w:rPr>
              <w:t>approximately $67 million to expand our village portfolio into</w:t>
            </w:r>
          </w:p>
        </w:tc>
        <w:tc>
          <w:tcPr>
            <w:tcW w:w="140" w:type="dxa"/>
            <w:vAlign w:val="bottom"/>
          </w:tcPr>
          <w:p>
            <w:pPr>
              <w:spacing w:after="0"/>
              <w:rPr>
                <w:sz w:val="17"/>
                <w:szCs w:val="17"/>
                <w:color w:val="auto"/>
              </w:rPr>
            </w:pPr>
          </w:p>
        </w:tc>
        <w:tc>
          <w:tcPr>
            <w:tcW w:w="3860" w:type="dxa"/>
            <w:vAlign w:val="bottom"/>
            <w:shd w:val="clear" w:color="auto" w:fill="E8EEF7"/>
          </w:tcPr>
          <w:p>
            <w:pPr>
              <w:ind w:left="20"/>
              <w:spacing w:after="0"/>
              <w:rPr>
                <w:sz w:val="20"/>
                <w:szCs w:val="20"/>
                <w:color w:val="auto"/>
              </w:rPr>
            </w:pPr>
            <w:r>
              <w:rPr>
                <w:rFonts w:ascii="Arial" w:cs="Arial" w:eastAsia="Arial" w:hAnsi="Arial"/>
                <w:sz w:val="16"/>
                <w:szCs w:val="16"/>
                <w:color w:val="auto"/>
              </w:rPr>
              <w:t>$88 million, reflecting margin improvement in</w:t>
            </w:r>
          </w:p>
        </w:tc>
      </w:tr>
      <w:tr>
        <w:trPr>
          <w:trHeight w:val="189"/>
        </w:trPr>
        <w:tc>
          <w:tcPr>
            <w:tcW w:w="2660" w:type="dxa"/>
            <w:vAlign w:val="bottom"/>
            <w:shd w:val="clear" w:color="auto" w:fill="E8EEF7"/>
          </w:tcPr>
          <w:p>
            <w:pPr>
              <w:ind w:left="20"/>
              <w:spacing w:after="0"/>
              <w:rPr>
                <w:sz w:val="20"/>
                <w:szCs w:val="20"/>
                <w:color w:val="auto"/>
              </w:rPr>
            </w:pPr>
            <w:r>
              <w:rPr>
                <w:rFonts w:ascii="Arial" w:cs="Arial" w:eastAsia="Arial" w:hAnsi="Arial"/>
                <w:sz w:val="16"/>
                <w:szCs w:val="16"/>
                <w:color w:val="auto"/>
              </w:rPr>
              <w:t>million</w:t>
            </w:r>
          </w:p>
        </w:tc>
        <w:tc>
          <w:tcPr>
            <w:tcW w:w="100" w:type="dxa"/>
            <w:vAlign w:val="bottom"/>
          </w:tcPr>
          <w:p>
            <w:pPr>
              <w:spacing w:after="0"/>
              <w:rPr>
                <w:sz w:val="16"/>
                <w:szCs w:val="16"/>
                <w:color w:val="auto"/>
              </w:rPr>
            </w:pPr>
          </w:p>
        </w:tc>
        <w:tc>
          <w:tcPr>
            <w:tcW w:w="4440" w:type="dxa"/>
            <w:vAlign w:val="bottom"/>
            <w:gridSpan w:val="2"/>
            <w:shd w:val="clear" w:color="auto" w:fill="E8EEF7"/>
          </w:tcPr>
          <w:p>
            <w:pPr>
              <w:ind w:left="20"/>
              <w:spacing w:after="0"/>
              <w:rPr>
                <w:sz w:val="20"/>
                <w:szCs w:val="20"/>
                <w:color w:val="auto"/>
              </w:rPr>
            </w:pPr>
            <w:r>
              <w:rPr>
                <w:rFonts w:ascii="Arial" w:cs="Arial" w:eastAsia="Arial" w:hAnsi="Arial"/>
                <w:sz w:val="16"/>
                <w:szCs w:val="16"/>
                <w:color w:val="auto"/>
              </w:rPr>
              <w:t>a new region of the Bowen Basin and strengthen customer</w:t>
            </w:r>
          </w:p>
        </w:tc>
        <w:tc>
          <w:tcPr>
            <w:tcW w:w="140" w:type="dxa"/>
            <w:vAlign w:val="bottom"/>
          </w:tcPr>
          <w:p>
            <w:pPr>
              <w:spacing w:after="0"/>
              <w:rPr>
                <w:sz w:val="16"/>
                <w:szCs w:val="16"/>
                <w:color w:val="auto"/>
              </w:rPr>
            </w:pPr>
          </w:p>
        </w:tc>
        <w:tc>
          <w:tcPr>
            <w:tcW w:w="3860" w:type="dxa"/>
            <w:vAlign w:val="bottom"/>
            <w:shd w:val="clear" w:color="auto" w:fill="E8EEF7"/>
          </w:tcPr>
          <w:p>
            <w:pPr>
              <w:ind w:left="20"/>
              <w:spacing w:after="0"/>
              <w:rPr>
                <w:sz w:val="20"/>
                <w:szCs w:val="20"/>
                <w:color w:val="auto"/>
              </w:rPr>
            </w:pPr>
            <w:r>
              <w:rPr>
                <w:rFonts w:ascii="Arial" w:cs="Arial" w:eastAsia="Arial" w:hAnsi="Arial"/>
                <w:sz w:val="16"/>
                <w:szCs w:val="16"/>
                <w:color w:val="auto"/>
              </w:rPr>
              <w:t>Canada and growth in Australia</w:t>
            </w:r>
          </w:p>
        </w:tc>
      </w:tr>
      <w:tr>
        <w:trPr>
          <w:trHeight w:val="224"/>
        </w:trPr>
        <w:tc>
          <w:tcPr>
            <w:tcW w:w="2660" w:type="dxa"/>
            <w:vAlign w:val="bottom"/>
            <w:tcBorders>
              <w:bottom w:val="single" w:sz="8" w:color="E8EEF7"/>
            </w:tcBorders>
            <w:shd w:val="clear" w:color="auto" w:fill="E8EEF7"/>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Borders>
              <w:bottom w:val="single" w:sz="8" w:color="E8EEF7"/>
            </w:tcBorders>
            <w:gridSpan w:val="2"/>
            <w:shd w:val="clear" w:color="auto" w:fill="E8EEF7"/>
          </w:tcPr>
          <w:p>
            <w:pPr>
              <w:ind w:left="20"/>
              <w:spacing w:after="0"/>
              <w:rPr>
                <w:sz w:val="20"/>
                <w:szCs w:val="20"/>
                <w:color w:val="auto"/>
              </w:rPr>
            </w:pPr>
            <w:r>
              <w:rPr>
                <w:rFonts w:ascii="Arial" w:cs="Arial" w:eastAsia="Arial" w:hAnsi="Arial"/>
                <w:sz w:val="16"/>
                <w:szCs w:val="16"/>
                <w:color w:val="auto"/>
              </w:rPr>
              <w:t>relationships</w:t>
            </w:r>
          </w:p>
        </w:tc>
        <w:tc>
          <w:tcPr>
            <w:tcW w:w="140" w:type="dxa"/>
            <w:vAlign w:val="bottom"/>
          </w:tcPr>
          <w:p>
            <w:pPr>
              <w:spacing w:after="0"/>
              <w:rPr>
                <w:sz w:val="19"/>
                <w:szCs w:val="19"/>
                <w:color w:val="auto"/>
              </w:rPr>
            </w:pPr>
          </w:p>
        </w:tc>
        <w:tc>
          <w:tcPr>
            <w:tcW w:w="3860" w:type="dxa"/>
            <w:vAlign w:val="bottom"/>
            <w:tcBorders>
              <w:bottom w:val="single" w:sz="8" w:color="E8EEF7"/>
            </w:tcBorders>
            <w:shd w:val="clear" w:color="auto" w:fill="E8EEF7"/>
          </w:tcPr>
          <w:p>
            <w:pPr>
              <w:spacing w:after="0"/>
              <w:rPr>
                <w:sz w:val="19"/>
                <w:szCs w:val="19"/>
                <w:color w:val="auto"/>
              </w:rPr>
            </w:pPr>
          </w:p>
        </w:tc>
      </w:tr>
      <w:tr>
        <w:trPr>
          <w:trHeight w:val="88"/>
        </w:trPr>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720" w:type="dxa"/>
            <w:vAlign w:val="bottom"/>
            <w:tcBorders>
              <w:bottom w:val="single" w:sz="8" w:color="E8EEF7"/>
            </w:tcBorders>
          </w:tcPr>
          <w:p>
            <w:pPr>
              <w:spacing w:after="0"/>
              <w:rPr>
                <w:sz w:val="7"/>
                <w:szCs w:val="7"/>
                <w:color w:val="auto"/>
              </w:rPr>
            </w:pPr>
          </w:p>
        </w:tc>
        <w:tc>
          <w:tcPr>
            <w:tcW w:w="140" w:type="dxa"/>
            <w:vAlign w:val="bottom"/>
            <w:tcBorders>
              <w:bottom w:val="single" w:sz="8" w:color="E8EEF7"/>
            </w:tcBorders>
          </w:tcPr>
          <w:p>
            <w:pPr>
              <w:spacing w:after="0"/>
              <w:rPr>
                <w:sz w:val="7"/>
                <w:szCs w:val="7"/>
                <w:color w:val="auto"/>
              </w:rPr>
            </w:pPr>
          </w:p>
        </w:tc>
        <w:tc>
          <w:tcPr>
            <w:tcW w:w="3860" w:type="dxa"/>
            <w:vAlign w:val="bottom"/>
            <w:tcBorders>
              <w:bottom w:val="single" w:sz="8" w:color="E8EEF7"/>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68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685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3"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Maintained a solid balance sheet with a net leverage ratio of 1.9x at December 31, 2025, versus 0.5x at</w:t>
      </w:r>
    </w:p>
    <w:p>
      <w:pPr>
        <w:ind w:left="20"/>
        <w:spacing w:after="0" w:line="258" w:lineRule="auto"/>
        <w:rPr>
          <w:sz w:val="20"/>
          <w:szCs w:val="20"/>
          <w:color w:val="auto"/>
        </w:rPr>
      </w:pPr>
      <w:r>
        <w:rPr>
          <w:rFonts w:ascii="Arial" w:cs="Arial" w:eastAsia="Arial" w:hAnsi="Arial"/>
          <w:sz w:val="16"/>
          <w:szCs w:val="16"/>
          <w:color w:val="auto"/>
        </w:rPr>
        <w:t>December 31, 2024 as we deployed $72 million in growth capital to our Australian business and returned $57 million to shareholders</w:t>
      </w:r>
    </w:p>
    <w:p>
      <w:pPr>
        <w:spacing w:after="0" w:line="20" w:lineRule="exact"/>
        <w:rPr>
          <w:sz w:val="20"/>
          <w:szCs w:val="20"/>
          <w:color w:val="auto"/>
        </w:rPr>
      </w:pPr>
      <w:r>
        <w:rPr>
          <w:sz w:val="20"/>
          <w:szCs w:val="20"/>
          <w:color w:val="auto"/>
        </w:rPr>
        <w:br w:type="column"/>
      </w:r>
    </w:p>
    <w:p>
      <w:pPr>
        <w:ind w:right="140"/>
        <w:spacing w:after="0" w:line="265" w:lineRule="auto"/>
        <w:rPr>
          <w:sz w:val="20"/>
          <w:szCs w:val="20"/>
          <w:color w:val="auto"/>
        </w:rPr>
      </w:pPr>
      <w:r>
        <w:rPr>
          <w:rFonts w:ascii="Arial" w:cs="Arial" w:eastAsia="Arial" w:hAnsi="Arial"/>
          <w:sz w:val="16"/>
          <w:szCs w:val="16"/>
          <w:color w:val="auto"/>
        </w:rPr>
        <w:t>Repurchased 2.3 million common shares for approximately $54 million during 2025, representing approximately 17% of the Civeo common shares outstanding as of December 31, 2024. In total, the Company has repurchased 37% of its common shares since the inception of the share repurchase program in August 2021</w:t>
      </w:r>
    </w:p>
    <w:p>
      <w:pPr>
        <w:spacing w:after="0" w:line="375" w:lineRule="exact"/>
        <w:rPr>
          <w:sz w:val="20"/>
          <w:szCs w:val="20"/>
          <w:color w:val="auto"/>
        </w:rPr>
      </w:pPr>
    </w:p>
    <w:p>
      <w:pPr>
        <w:sectPr>
          <w:pgSz w:w="11900" w:h="16838" w:orient="portrait"/>
          <w:cols w:equalWidth="0" w:num="2">
            <w:col w:w="4360" w:space="240"/>
            <w:col w:w="66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331720" cy="771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31720" cy="7715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35" w:lineRule="exact"/>
        <w:rPr>
          <w:sz w:val="20"/>
          <w:szCs w:val="20"/>
          <w:color w:val="auto"/>
        </w:rPr>
      </w:pPr>
    </w:p>
    <w:p>
      <w:pPr>
        <w:ind w:left="20"/>
        <w:spacing w:after="0" w:line="260" w:lineRule="auto"/>
        <w:rPr>
          <w:sz w:val="20"/>
          <w:szCs w:val="20"/>
          <w:color w:val="auto"/>
        </w:rPr>
      </w:pPr>
      <w:r>
        <w:rPr>
          <w:rFonts w:ascii="Arial" w:cs="Arial" w:eastAsia="Arial" w:hAnsi="Arial"/>
          <w:sz w:val="16"/>
          <w:szCs w:val="16"/>
          <w:color w:val="auto"/>
        </w:rPr>
        <w:t>Generated 60% of Civeo’s revenue and 72% of Civeo’s gross profit from customers exposed to steel-making commodities, highlighting our continued diversification away from legacy oil sands markets</w:t>
      </w:r>
    </w:p>
    <w:p>
      <w:pPr>
        <w:spacing w:after="0" w:line="200" w:lineRule="exact"/>
        <w:rPr>
          <w:sz w:val="20"/>
          <w:szCs w:val="20"/>
          <w:color w:val="auto"/>
        </w:rPr>
      </w:pPr>
    </w:p>
    <w:p>
      <w:pPr>
        <w:spacing w:after="0" w:line="248"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TOTAL RECORDABLE</w:t>
      </w:r>
    </w:p>
    <w:p>
      <w:pPr>
        <w:spacing w:after="0" w:line="21"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INCIDENT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165100</wp:posOffset>
            </wp:positionV>
            <wp:extent cx="1311275" cy="1499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275" cy="149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20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Delivered strong safety performance across</w:t>
            </w:r>
          </w:p>
        </w:tc>
        <w:tc>
          <w:tcPr>
            <w:tcW w:w="80" w:type="dxa"/>
            <w:vAlign w:val="bottom"/>
          </w:tcPr>
          <w:p>
            <w:pPr>
              <w:spacing w:after="0"/>
              <w:rPr>
                <w:sz w:val="17"/>
                <w:szCs w:val="17"/>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Significant contract wins in Australia including: 1) A$1.4</w:t>
            </w:r>
          </w:p>
        </w:tc>
      </w:tr>
      <w:tr>
        <w:trPr>
          <w:trHeight w:val="203"/>
        </w:trPr>
        <w:tc>
          <w:tcPr>
            <w:tcW w:w="3200" w:type="dxa"/>
            <w:vAlign w:val="bottom"/>
            <w:shd w:val="clear" w:color="auto" w:fill="E8EEF7"/>
          </w:tcPr>
          <w:p>
            <w:pPr>
              <w:ind w:left="20"/>
              <w:spacing w:after="0"/>
              <w:rPr>
                <w:sz w:val="20"/>
                <w:szCs w:val="20"/>
                <w:color w:val="auto"/>
              </w:rPr>
            </w:pPr>
            <w:r>
              <w:rPr>
                <w:rFonts w:ascii="Arial" w:cs="Arial" w:eastAsia="Arial" w:hAnsi="Arial"/>
                <w:sz w:val="16"/>
                <w:szCs w:val="16"/>
                <w:color w:val="auto"/>
              </w:rPr>
              <w:t>all regions, resulting in a 2025 Global TRIR</w:t>
            </w:r>
          </w:p>
        </w:tc>
        <w:tc>
          <w:tcPr>
            <w:tcW w:w="80" w:type="dxa"/>
            <w:vAlign w:val="bottom"/>
          </w:tcPr>
          <w:p>
            <w:pPr>
              <w:spacing w:after="0"/>
              <w:rPr>
                <w:sz w:val="17"/>
                <w:szCs w:val="17"/>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billion integrated services contract, 2) A$250 million, 4-</w:t>
            </w:r>
          </w:p>
        </w:tc>
      </w:tr>
      <w:tr>
        <w:trPr>
          <w:trHeight w:val="189"/>
        </w:trPr>
        <w:tc>
          <w:tcPr>
            <w:tcW w:w="3200" w:type="dxa"/>
            <w:vAlign w:val="bottom"/>
            <w:shd w:val="clear" w:color="auto" w:fill="E8EEF7"/>
          </w:tcPr>
          <w:p>
            <w:pPr>
              <w:ind w:left="20"/>
              <w:spacing w:after="0"/>
              <w:rPr>
                <w:sz w:val="20"/>
                <w:szCs w:val="20"/>
                <w:color w:val="auto"/>
              </w:rPr>
            </w:pPr>
            <w:r>
              <w:rPr>
                <w:rFonts w:ascii="Arial" w:cs="Arial" w:eastAsia="Arial" w:hAnsi="Arial"/>
                <w:sz w:val="16"/>
                <w:szCs w:val="16"/>
                <w:color w:val="auto"/>
              </w:rPr>
              <w:t>of 0.27, the sixth consecutive year under</w:t>
            </w:r>
          </w:p>
        </w:tc>
        <w:tc>
          <w:tcPr>
            <w:tcW w:w="80" w:type="dxa"/>
            <w:vAlign w:val="bottom"/>
          </w:tcPr>
          <w:p>
            <w:pPr>
              <w:spacing w:after="0"/>
              <w:rPr>
                <w:sz w:val="16"/>
                <w:szCs w:val="16"/>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year Civeo-owned village "COV" contract renewal , and</w:t>
            </w:r>
          </w:p>
        </w:tc>
      </w:tr>
      <w:tr>
        <w:trPr>
          <w:trHeight w:val="189"/>
        </w:trPr>
        <w:tc>
          <w:tcPr>
            <w:tcW w:w="3200" w:type="dxa"/>
            <w:vAlign w:val="bottom"/>
            <w:shd w:val="clear" w:color="auto" w:fill="E8EEF7"/>
          </w:tcPr>
          <w:p>
            <w:pPr>
              <w:ind w:left="20"/>
              <w:spacing w:after="0"/>
              <w:rPr>
                <w:sz w:val="20"/>
                <w:szCs w:val="20"/>
                <w:color w:val="auto"/>
              </w:rPr>
            </w:pPr>
            <w:r>
              <w:rPr>
                <w:rFonts w:ascii="Arial" w:cs="Arial" w:eastAsia="Arial" w:hAnsi="Arial"/>
                <w:sz w:val="16"/>
                <w:szCs w:val="16"/>
                <w:color w:val="auto"/>
              </w:rPr>
              <w:t>0.50</w:t>
            </w:r>
          </w:p>
        </w:tc>
        <w:tc>
          <w:tcPr>
            <w:tcW w:w="80" w:type="dxa"/>
            <w:vAlign w:val="bottom"/>
          </w:tcPr>
          <w:p>
            <w:pPr>
              <w:spacing w:after="0"/>
              <w:rPr>
                <w:sz w:val="16"/>
                <w:szCs w:val="16"/>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3) a 3-year integrated services contract in the Bowen</w:t>
            </w:r>
          </w:p>
        </w:tc>
      </w:tr>
      <w:tr>
        <w:trPr>
          <w:trHeight w:val="203"/>
        </w:trPr>
        <w:tc>
          <w:tcPr>
            <w:tcW w:w="3200" w:type="dxa"/>
            <w:vAlign w:val="bottom"/>
            <w:shd w:val="clear" w:color="auto" w:fill="E8EEF7"/>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Basin, Civeo’s first contract integrated services contract</w:t>
            </w:r>
          </w:p>
        </w:tc>
      </w:tr>
      <w:tr>
        <w:trPr>
          <w:trHeight w:val="230"/>
        </w:trPr>
        <w:tc>
          <w:tcPr>
            <w:tcW w:w="3200" w:type="dxa"/>
            <w:vAlign w:val="bottom"/>
            <w:shd w:val="clear" w:color="auto" w:fill="E8EEF7"/>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shd w:val="clear" w:color="auto" w:fill="E8EEF7"/>
          </w:tcPr>
          <w:p>
            <w:pPr>
              <w:ind w:left="20"/>
              <w:spacing w:after="0"/>
              <w:rPr>
                <w:sz w:val="20"/>
                <w:szCs w:val="20"/>
                <w:color w:val="auto"/>
              </w:rPr>
            </w:pPr>
            <w:r>
              <w:rPr>
                <w:rFonts w:ascii="Arial" w:cs="Arial" w:eastAsia="Arial" w:hAnsi="Arial"/>
                <w:sz w:val="16"/>
                <w:szCs w:val="16"/>
                <w:color w:val="auto"/>
              </w:rPr>
              <w:t>in eastern Australia.</w:t>
            </w:r>
          </w:p>
        </w:tc>
      </w:tr>
      <w:tr>
        <w:trPr>
          <w:trHeight w:val="431"/>
        </w:trPr>
        <w:tc>
          <w:tcPr>
            <w:tcW w:w="3200" w:type="dxa"/>
            <w:vAlign w:val="bottom"/>
          </w:tcPr>
          <w:p>
            <w:pPr>
              <w:ind w:left="1040"/>
              <w:spacing w:after="0"/>
              <w:rPr>
                <w:sz w:val="20"/>
                <w:szCs w:val="20"/>
                <w:color w:val="auto"/>
              </w:rPr>
            </w:pPr>
            <w:r>
              <w:rPr>
                <w:rFonts w:ascii="Arial" w:cs="Arial" w:eastAsia="Arial" w:hAnsi="Arial"/>
                <w:sz w:val="16"/>
                <w:szCs w:val="16"/>
                <w:b w:val="1"/>
                <w:bCs w:val="1"/>
                <w:color w:val="auto"/>
              </w:rPr>
              <w:t>AICP EBITDA</w:t>
            </w:r>
          </w:p>
        </w:tc>
        <w:tc>
          <w:tcPr>
            <w:tcW w:w="80" w:type="dxa"/>
            <w:vAlign w:val="bottom"/>
          </w:tcPr>
          <w:p>
            <w:pPr>
              <w:spacing w:after="0"/>
              <w:rPr>
                <w:sz w:val="24"/>
                <w:szCs w:val="24"/>
                <w:color w:val="auto"/>
              </w:rPr>
            </w:pPr>
          </w:p>
        </w:tc>
        <w:tc>
          <w:tcPr>
            <w:tcW w:w="4180" w:type="dxa"/>
            <w:vAlign w:val="bottom"/>
          </w:tcPr>
          <w:p>
            <w:pPr>
              <w:jc w:val="center"/>
              <w:ind w:right="919"/>
              <w:spacing w:after="0"/>
              <w:rPr>
                <w:sz w:val="20"/>
                <w:szCs w:val="20"/>
                <w:color w:val="auto"/>
              </w:rPr>
            </w:pPr>
            <w:r>
              <w:rPr>
                <w:rFonts w:ascii="Arial" w:cs="Arial" w:eastAsia="Arial" w:hAnsi="Arial"/>
                <w:sz w:val="16"/>
                <w:szCs w:val="16"/>
                <w:b w:val="1"/>
                <w:bCs w:val="1"/>
                <w:color w:val="auto"/>
              </w:rPr>
              <w:t>RETURN OF CAPITAL TO</w:t>
            </w:r>
          </w:p>
        </w:tc>
      </w:tr>
      <w:tr>
        <w:trPr>
          <w:trHeight w:val="189"/>
        </w:trPr>
        <w:tc>
          <w:tcPr>
            <w:tcW w:w="3200" w:type="dxa"/>
            <w:vAlign w:val="bottom"/>
          </w:tcPr>
          <w:p>
            <w:pPr>
              <w:ind w:left="1160"/>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6"/>
                <w:szCs w:val="16"/>
                <w:color w:val="auto"/>
              </w:rPr>
            </w:pPr>
          </w:p>
        </w:tc>
        <w:tc>
          <w:tcPr>
            <w:tcW w:w="4180" w:type="dxa"/>
            <w:vAlign w:val="bottom"/>
          </w:tcPr>
          <w:p>
            <w:pPr>
              <w:jc w:val="center"/>
              <w:ind w:right="899"/>
              <w:spacing w:after="0"/>
              <w:rPr>
                <w:sz w:val="20"/>
                <w:szCs w:val="20"/>
                <w:color w:val="auto"/>
              </w:rPr>
            </w:pPr>
            <w:r>
              <w:rPr>
                <w:rFonts w:ascii="Arial" w:cs="Arial" w:eastAsia="Arial" w:hAnsi="Arial"/>
                <w:sz w:val="16"/>
                <w:szCs w:val="16"/>
                <w:b w:val="1"/>
                <w:bCs w:val="1"/>
                <w:color w:val="auto"/>
              </w:rPr>
              <w:t>SHAREHOLDERS</w:t>
            </w:r>
          </w:p>
        </w:tc>
      </w:tr>
      <w:tr>
        <w:trPr>
          <w:trHeight w:val="215"/>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tcPr>
          <w:p>
            <w:pPr>
              <w:jc w:val="center"/>
              <w:ind w:right="919"/>
              <w:spacing w:after="0"/>
              <w:rPr>
                <w:sz w:val="20"/>
                <w:szCs w:val="20"/>
                <w:color w:val="auto"/>
              </w:rPr>
            </w:pPr>
            <w:r>
              <w:rPr>
                <w:rFonts w:ascii="Arial" w:cs="Arial" w:eastAsia="Arial" w:hAnsi="Arial"/>
                <w:sz w:val="16"/>
                <w:szCs w:val="16"/>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35560</wp:posOffset>
            </wp:positionV>
            <wp:extent cx="3326130" cy="1499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6130" cy="1499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80"/>
            <w:col w:w="7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Note: AICP EBITDA and net leverage ratio are non-GAAP financial measures. See Appendix A for the definition and a reconciliation of each measure to the most directly comparable measures of financial performance calculated under GAAP.</w:t>
      </w:r>
    </w:p>
    <w:p>
      <w:pPr>
        <w:sectPr>
          <w:pgSz w:w="11900" w:h="16838" w:orient="portrait"/>
          <w:cols w:equalWidth="0" w:num="1">
            <w:col w:w="11240"/>
          </w:cols>
          <w:pgMar w:left="320" w:top="125" w:right="339" w:bottom="1440" w:gutter="0" w:footer="0" w:header="0"/>
          <w:type w:val="continuous"/>
        </w:sectPr>
      </w:pPr>
    </w:p>
    <w:p>
      <w:pPr>
        <w:spacing w:after="0" w:line="187" w:lineRule="exact"/>
        <w:rPr>
          <w:sz w:val="20"/>
          <w:szCs w:val="20"/>
          <w:color w:val="auto"/>
        </w:rPr>
      </w:pPr>
    </w:p>
    <w:p>
      <w:pPr>
        <w:ind w:left="9260"/>
        <w:spacing w:after="0"/>
        <w:tabs>
          <w:tab w:leader="none" w:pos="111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Matters and Recommendations</w:t>
      </w:r>
    </w:p>
    <w:p>
      <w:pPr>
        <w:spacing w:after="0" w:line="36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Below is a summary of the proposals on which you are being asked to vote. Please review the complete information regarding these proposals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916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Election of Directors</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each of the three Class II and III director nominees.                       </w:t>
      </w:r>
      <w:r>
        <w:rPr>
          <w:sz w:val="1"/>
          <w:szCs w:val="1"/>
          <w:color w:val="auto"/>
        </w:rPr>
        <w:drawing>
          <wp:inline distT="0" distB="0" distL="0" distR="0">
            <wp:extent cx="43180" cy="514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8</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our board of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706F6F"/>
              </w:rPr>
              <w:t>Director</w:t>
            </w:r>
          </w:p>
        </w:tc>
        <w:tc>
          <w:tcPr>
            <w:tcW w:w="160" w:type="dxa"/>
            <w:vAlign w:val="bottom"/>
            <w:tcBorders>
              <w:bottom w:val="single" w:sz="8" w:color="006DB6"/>
            </w:tcBorders>
          </w:tcPr>
          <w:p>
            <w:pPr>
              <w:spacing w:after="0"/>
              <w:rPr>
                <w:sz w:val="19"/>
                <w:szCs w:val="19"/>
                <w:color w:val="auto"/>
              </w:rPr>
            </w:pPr>
          </w:p>
        </w:tc>
        <w:tc>
          <w:tcPr>
            <w:tcW w:w="360" w:type="dxa"/>
            <w:vAlign w:val="bottom"/>
            <w:tcBorders>
              <w:bottom w:val="single" w:sz="8" w:color="006DB6"/>
            </w:tcBorders>
          </w:tcPr>
          <w:p>
            <w:pPr>
              <w:spacing w:after="0"/>
              <w:rPr>
                <w:sz w:val="19"/>
                <w:szCs w:val="19"/>
                <w:color w:val="auto"/>
              </w:rPr>
            </w:pPr>
          </w:p>
        </w:tc>
        <w:tc>
          <w:tcPr>
            <w:tcW w:w="1760" w:type="dxa"/>
            <w:vAlign w:val="bottom"/>
            <w:tcBorders>
              <w:bottom w:val="single" w:sz="8" w:color="006DB6"/>
            </w:tcBorders>
            <w:gridSpan w:val="2"/>
          </w:tcPr>
          <w:p>
            <w:pPr>
              <w:ind w:left="60"/>
              <w:spacing w:after="0"/>
              <w:rPr>
                <w:sz w:val="20"/>
                <w:szCs w:val="20"/>
                <w:color w:val="auto"/>
              </w:rPr>
            </w:pPr>
            <w:r>
              <w:rPr>
                <w:rFonts w:ascii="Arial" w:cs="Arial" w:eastAsia="Arial" w:hAnsi="Arial"/>
                <w:sz w:val="14"/>
                <w:szCs w:val="14"/>
                <w:b w:val="1"/>
                <w:bCs w:val="1"/>
                <w:color w:val="706F6F"/>
              </w:rPr>
              <w:t>Committee Membership</w:t>
            </w:r>
          </w:p>
        </w:tc>
        <w:tc>
          <w:tcPr>
            <w:tcW w:w="52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706F6F"/>
              </w:rPr>
              <w:t>Name and Primary Occupation</w:t>
            </w:r>
          </w:p>
        </w:tc>
        <w:tc>
          <w:tcPr>
            <w:tcW w:w="7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706F6F"/>
              </w:rPr>
              <w:t>Age</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706F6F"/>
              </w:rPr>
              <w:t>Since</w:t>
            </w:r>
          </w:p>
        </w:tc>
        <w:tc>
          <w:tcPr>
            <w:tcW w:w="360" w:type="dxa"/>
            <w:vAlign w:val="bottom"/>
          </w:tcPr>
          <w:p>
            <w:pPr>
              <w:ind w:left="100"/>
              <w:spacing w:after="0"/>
              <w:rPr>
                <w:sz w:val="20"/>
                <w:szCs w:val="20"/>
                <w:color w:val="auto"/>
              </w:rPr>
            </w:pPr>
            <w:r>
              <w:rPr>
                <w:rFonts w:ascii="Arial" w:cs="Arial" w:eastAsia="Arial" w:hAnsi="Arial"/>
                <w:sz w:val="14"/>
                <w:szCs w:val="14"/>
                <w:b w:val="1"/>
                <w:bCs w:val="1"/>
                <w:color w:val="706F6F"/>
              </w:rPr>
              <w:t>AC</w:t>
            </w:r>
          </w:p>
        </w:tc>
        <w:tc>
          <w:tcPr>
            <w:tcW w:w="780" w:type="dxa"/>
            <w:vAlign w:val="bottom"/>
          </w:tcPr>
          <w:p>
            <w:pPr>
              <w:ind w:left="400"/>
              <w:spacing w:after="0"/>
              <w:rPr>
                <w:sz w:val="20"/>
                <w:szCs w:val="20"/>
                <w:color w:val="auto"/>
              </w:rPr>
            </w:pPr>
            <w:r>
              <w:rPr>
                <w:rFonts w:ascii="Arial" w:cs="Arial" w:eastAsia="Arial" w:hAnsi="Arial"/>
                <w:sz w:val="14"/>
                <w:szCs w:val="14"/>
                <w:b w:val="1"/>
                <w:bCs w:val="1"/>
                <w:color w:val="706F6F"/>
              </w:rPr>
              <w:t>CC</w:t>
            </w:r>
          </w:p>
        </w:tc>
        <w:tc>
          <w:tcPr>
            <w:tcW w:w="980" w:type="dxa"/>
            <w:vAlign w:val="bottom"/>
          </w:tcPr>
          <w:p>
            <w:pPr>
              <w:ind w:left="180"/>
              <w:spacing w:after="0"/>
              <w:rPr>
                <w:sz w:val="20"/>
                <w:szCs w:val="20"/>
                <w:color w:val="auto"/>
              </w:rPr>
            </w:pPr>
            <w:r>
              <w:rPr>
                <w:rFonts w:ascii="Arial" w:cs="Arial" w:eastAsia="Arial" w:hAnsi="Arial"/>
                <w:sz w:val="14"/>
                <w:szCs w:val="14"/>
                <w:b w:val="1"/>
                <w:bCs w:val="1"/>
                <w:color w:val="706F6F"/>
              </w:rPr>
              <w:t>ESGNC</w:t>
            </w:r>
          </w:p>
        </w:tc>
        <w:tc>
          <w:tcPr>
            <w:tcW w:w="520" w:type="dxa"/>
            <w:vAlign w:val="bottom"/>
          </w:tcPr>
          <w:p>
            <w:pPr>
              <w:ind w:left="60"/>
              <w:spacing w:after="0"/>
              <w:rPr>
                <w:sz w:val="20"/>
                <w:szCs w:val="20"/>
                <w:color w:val="auto"/>
              </w:rPr>
            </w:pPr>
            <w:r>
              <w:rPr>
                <w:rFonts w:ascii="Arial" w:cs="Arial" w:eastAsia="Arial" w:hAnsi="Arial"/>
                <w:sz w:val="14"/>
                <w:szCs w:val="14"/>
                <w:b w:val="1"/>
                <w:bCs w:val="1"/>
                <w:color w:val="706F6F"/>
              </w:rPr>
              <w:t>FIC</w:t>
            </w:r>
          </w:p>
        </w:tc>
        <w:tc>
          <w:tcPr>
            <w:tcW w:w="0" w:type="dxa"/>
            <w:vAlign w:val="bottom"/>
          </w:tcPr>
          <w:p>
            <w:pPr>
              <w:spacing w:after="0"/>
              <w:rPr>
                <w:sz w:val="1"/>
                <w:szCs w:val="1"/>
                <w:color w:val="auto"/>
              </w:rPr>
            </w:pPr>
          </w:p>
        </w:tc>
      </w:tr>
      <w:tr>
        <w:trPr>
          <w:trHeight w:val="24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II Directors Whose Terms Expire at the 2026 Annual General Meeting of Shareholders</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Richard A. Navarre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65</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00" w:type="dxa"/>
            <w:vAlign w:val="bottom"/>
            <w:shd w:val="clear" w:color="auto" w:fill="CCEEFF"/>
          </w:tcPr>
          <w:p>
            <w:pPr>
              <w:spacing w:after="0"/>
              <w:rPr>
                <w:sz w:val="9"/>
                <w:szCs w:val="9"/>
                <w:color w:val="auto"/>
              </w:rPr>
            </w:pPr>
          </w:p>
        </w:tc>
        <w:tc>
          <w:tcPr>
            <w:tcW w:w="622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00" w:type="dxa"/>
            <w:vAlign w:val="bottom"/>
            <w:tcBorders>
              <w:bottom w:val="single" w:sz="8" w:color="CCEEFF"/>
            </w:tcBorders>
            <w:shd w:val="clear" w:color="auto" w:fill="CCEEFF"/>
          </w:tcPr>
          <w:p>
            <w:pPr>
              <w:spacing w:after="0"/>
              <w:rPr>
                <w:sz w:val="23"/>
                <w:szCs w:val="23"/>
                <w:color w:val="auto"/>
              </w:rPr>
            </w:pPr>
          </w:p>
        </w:tc>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Former President and Chief Executive Officer, Covia Corporation</w:t>
            </w: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00" w:type="dxa"/>
            <w:vAlign w:val="bottom"/>
            <w:tcBorders>
              <w:top w:val="single" w:sz="8" w:color="auto"/>
            </w:tcBorders>
            <w:shd w:val="clear" w:color="auto" w:fill="CCEEFF"/>
          </w:tcPr>
          <w:p>
            <w:pPr>
              <w:spacing w:after="0"/>
              <w:rPr>
                <w:sz w:val="24"/>
                <w:szCs w:val="24"/>
                <w:color w:val="auto"/>
              </w:rPr>
            </w:pPr>
          </w:p>
        </w:tc>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color w:val="706F6F"/>
              </w:rPr>
              <w:t>Independent</w:t>
            </w:r>
          </w:p>
        </w:tc>
        <w:tc>
          <w:tcPr>
            <w:tcW w:w="420" w:type="dxa"/>
            <w:vAlign w:val="bottom"/>
            <w:tcBorders>
              <w:top w:val="single" w:sz="8" w:color="auto"/>
            </w:tcBorders>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70</w:t>
            </w:r>
          </w:p>
        </w:tc>
        <w:tc>
          <w:tcPr>
            <w:tcW w:w="3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Chief Executive Officer, Swan Hills Synfuels LP</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70</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President and CEO of BRE Properties</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III Directors Whose Terms Expire at the 2026 Annual General Meeting of Shareholders</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52</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 Civeo Corporation</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CCEEFF"/>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Daniel B. Silvers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49</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Founder and Managing Member, Matthews Lane Capital Partners LLC</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auto"/>
            </w:tcBorders>
            <w:shd w:val="clear" w:color="auto" w:fill="CCEEFF"/>
          </w:tcPr>
          <w:p>
            <w:pPr>
              <w:spacing w:after="0"/>
              <w:rPr>
                <w:sz w:val="11"/>
                <w:szCs w:val="11"/>
                <w:color w:val="auto"/>
              </w:rPr>
            </w:pPr>
          </w:p>
        </w:tc>
        <w:tc>
          <w:tcPr>
            <w:tcW w:w="6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Timothy O. Wall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64</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2017</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President, Kitimat LNG Upstream Operations</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spacing w:after="0"/>
              <w:rPr>
                <w:sz w:val="9"/>
                <w:szCs w:val="9"/>
                <w:color w:val="auto"/>
              </w:rPr>
            </w:pPr>
          </w:p>
        </w:tc>
        <w:tc>
          <w:tcPr>
            <w:tcW w:w="6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734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 Directors Whose Terms Expire at the 2027 Annual General Meeting of Shareholders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 Ronald Blankenship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76</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Verde Realty</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Michael Montelongo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GRC Advisory Services LLC</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Jeffrey B. Scofield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22"/>
                <w:szCs w:val="22"/>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Lime Rock Partners</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7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AC</w:t>
            </w:r>
          </w:p>
        </w:tc>
        <w:tc>
          <w:tcPr>
            <w:tcW w:w="6220" w:type="dxa"/>
            <w:vAlign w:val="bottom"/>
          </w:tcPr>
          <w:p>
            <w:pPr>
              <w:ind w:left="180"/>
              <w:spacing w:after="0"/>
              <w:rPr>
                <w:sz w:val="20"/>
                <w:szCs w:val="20"/>
                <w:color w:val="auto"/>
              </w:rPr>
            </w:pPr>
            <w:r>
              <w:rPr>
                <w:rFonts w:ascii="Arial" w:cs="Arial" w:eastAsia="Arial" w:hAnsi="Arial"/>
                <w:sz w:val="14"/>
                <w:szCs w:val="14"/>
                <w:color w:val="auto"/>
              </w:rPr>
              <w:t>Audit Committee</w:t>
            </w:r>
          </w:p>
        </w:tc>
        <w:tc>
          <w:tcPr>
            <w:tcW w:w="4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Chair</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CC</w:t>
            </w:r>
          </w:p>
        </w:tc>
        <w:tc>
          <w:tcPr>
            <w:tcW w:w="6220" w:type="dxa"/>
            <w:vAlign w:val="bottom"/>
          </w:tcPr>
          <w:p>
            <w:pPr>
              <w:ind w:left="180"/>
              <w:spacing w:after="0"/>
              <w:rPr>
                <w:sz w:val="20"/>
                <w:szCs w:val="20"/>
                <w:color w:val="auto"/>
              </w:rPr>
            </w:pPr>
            <w:r>
              <w:rPr>
                <w:rFonts w:ascii="Arial" w:cs="Arial" w:eastAsia="Arial" w:hAnsi="Arial"/>
                <w:sz w:val="14"/>
                <w:szCs w:val="14"/>
                <w:color w:val="auto"/>
              </w:rPr>
              <w:t>Compensation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Member</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ESGNC</w:t>
            </w:r>
          </w:p>
        </w:tc>
        <w:tc>
          <w:tcPr>
            <w:tcW w:w="6220" w:type="dxa"/>
            <w:vAlign w:val="bottom"/>
          </w:tcPr>
          <w:p>
            <w:pPr>
              <w:ind w:left="180"/>
              <w:spacing w:after="0"/>
              <w:rPr>
                <w:sz w:val="20"/>
                <w:szCs w:val="20"/>
                <w:color w:val="auto"/>
              </w:rPr>
            </w:pPr>
            <w:r>
              <w:rPr>
                <w:rFonts w:ascii="Arial" w:cs="Arial" w:eastAsia="Arial" w:hAnsi="Arial"/>
                <w:sz w:val="14"/>
                <w:szCs w:val="14"/>
                <w:color w:val="auto"/>
              </w:rPr>
              <w:t>Environmental, Social, Governance and Nominating Committee</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F</w:t>
            </w:r>
          </w:p>
        </w:tc>
        <w:tc>
          <w:tcPr>
            <w:tcW w:w="1260" w:type="dxa"/>
            <w:vAlign w:val="bottom"/>
            <w:gridSpan w:val="3"/>
          </w:tcPr>
          <w:p>
            <w:pPr>
              <w:spacing w:after="0"/>
              <w:rPr>
                <w:sz w:val="20"/>
                <w:szCs w:val="20"/>
                <w:color w:val="auto"/>
              </w:rPr>
            </w:pPr>
            <w:r>
              <w:rPr>
                <w:rFonts w:ascii="Arial" w:cs="Arial" w:eastAsia="Arial" w:hAnsi="Arial"/>
                <w:sz w:val="14"/>
                <w:szCs w:val="14"/>
                <w:color w:val="auto"/>
              </w:rPr>
              <w:t>Financial Expert</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FIC</w:t>
            </w:r>
          </w:p>
        </w:tc>
        <w:tc>
          <w:tcPr>
            <w:tcW w:w="6220" w:type="dxa"/>
            <w:vAlign w:val="bottom"/>
          </w:tcPr>
          <w:p>
            <w:pPr>
              <w:ind w:left="180"/>
              <w:spacing w:after="0"/>
              <w:rPr>
                <w:sz w:val="20"/>
                <w:szCs w:val="20"/>
                <w:color w:val="auto"/>
              </w:rPr>
            </w:pPr>
            <w:r>
              <w:rPr>
                <w:rFonts w:ascii="Arial" w:cs="Arial" w:eastAsia="Arial" w:hAnsi="Arial"/>
                <w:sz w:val="14"/>
                <w:szCs w:val="14"/>
                <w:color w:val="auto"/>
              </w:rPr>
              <w:t>Finance and Investment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Chair of the Board</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-4764405</wp:posOffset>
            </wp:positionV>
            <wp:extent cx="32575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-4738370</wp:posOffset>
            </wp:positionV>
            <wp:extent cx="12890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-4610100</wp:posOffset>
            </wp:positionV>
            <wp:extent cx="10287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-4275455</wp:posOffset>
            </wp:positionV>
            <wp:extent cx="32575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-4164330</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-4164330</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-3881755</wp:posOffset>
            </wp:positionV>
            <wp:extent cx="32575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-3769995</wp:posOffset>
            </wp:positionV>
            <wp:extent cx="1028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-3769995</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-3333115</wp:posOffset>
            </wp:positionV>
            <wp:extent cx="6951980" cy="1148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1980" cy="11487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-1969770</wp:posOffset>
            </wp:positionV>
            <wp:extent cx="325755"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-1858645</wp:posOffset>
            </wp:positionV>
            <wp:extent cx="10287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-1858645</wp:posOffset>
            </wp:positionV>
            <wp:extent cx="10287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-1575435</wp:posOffset>
            </wp:positionV>
            <wp:extent cx="32575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-1464310</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-1464310</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-1181100</wp:posOffset>
            </wp:positionV>
            <wp:extent cx="30861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-1078230</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-1078230</wp:posOffset>
            </wp:positionV>
            <wp:extent cx="1028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-735330</wp:posOffset>
            </wp:positionV>
            <wp:extent cx="10287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-538480</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-161290</wp:posOffset>
            </wp:positionV>
            <wp:extent cx="12890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189865</wp:posOffset>
            </wp:positionV>
            <wp:extent cx="394335"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674995" cy="396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4995"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90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905760"/>
                    </a:xfrm>
                    <a:prstGeom prst="rect">
                      <a:avLst/>
                    </a:prstGeom>
                    <a:noFill/>
                  </pic:spPr>
                </pic:pic>
              </a:graphicData>
            </a:graphic>
          </wp:anchor>
        </w:drawing>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31"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w:t>
      </w:r>
    </w:p>
    <w:p>
      <w:pPr>
        <w:spacing w:after="0" w:line="86"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603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Commenced declassification of board of directions in 2024, with classified board to be phased out by 2027</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86" w:lineRule="exact"/>
        <w:rPr>
          <w:sz w:val="20"/>
          <w:szCs w:val="20"/>
          <w:color w:val="auto"/>
        </w:rPr>
      </w:pPr>
    </w:p>
    <w:p>
      <w:pPr>
        <w:ind w:left="420" w:right="240" w:hanging="203"/>
        <w:spacing w:after="0"/>
        <w:rPr>
          <w:sz w:val="20"/>
          <w:szCs w:val="20"/>
          <w:color w:val="auto"/>
        </w:rPr>
      </w:pPr>
      <w:r>
        <w:rPr>
          <w:sz w:val="1"/>
          <w:szCs w:val="1"/>
          <w:color w:val="auto"/>
        </w:rPr>
        <w:drawing>
          <wp:inline distT="0" distB="0" distL="0" distR="0">
            <wp:extent cx="68580" cy="603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composed of independent directors</w:t>
      </w:r>
    </w:p>
    <w:p>
      <w:pPr>
        <w:spacing w:after="0" w:line="86" w:lineRule="exact"/>
        <w:rPr>
          <w:sz w:val="20"/>
          <w:szCs w:val="20"/>
          <w:color w:val="auto"/>
        </w:rPr>
      </w:pPr>
    </w:p>
    <w:p>
      <w:pPr>
        <w:ind w:left="420" w:right="160" w:hanging="203"/>
        <w:spacing w:after="0"/>
        <w:rPr>
          <w:sz w:val="20"/>
          <w:szCs w:val="20"/>
          <w:color w:val="auto"/>
        </w:rPr>
      </w:pPr>
      <w:r>
        <w:rPr>
          <w:sz w:val="1"/>
          <w:szCs w:val="1"/>
          <w:color w:val="auto"/>
        </w:rPr>
        <w:drawing>
          <wp:inline distT="0" distB="0" distL="0" distR="0">
            <wp:extent cx="68580" cy="596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42"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603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86" w:lineRule="exact"/>
        <w:rPr>
          <w:sz w:val="20"/>
          <w:szCs w:val="20"/>
          <w:color w:val="auto"/>
        </w:rPr>
      </w:pPr>
    </w:p>
    <w:p>
      <w:pPr>
        <w:ind w:left="420" w:right="540" w:hanging="203"/>
        <w:spacing w:after="0"/>
        <w:rPr>
          <w:sz w:val="20"/>
          <w:szCs w:val="20"/>
          <w:color w:val="auto"/>
        </w:rPr>
      </w:pPr>
      <w:r>
        <w:rPr>
          <w:sz w:val="1"/>
          <w:szCs w:val="1"/>
          <w:color w:val="auto"/>
        </w:rPr>
        <w:drawing>
          <wp:inline distT="0" distB="0" distL="0" distR="0">
            <wp:extent cx="68580" cy="603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440" w:hanging="203"/>
        <w:spacing w:after="0"/>
        <w:rPr>
          <w:sz w:val="20"/>
          <w:szCs w:val="20"/>
          <w:color w:val="auto"/>
        </w:rPr>
      </w:pPr>
      <w:r>
        <w:rPr>
          <w:sz w:val="1"/>
          <w:szCs w:val="1"/>
          <w:color w:val="auto"/>
        </w:rPr>
        <w:drawing>
          <wp:inline distT="0" distB="0" distL="0" distR="0">
            <wp:extent cx="68580" cy="603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Oversight of environmental, social and governance ("ESG") matters directly assigned to the Environmental, Social, Governance and Nominating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131"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603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short-sale trading transactions by executive officers or directors</w:t>
      </w:r>
    </w:p>
    <w:p>
      <w:pPr>
        <w:spacing w:after="0" w:line="42" w:lineRule="exact"/>
        <w:rPr>
          <w:sz w:val="20"/>
          <w:szCs w:val="20"/>
          <w:color w:val="auto"/>
        </w:rPr>
      </w:pPr>
    </w:p>
    <w:p>
      <w:pPr>
        <w:ind w:left="220" w:right="320" w:hanging="203"/>
        <w:spacing w:after="0"/>
        <w:rPr>
          <w:sz w:val="20"/>
          <w:szCs w:val="20"/>
          <w:color w:val="auto"/>
        </w:rPr>
      </w:pPr>
      <w:r>
        <w:rPr>
          <w:sz w:val="1"/>
          <w:szCs w:val="1"/>
          <w:color w:val="auto"/>
        </w:rPr>
        <w:drawing>
          <wp:inline distT="0" distB="0" distL="0" distR="0">
            <wp:extent cx="68580" cy="603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applicable to executive officers and directors</w:t>
      </w:r>
    </w:p>
    <w:p>
      <w:pPr>
        <w:spacing w:after="0" w:line="55" w:lineRule="exact"/>
        <w:rPr>
          <w:sz w:val="20"/>
          <w:szCs w:val="20"/>
          <w:color w:val="auto"/>
        </w:rPr>
      </w:pPr>
    </w:p>
    <w:p>
      <w:pPr>
        <w:ind w:left="220" w:right="660" w:hanging="203"/>
        <w:spacing w:after="0"/>
        <w:rPr>
          <w:sz w:val="20"/>
          <w:szCs w:val="20"/>
          <w:color w:val="auto"/>
        </w:rPr>
      </w:pPr>
      <w:r>
        <w:rPr>
          <w:sz w:val="1"/>
          <w:szCs w:val="1"/>
          <w:color w:val="auto"/>
        </w:rPr>
        <w:drawing>
          <wp:inline distT="0" distB="0" distL="0" distR="0">
            <wp:extent cx="68580" cy="603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55" w:lineRule="exact"/>
        <w:rPr>
          <w:sz w:val="20"/>
          <w:szCs w:val="20"/>
          <w:color w:val="auto"/>
        </w:rPr>
      </w:pPr>
    </w:p>
    <w:p>
      <w:pPr>
        <w:ind w:left="220" w:right="600" w:hanging="203"/>
        <w:spacing w:after="0"/>
        <w:rPr>
          <w:sz w:val="20"/>
          <w:szCs w:val="20"/>
          <w:color w:val="auto"/>
        </w:rPr>
      </w:pPr>
      <w:r>
        <w:rPr>
          <w:sz w:val="1"/>
          <w:szCs w:val="1"/>
          <w:color w:val="auto"/>
        </w:rPr>
        <w:drawing>
          <wp:inline distT="0" distB="0" distL="0" distR="0">
            <wp:extent cx="68580" cy="5969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73" w:lineRule="exact"/>
        <w:rPr>
          <w:sz w:val="20"/>
          <w:szCs w:val="20"/>
          <w:color w:val="auto"/>
        </w:rPr>
      </w:pPr>
    </w:p>
    <w:p>
      <w:pPr>
        <w:ind w:left="220" w:right="340" w:hanging="203"/>
        <w:spacing w:after="0"/>
        <w:rPr>
          <w:sz w:val="20"/>
          <w:szCs w:val="20"/>
          <w:color w:val="auto"/>
        </w:rPr>
      </w:pPr>
      <w:r>
        <w:rPr>
          <w:sz w:val="1"/>
          <w:szCs w:val="1"/>
          <w:color w:val="auto"/>
        </w:rPr>
        <w:drawing>
          <wp:inline distT="0" distB="0" distL="0" distR="0">
            <wp:extent cx="68580" cy="603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1576" w:lineRule="exact"/>
        <w:rPr>
          <w:sz w:val="20"/>
          <w:szCs w:val="20"/>
          <w:color w:val="auto"/>
        </w:rPr>
      </w:pPr>
    </w:p>
    <w:p>
      <w:pPr>
        <w:sectPr>
          <w:pgSz w:w="11900" w:h="16838" w:orient="portrait"/>
          <w:cols w:equalWidth="0" w:num="2">
            <w:col w:w="5640" w:space="380"/>
            <w:col w:w="5220"/>
          </w:cols>
          <w:pgMar w:left="320" w:top="125" w:right="339" w:bottom="1440" w:gutter="0" w:footer="0" w:header="0"/>
        </w:sectPr>
      </w:pPr>
    </w:p>
    <w:p>
      <w:pPr>
        <w:spacing w:after="0" w:line="333" w:lineRule="exact"/>
        <w:rPr>
          <w:sz w:val="20"/>
          <w:szCs w:val="20"/>
          <w:color w:val="auto"/>
        </w:rPr>
      </w:pPr>
    </w:p>
    <w:p>
      <w:pPr>
        <w:ind w:left="9260"/>
        <w:spacing w:after="0"/>
        <w:tabs>
          <w:tab w:leader="none" w:pos="111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Responsibility at Civeo</w:t>
      </w:r>
    </w:p>
    <w:p>
      <w:pPr>
        <w:spacing w:after="0" w:line="14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p>
      <w:pPr>
        <w:spacing w:after="0" w:line="200" w:lineRule="exact"/>
        <w:rPr>
          <w:sz w:val="20"/>
          <w:szCs w:val="20"/>
          <w:color w:val="auto"/>
        </w:rPr>
      </w:pPr>
    </w:p>
    <w:p>
      <w:pPr>
        <w:spacing w:after="0" w:line="351" w:lineRule="exact"/>
        <w:rPr>
          <w:sz w:val="20"/>
          <w:szCs w:val="20"/>
          <w:color w:val="auto"/>
        </w:rPr>
      </w:pPr>
    </w:p>
    <w:tbl>
      <w:tblPr>
        <w:tblLayout w:type="fixed"/>
        <w:tblInd w:w="440" w:type="dxa"/>
        <w:tblCellMar>
          <w:top w:w="0" w:type="dxa"/>
          <w:left w:w="0" w:type="dxa"/>
          <w:bottom w:w="0" w:type="dxa"/>
          <w:right w:w="0" w:type="dxa"/>
        </w:tblCellMar>
      </w:tblPr>
      <w:tr>
        <w:trPr>
          <w:trHeight w:val="243"/>
        </w:trPr>
        <w:tc>
          <w:tcPr>
            <w:tcW w:w="1280" w:type="dxa"/>
            <w:vAlign w:val="bottom"/>
          </w:tcPr>
          <w:p>
            <w:pPr>
              <w:spacing w:after="0"/>
              <w:rPr>
                <w:sz w:val="20"/>
                <w:szCs w:val="20"/>
                <w:color w:val="auto"/>
              </w:rPr>
            </w:pPr>
            <w:r>
              <w:rPr>
                <w:rFonts w:ascii="Arial" w:cs="Arial" w:eastAsia="Arial" w:hAnsi="Arial"/>
                <w:sz w:val="16"/>
                <w:szCs w:val="16"/>
                <w:b w:val="1"/>
                <w:bCs w:val="1"/>
                <w:color w:val="006DB6"/>
              </w:rPr>
              <w:t>OUR PEOPLE</w:t>
            </w: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140" w:type="dxa"/>
            <w:vAlign w:val="bottom"/>
          </w:tcPr>
          <w:p>
            <w:pPr>
              <w:ind w:left="40"/>
              <w:spacing w:after="0"/>
              <w:rPr>
                <w:sz w:val="20"/>
                <w:szCs w:val="20"/>
                <w:color w:val="auto"/>
              </w:rPr>
            </w:pPr>
            <w:r>
              <w:rPr>
                <w:rFonts w:ascii="Arial" w:cs="Arial" w:eastAsia="Arial" w:hAnsi="Arial"/>
                <w:sz w:val="16"/>
                <w:szCs w:val="16"/>
                <w:color w:val="auto"/>
              </w:rPr>
              <w:t>We believe that investing in our employees is fundamental to our success. Our commitment to training and career development</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40" w:type="dxa"/>
            <w:vAlign w:val="bottom"/>
          </w:tcPr>
          <w:p>
            <w:pPr>
              <w:ind w:left="80"/>
              <w:spacing w:after="0"/>
              <w:rPr>
                <w:sz w:val="20"/>
                <w:szCs w:val="20"/>
                <w:color w:val="auto"/>
              </w:rPr>
            </w:pPr>
            <w:r>
              <w:rPr>
                <w:rFonts w:ascii="Arial" w:cs="Arial" w:eastAsia="Arial" w:hAnsi="Arial"/>
                <w:sz w:val="16"/>
                <w:szCs w:val="16"/>
                <w:color w:val="auto"/>
              </w:rPr>
              <w:t>enables employees to grow and advance in their careers.</w:t>
            </w:r>
          </w:p>
        </w:tc>
      </w:tr>
      <w:tr>
        <w:trPr>
          <w:trHeight w:val="270"/>
        </w:trPr>
        <w:tc>
          <w:tcPr>
            <w:tcW w:w="1280" w:type="dxa"/>
            <w:vAlign w:val="bottom"/>
          </w:tcPr>
          <w:p>
            <w:pPr>
              <w:spacing w:after="0"/>
              <w:rPr>
                <w:sz w:val="23"/>
                <w:szCs w:val="23"/>
                <w:color w:val="auto"/>
              </w:rPr>
            </w:pPr>
          </w:p>
        </w:tc>
        <w:tc>
          <w:tcPr>
            <w:tcW w:w="9480" w:type="dxa"/>
            <w:vAlign w:val="bottom"/>
            <w:gridSpan w:val="2"/>
          </w:tcPr>
          <w:p>
            <w:pPr>
              <w:ind w:left="2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Continued the global leadership academy to develop field level leadership.</w:t>
            </w:r>
          </w:p>
        </w:tc>
      </w:tr>
      <w:tr>
        <w:trPr>
          <w:trHeight w:val="244"/>
        </w:trPr>
        <w:tc>
          <w:tcPr>
            <w:tcW w:w="128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140" w:type="dxa"/>
            <w:vAlign w:val="bottom"/>
          </w:tcPr>
          <w:p>
            <w:pPr>
              <w:ind w:left="40"/>
              <w:spacing w:after="0"/>
              <w:rPr>
                <w:sz w:val="20"/>
                <w:szCs w:val="20"/>
                <w:color w:val="auto"/>
              </w:rPr>
            </w:pPr>
            <w:r>
              <w:rPr>
                <w:rFonts w:ascii="Arial" w:cs="Arial" w:eastAsia="Arial" w:hAnsi="Arial"/>
                <w:sz w:val="16"/>
                <w:szCs w:val="16"/>
                <w:color w:val="auto"/>
              </w:rPr>
              <w:t>We have a program to facilitate mentoring relationships between experienced leaders in Civeo and employees who are at the</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40" w:type="dxa"/>
            <w:vAlign w:val="bottom"/>
          </w:tcPr>
          <w:p>
            <w:pPr>
              <w:ind w:left="80"/>
              <w:spacing w:after="0"/>
              <w:rPr>
                <w:sz w:val="20"/>
                <w:szCs w:val="20"/>
                <w:color w:val="auto"/>
              </w:rPr>
            </w:pPr>
            <w:r>
              <w:rPr>
                <w:rFonts w:ascii="Arial" w:cs="Arial" w:eastAsia="Arial" w:hAnsi="Arial"/>
                <w:sz w:val="16"/>
                <w:szCs w:val="16"/>
                <w:color w:val="auto"/>
              </w:rPr>
              <w:t>early stages of their careers.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-606425</wp:posOffset>
            </wp:positionV>
            <wp:extent cx="565785"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 cy="377190"/>
                    </a:xfrm>
                    <a:prstGeom prst="rect">
                      <a:avLst/>
                    </a:prstGeom>
                    <a:noFill/>
                  </pic:spPr>
                </pic:pic>
              </a:graphicData>
            </a:graphic>
          </wp:anchor>
        </w:drawing>
      </w:r>
    </w:p>
    <w:p>
      <w:pPr>
        <w:spacing w:after="0" w:line="3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32"/>
          <w:szCs w:val="32"/>
          <w:b w:val="1"/>
          <w:bCs w:val="1"/>
          <w:color w:val="006DB6"/>
          <w:vertAlign w:val="superscript"/>
        </w:rPr>
        <w:t>SAFETY</w:t>
      </w:r>
      <w:r>
        <w:rPr>
          <w:sz w:val="20"/>
          <w:szCs w:val="20"/>
          <w:color w:val="auto"/>
        </w:rPr>
        <w:tab/>
      </w:r>
      <w:r>
        <w:rPr>
          <w:rFonts w:ascii="Arial" w:cs="Arial" w:eastAsia="Arial" w:hAnsi="Arial"/>
          <w:sz w:val="16"/>
          <w:szCs w:val="16"/>
          <w:color w:val="006DB6"/>
        </w:rPr>
        <w:t xml:space="preserve">• </w:t>
      </w:r>
      <w:r>
        <w:rPr>
          <w:rFonts w:ascii="Arial" w:cs="Arial" w:eastAsia="Arial" w:hAnsi="Arial"/>
          <w:sz w:val="16"/>
          <w:szCs w:val="16"/>
          <w:color w:val="000000"/>
        </w:rPr>
        <w:t>Our safety culture is driven by our leaders, in conjunction with active employee engagement - we follow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15875</wp:posOffset>
            </wp:positionV>
            <wp:extent cx="480060"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 cy="368300"/>
                    </a:xfrm>
                    <a:prstGeom prst="rect">
                      <a:avLst/>
                    </a:prstGeom>
                    <a:noFill/>
                  </pic:spPr>
                </pic:pic>
              </a:graphicData>
            </a:graphic>
          </wp:anchor>
        </w:drawing>
      </w:r>
    </w:p>
    <w:p>
      <w:pPr>
        <w:spacing w:after="0" w:line="34" w:lineRule="exact"/>
        <w:rPr>
          <w:sz w:val="20"/>
          <w:szCs w:val="20"/>
          <w:color w:val="auto"/>
        </w:rPr>
      </w:pPr>
    </w:p>
    <w:p>
      <w:pPr>
        <w:ind w:left="2140" w:right="120"/>
        <w:spacing w:after="0" w:line="283" w:lineRule="auto"/>
        <w:rPr>
          <w:sz w:val="20"/>
          <w:szCs w:val="20"/>
          <w:color w:val="auto"/>
        </w:rPr>
      </w:pPr>
      <w:r>
        <w:rPr>
          <w:rFonts w:ascii="Arial" w:cs="Arial" w:eastAsia="Arial" w:hAnsi="Arial"/>
          <w:sz w:val="16"/>
          <w:szCs w:val="16"/>
          <w:color w:val="auto"/>
        </w:rPr>
        <w:t>of "Making Zero Count" while focusing on effective leadership, worker competency and promoting a safety culture throughout the entire organization.</w:t>
      </w:r>
    </w:p>
    <w:p>
      <w:pPr>
        <w:spacing w:after="0" w:line="9" w:lineRule="exact"/>
        <w:rPr>
          <w:sz w:val="20"/>
          <w:szCs w:val="20"/>
          <w:color w:val="auto"/>
        </w:rPr>
      </w:pPr>
    </w:p>
    <w:p>
      <w:pPr>
        <w:ind w:left="2140" w:right="100" w:hanging="197"/>
        <w:spacing w:after="0" w:line="299" w:lineRule="auto"/>
        <w:tabs>
          <w:tab w:leader="none" w:pos="2110" w:val="left"/>
        </w:tabs>
        <w:numPr>
          <w:ilvl w:val="0"/>
          <w:numId w:val="6"/>
        </w:numPr>
        <w:rPr>
          <w:rFonts w:ascii="Arial" w:cs="Arial" w:eastAsia="Arial" w:hAnsi="Arial"/>
          <w:sz w:val="16"/>
          <w:szCs w:val="16"/>
          <w:color w:val="006DB6"/>
        </w:rPr>
      </w:pPr>
      <w:r>
        <w:rPr>
          <w:rFonts w:ascii="Arial" w:cs="Arial" w:eastAsia="Arial" w:hAnsi="Arial"/>
          <w:sz w:val="16"/>
          <w:szCs w:val="16"/>
          <w:color w:val="auto"/>
        </w:rPr>
        <w:t>Our global Total Recordable Incident Rate of 0.27 is significantly lower than the U.S. Worker's Camp industry average of 0.60, two times better than industry average.</w:t>
      </w:r>
    </w:p>
    <w:p>
      <w:pPr>
        <w:ind w:left="2100" w:hanging="157"/>
        <w:spacing w:after="0"/>
        <w:tabs>
          <w:tab w:leader="none" w:pos="2100" w:val="left"/>
        </w:tabs>
        <w:numPr>
          <w:ilvl w:val="0"/>
          <w:numId w:val="6"/>
        </w:numPr>
        <w:rPr>
          <w:rFonts w:ascii="Arial" w:cs="Arial" w:eastAsia="Arial" w:hAnsi="Arial"/>
          <w:sz w:val="16"/>
          <w:szCs w:val="16"/>
          <w:color w:val="006DB6"/>
        </w:rPr>
      </w:pPr>
      <w:r>
        <w:rPr>
          <w:rFonts w:ascii="Arial" w:cs="Arial" w:eastAsia="Arial" w:hAnsi="Arial"/>
          <w:sz w:val="16"/>
          <w:szCs w:val="16"/>
          <w:color w:val="auto"/>
        </w:rPr>
        <w:t>Three consecutive years without a lost-time incident in North America.</w:t>
      </w:r>
    </w:p>
    <w:p>
      <w:pPr>
        <w:spacing w:after="0" w:line="86" w:lineRule="exact"/>
        <w:rPr>
          <w:rFonts w:ascii="Arial" w:cs="Arial" w:eastAsia="Arial" w:hAnsi="Arial"/>
          <w:sz w:val="16"/>
          <w:szCs w:val="16"/>
          <w:color w:val="006DB6"/>
        </w:rPr>
      </w:pPr>
    </w:p>
    <w:p>
      <w:pPr>
        <w:ind w:left="2140" w:right="180" w:hanging="197"/>
        <w:spacing w:after="0" w:line="304" w:lineRule="auto"/>
        <w:tabs>
          <w:tab w:leader="none" w:pos="2110" w:val="left"/>
        </w:tabs>
        <w:numPr>
          <w:ilvl w:val="0"/>
          <w:numId w:val="6"/>
        </w:numPr>
        <w:rPr>
          <w:rFonts w:ascii="Arial" w:cs="Arial" w:eastAsia="Arial" w:hAnsi="Arial"/>
          <w:sz w:val="16"/>
          <w:szCs w:val="16"/>
          <w:color w:val="006DB6"/>
        </w:rPr>
      </w:pPr>
      <w:r>
        <w:rPr>
          <w:rFonts w:ascii="Arial" w:cs="Arial" w:eastAsia="Arial" w:hAnsi="Arial"/>
          <w:sz w:val="16"/>
          <w:szCs w:val="16"/>
          <w:color w:val="auto"/>
        </w:rPr>
        <w:t>Continued the use of in-vehicle monitoring systems in our vehicle fleet and our Journey Management Tool with online hazard assessment and automated check-ins.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COMMUNITY</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3600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197" w:right="160" w:hanging="197"/>
        <w:spacing w:after="0" w:line="286" w:lineRule="auto"/>
        <w:tabs>
          <w:tab w:leader="none" w:pos="167" w:val="left"/>
        </w:tabs>
        <w:numPr>
          <w:ilvl w:val="0"/>
          <w:numId w:val="7"/>
        </w:numPr>
        <w:rPr>
          <w:rFonts w:ascii="Arial" w:cs="Arial" w:eastAsia="Arial" w:hAnsi="Arial"/>
          <w:sz w:val="16"/>
          <w:szCs w:val="16"/>
          <w:color w:val="006DB6"/>
        </w:rPr>
      </w:pPr>
      <w:r>
        <w:rPr>
          <w:rFonts w:ascii="Arial" w:cs="Arial" w:eastAsia="Arial" w:hAnsi="Arial"/>
          <w:sz w:val="16"/>
          <w:szCs w:val="16"/>
          <w:color w:val="auto"/>
        </w:rPr>
        <w:t>Since 2013, we have supported more than 27 schools across New South Wales, Queensland and Western Australia with our School Mates grants.</w:t>
      </w:r>
    </w:p>
    <w:p>
      <w:pPr>
        <w:spacing w:after="0" w:line="20" w:lineRule="exact"/>
        <w:rPr>
          <w:rFonts w:ascii="Arial" w:cs="Arial" w:eastAsia="Arial" w:hAnsi="Arial"/>
          <w:sz w:val="16"/>
          <w:szCs w:val="16"/>
          <w:color w:val="006DB6"/>
        </w:rPr>
      </w:pPr>
    </w:p>
    <w:p>
      <w:pPr>
        <w:ind w:left="157" w:hanging="157"/>
        <w:spacing w:after="0"/>
        <w:tabs>
          <w:tab w:leader="none" w:pos="157" w:val="left"/>
        </w:tabs>
        <w:numPr>
          <w:ilvl w:val="0"/>
          <w:numId w:val="7"/>
        </w:numPr>
        <w:rPr>
          <w:rFonts w:ascii="Arial" w:cs="Arial" w:eastAsia="Arial" w:hAnsi="Arial"/>
          <w:sz w:val="16"/>
          <w:szCs w:val="16"/>
          <w:color w:val="006DB6"/>
        </w:rPr>
      </w:pPr>
      <w:r>
        <w:rPr>
          <w:rFonts w:ascii="Arial" w:cs="Arial" w:eastAsia="Arial" w:hAnsi="Arial"/>
          <w:sz w:val="16"/>
          <w:szCs w:val="16"/>
          <w:color w:val="auto"/>
        </w:rPr>
        <w:t>Community Investment Committee worked to build and donate kits filled with school supplies to various schools in the area.</w:t>
      </w:r>
    </w:p>
    <w:p>
      <w:pPr>
        <w:spacing w:after="0" w:line="86" w:lineRule="exact"/>
        <w:rPr>
          <w:rFonts w:ascii="Arial" w:cs="Arial" w:eastAsia="Arial" w:hAnsi="Arial"/>
          <w:sz w:val="16"/>
          <w:szCs w:val="16"/>
          <w:color w:val="006DB6"/>
        </w:rPr>
      </w:pPr>
    </w:p>
    <w:p>
      <w:pPr>
        <w:ind w:left="157" w:hanging="157"/>
        <w:spacing w:after="0"/>
        <w:tabs>
          <w:tab w:leader="none" w:pos="157" w:val="left"/>
        </w:tabs>
        <w:numPr>
          <w:ilvl w:val="0"/>
          <w:numId w:val="7"/>
        </w:numPr>
        <w:rPr>
          <w:rFonts w:ascii="Arial" w:cs="Arial" w:eastAsia="Arial" w:hAnsi="Arial"/>
          <w:sz w:val="16"/>
          <w:szCs w:val="16"/>
          <w:color w:val="006DB6"/>
        </w:rPr>
      </w:pPr>
      <w:r>
        <w:rPr>
          <w:rFonts w:ascii="Arial" w:cs="Arial" w:eastAsia="Arial" w:hAnsi="Arial"/>
          <w:sz w:val="16"/>
          <w:szCs w:val="16"/>
          <w:color w:val="auto"/>
        </w:rPr>
        <w:t>Received the Restaurant &amp; Catering Australia Hostplus Award for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106680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343"/>
            <w:col w:w="9257"/>
          </w:cols>
          <w:pgMar w:left="320" w:top="233" w:right="379" w:bottom="1440" w:gutter="0" w:footer="0" w:header="0"/>
          <w:type w:val="continuous"/>
        </w:sectPr>
      </w:pPr>
    </w:p>
    <w:p>
      <w:pPr>
        <w:spacing w:after="0" w:line="35"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INDIGENOUS</w:t>
      </w:r>
    </w:p>
    <w:p>
      <w:pPr>
        <w:spacing w:after="0" w:line="35"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531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97" w:right="20" w:hanging="197"/>
        <w:spacing w:after="0" w:line="286"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In 2025, we purchased more than C$20.5 million in goods and services from the Indigenous business community, representing 15% of our total Canadian local spending.</w:t>
      </w:r>
    </w:p>
    <w:p>
      <w:pPr>
        <w:spacing w:after="0" w:line="20" w:lineRule="exact"/>
        <w:rPr>
          <w:rFonts w:ascii="Arial" w:cs="Arial" w:eastAsia="Arial" w:hAnsi="Arial"/>
          <w:sz w:val="16"/>
          <w:szCs w:val="16"/>
          <w:color w:val="006DB6"/>
        </w:rPr>
      </w:pPr>
    </w:p>
    <w:p>
      <w:pPr>
        <w:ind w:left="197" w:right="140" w:hanging="197"/>
        <w:spacing w:after="0" w:line="286"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We spent approximately A$17.4 million with Indigenous-owned and operated companies in Australia in 2025, a 14% increase from 2024.</w:t>
      </w:r>
    </w:p>
    <w:p>
      <w:pPr>
        <w:spacing w:after="0" w:line="20" w:lineRule="exact"/>
        <w:rPr>
          <w:rFonts w:ascii="Arial" w:cs="Arial" w:eastAsia="Arial" w:hAnsi="Arial"/>
          <w:sz w:val="16"/>
          <w:szCs w:val="16"/>
          <w:color w:val="006DB6"/>
        </w:rPr>
      </w:pPr>
    </w:p>
    <w:p>
      <w:pPr>
        <w:ind w:left="197" w:right="680" w:hanging="197"/>
        <w:spacing w:after="0" w:line="286"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Civeo Canada received an Indigenous Procurement Champion designation from the Canadian Council for Indigenous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73660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1540" w:space="403"/>
            <w:col w:w="9257"/>
          </w:cols>
          <w:pgMar w:left="320" w:top="233" w:right="379" w:bottom="1440" w:gutter="0" w:footer="0" w:header="0"/>
          <w:type w:val="continuous"/>
        </w:sectPr>
      </w:pPr>
    </w:p>
    <w:p>
      <w:pPr>
        <w:jc w:val="center"/>
        <w:ind w:left="260"/>
        <w:spacing w:after="0"/>
        <w:rPr>
          <w:sz w:val="20"/>
          <w:szCs w:val="20"/>
          <w:color w:val="auto"/>
        </w:rPr>
      </w:pPr>
      <w:r>
        <w:rPr>
          <w:rFonts w:ascii="Arial" w:cs="Arial" w:eastAsia="Arial" w:hAnsi="Arial"/>
          <w:sz w:val="16"/>
          <w:szCs w:val="16"/>
          <w:b w:val="1"/>
          <w:bCs w:val="1"/>
          <w:color w:val="006DB6"/>
        </w:rPr>
        <w:t>ENVIRONMENTAL</w:t>
      </w:r>
    </w:p>
    <w:p>
      <w:pPr>
        <w:spacing w:after="0" w:line="35"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006DB6"/>
        </w:rPr>
        <w:t>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505460" cy="488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46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7" w:hanging="197"/>
        <w:spacing w:after="0" w:line="268"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Continued with Containers for Change, in both Australia and Canada, where empty eligible drink containers can be returned for a refund helping reduce the amount of plastic waste. The refunded money goes directly to local organizations and charities.</w:t>
      </w:r>
    </w:p>
    <w:p>
      <w:pPr>
        <w:spacing w:after="0" w:line="21" w:lineRule="exact"/>
        <w:rPr>
          <w:rFonts w:ascii="Arial" w:cs="Arial" w:eastAsia="Arial" w:hAnsi="Arial"/>
          <w:sz w:val="16"/>
          <w:szCs w:val="16"/>
          <w:color w:val="006DB6"/>
        </w:rPr>
      </w:pPr>
    </w:p>
    <w:p>
      <w:pPr>
        <w:ind w:left="157" w:hanging="157"/>
        <w:spacing w:after="0"/>
        <w:tabs>
          <w:tab w:leader="none" w:pos="15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Dewatering infrastructure at wastewater plants in both Canada and Australia.</w:t>
      </w:r>
    </w:p>
    <w:p>
      <w:pPr>
        <w:spacing w:after="0" w:line="86" w:lineRule="exact"/>
        <w:rPr>
          <w:rFonts w:ascii="Arial" w:cs="Arial" w:eastAsia="Arial" w:hAnsi="Arial"/>
          <w:sz w:val="16"/>
          <w:szCs w:val="16"/>
          <w:color w:val="006DB6"/>
        </w:rPr>
      </w:pPr>
    </w:p>
    <w:p>
      <w:pPr>
        <w:ind w:left="157" w:hanging="157"/>
        <w:spacing w:after="0"/>
        <w:tabs>
          <w:tab w:leader="none" w:pos="15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Working to eliminate single-use paper bags by giving guests reusable lunch bags.</w:t>
      </w:r>
    </w:p>
    <w:p>
      <w:pPr>
        <w:spacing w:after="0" w:line="72" w:lineRule="exact"/>
        <w:rPr>
          <w:rFonts w:ascii="Arial" w:cs="Arial" w:eastAsia="Arial" w:hAnsi="Arial"/>
          <w:sz w:val="16"/>
          <w:szCs w:val="16"/>
          <w:color w:val="006DB6"/>
        </w:rPr>
      </w:pPr>
    </w:p>
    <w:p>
      <w:pPr>
        <w:ind w:left="157" w:hanging="157"/>
        <w:spacing w:after="0"/>
        <w:tabs>
          <w:tab w:leader="none" w:pos="15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Received the 2025 ESG Innovator Award from Avetta in Canada.</w:t>
      </w:r>
    </w:p>
    <w:p>
      <w:pPr>
        <w:spacing w:after="0" w:line="72" w:lineRule="exact"/>
        <w:rPr>
          <w:rFonts w:ascii="Arial" w:cs="Arial" w:eastAsia="Arial" w:hAnsi="Arial"/>
          <w:sz w:val="16"/>
          <w:szCs w:val="16"/>
          <w:color w:val="006DB6"/>
        </w:rPr>
      </w:pPr>
    </w:p>
    <w:p>
      <w:pPr>
        <w:ind w:left="197" w:right="740" w:hanging="197"/>
        <w:spacing w:after="0" w:line="268"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Coppabella along with its Water and Wastewater Treatment Plant has obtained and continues to maintain ISO 14001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65405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660" w:space="283"/>
            <w:col w:w="9257"/>
          </w:cols>
          <w:pgMar w:left="320" w:top="233" w:right="379" w:bottom="1440" w:gutter="0" w:footer="0" w:header="0"/>
          <w:type w:val="continuous"/>
        </w:sectPr>
      </w:pPr>
    </w:p>
    <w:tbl>
      <w:tblPr>
        <w:tblLayout w:type="fixed"/>
        <w:tblInd w:w="340" w:type="dxa"/>
        <w:tblCellMar>
          <w:top w:w="0" w:type="dxa"/>
          <w:left w:w="0" w:type="dxa"/>
          <w:bottom w:w="0" w:type="dxa"/>
          <w:right w:w="0" w:type="dxa"/>
        </w:tblCellMar>
      </w:tblPr>
      <w:tr>
        <w:trPr>
          <w:trHeight w:val="203"/>
        </w:trPr>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006DB6"/>
              </w:rPr>
              <w:t>SHAREHOLDER</w:t>
            </w:r>
          </w:p>
        </w:tc>
        <w:tc>
          <w:tcPr>
            <w:tcW w:w="9400" w:type="dxa"/>
            <w:vAlign w:val="bottom"/>
            <w:vMerge w:val="restart"/>
          </w:tcPr>
          <w:p>
            <w:pPr>
              <w:ind w:left="1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2025, we met with shareholders representing over 52% of our outstanding shares regarding the Company's operations,</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006DB6"/>
              </w:rPr>
              <w:t>ENGAGEMENT</w:t>
            </w: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420" w:type="dxa"/>
            <w:vAlign w:val="bottom"/>
            <w:vMerge w:val="continue"/>
          </w:tcPr>
          <w:p>
            <w:pPr>
              <w:spacing w:after="0"/>
              <w:rPr>
                <w:sz w:val="13"/>
                <w:szCs w:val="13"/>
                <w:color w:val="auto"/>
              </w:rPr>
            </w:pPr>
          </w:p>
        </w:tc>
        <w:tc>
          <w:tcPr>
            <w:tcW w:w="9400" w:type="dxa"/>
            <w:vAlign w:val="bottom"/>
            <w:vMerge w:val="restart"/>
          </w:tcPr>
          <w:p>
            <w:pPr>
              <w:ind w:left="380"/>
              <w:spacing w:after="0"/>
              <w:rPr>
                <w:sz w:val="20"/>
                <w:szCs w:val="20"/>
                <w:color w:val="auto"/>
              </w:rPr>
            </w:pPr>
            <w:r>
              <w:rPr>
                <w:rFonts w:ascii="Arial" w:cs="Arial" w:eastAsia="Arial" w:hAnsi="Arial"/>
                <w:sz w:val="16"/>
                <w:szCs w:val="16"/>
                <w:color w:val="auto"/>
              </w:rPr>
              <w:t>financial results, strategy and executive compensation matters.</w:t>
            </w:r>
          </w:p>
        </w:tc>
        <w:tc>
          <w:tcPr>
            <w:tcW w:w="0" w:type="dxa"/>
            <w:vAlign w:val="bottom"/>
          </w:tcPr>
          <w:p>
            <w:pPr>
              <w:spacing w:after="0"/>
              <w:rPr>
                <w:sz w:val="1"/>
                <w:szCs w:val="1"/>
                <w:color w:val="auto"/>
              </w:rPr>
            </w:pPr>
          </w:p>
        </w:tc>
      </w:tr>
      <w:tr>
        <w:trPr>
          <w:trHeight w:val="60"/>
        </w:trPr>
        <w:tc>
          <w:tcPr>
            <w:tcW w:w="1420" w:type="dxa"/>
            <w:vAlign w:val="bottom"/>
          </w:tcPr>
          <w:p>
            <w:pPr>
              <w:spacing w:after="0"/>
              <w:rPr>
                <w:sz w:val="5"/>
                <w:szCs w:val="5"/>
                <w:color w:val="auto"/>
              </w:rPr>
            </w:pP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-49530</wp:posOffset>
            </wp:positionV>
            <wp:extent cx="480060"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0060" cy="3600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807085</wp:posOffset>
            </wp:positionV>
            <wp:extent cx="394335"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916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30</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Program Components</w:t>
      </w:r>
    </w:p>
    <w:p>
      <w:pPr>
        <w:spacing w:after="0" w:line="14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0628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Base</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Annual Incentive Compensation</w:t>
            </w:r>
          </w:p>
        </w:tc>
        <w:tc>
          <w:tcPr>
            <w:tcW w:w="3740" w:type="dxa"/>
            <w:vAlign w:val="bottom"/>
          </w:tcPr>
          <w:p>
            <w:pPr>
              <w:ind w:left="160"/>
              <w:spacing w:after="0"/>
              <w:rPr>
                <w:sz w:val="20"/>
                <w:szCs w:val="20"/>
                <w:color w:val="auto"/>
              </w:rPr>
            </w:pPr>
            <w:r>
              <w:rPr>
                <w:rFonts w:ascii="Arial" w:cs="Arial" w:eastAsia="Arial" w:hAnsi="Arial"/>
                <w:sz w:val="14"/>
                <w:szCs w:val="14"/>
                <w:color w:val="FFC03C"/>
              </w:rPr>
              <w:t>Long-Term</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Salary</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Plan ("AICP")</w:t>
            </w:r>
          </w:p>
        </w:tc>
        <w:tc>
          <w:tcPr>
            <w:tcW w:w="3740" w:type="dxa"/>
            <w:vAlign w:val="bottom"/>
          </w:tcPr>
          <w:p>
            <w:pPr>
              <w:ind w:left="160"/>
              <w:spacing w:after="0"/>
              <w:rPr>
                <w:sz w:val="20"/>
                <w:szCs w:val="20"/>
                <w:color w:val="auto"/>
              </w:rPr>
            </w:pPr>
            <w:r>
              <w:rPr>
                <w:rFonts w:ascii="Arial" w:cs="Arial" w:eastAsia="Arial" w:hAnsi="Arial"/>
                <w:sz w:val="14"/>
                <w:szCs w:val="14"/>
                <w:color w:val="FFC03C"/>
              </w:rPr>
              <w:t>Incentive Plan ("LTIP")</w:t>
            </w:r>
          </w:p>
        </w:tc>
      </w:tr>
      <w:tr>
        <w:trPr>
          <w:trHeight w:val="123"/>
        </w:trPr>
        <w:tc>
          <w:tcPr>
            <w:tcW w:w="36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303"/>
        </w:trPr>
        <w:tc>
          <w:tcPr>
            <w:tcW w:w="3660" w:type="dxa"/>
            <w:vAlign w:val="bottom"/>
          </w:tcPr>
          <w:p>
            <w:pPr>
              <w:ind w:left="20"/>
              <w:spacing w:after="0"/>
              <w:rPr>
                <w:sz w:val="20"/>
                <w:szCs w:val="20"/>
                <w:color w:val="auto"/>
              </w:rPr>
            </w:pPr>
            <w:r>
              <w:rPr>
                <w:rFonts w:ascii="Arial" w:cs="Arial" w:eastAsia="Arial" w:hAnsi="Arial"/>
                <w:sz w:val="16"/>
                <w:szCs w:val="16"/>
                <w:color w:val="auto"/>
              </w:rPr>
              <w:t>Base salary recognizes the job being performed,</w:t>
            </w:r>
          </w:p>
        </w:tc>
        <w:tc>
          <w:tcPr>
            <w:tcW w:w="3800" w:type="dxa"/>
            <w:vAlign w:val="bottom"/>
          </w:tcPr>
          <w:p>
            <w:pPr>
              <w:ind w:left="140"/>
              <w:spacing w:after="0"/>
              <w:rPr>
                <w:sz w:val="20"/>
                <w:szCs w:val="20"/>
                <w:color w:val="auto"/>
              </w:rPr>
            </w:pPr>
            <w:r>
              <w:rPr>
                <w:rFonts w:ascii="Arial" w:cs="Arial" w:eastAsia="Arial" w:hAnsi="Arial"/>
                <w:sz w:val="16"/>
                <w:szCs w:val="16"/>
                <w:color w:val="auto"/>
              </w:rPr>
              <w:t>The key objectives of Civeo’s AICP are to reward</w:t>
            </w:r>
          </w:p>
        </w:tc>
        <w:tc>
          <w:tcPr>
            <w:tcW w:w="3740" w:type="dxa"/>
            <w:vAlign w:val="bottom"/>
          </w:tcPr>
          <w:p>
            <w:pPr>
              <w:ind w:left="160"/>
              <w:spacing w:after="0"/>
              <w:rPr>
                <w:sz w:val="20"/>
                <w:szCs w:val="20"/>
                <w:color w:val="auto"/>
              </w:rPr>
            </w:pPr>
            <w:r>
              <w:rPr>
                <w:rFonts w:ascii="Arial" w:cs="Arial" w:eastAsia="Arial" w:hAnsi="Arial"/>
                <w:sz w:val="16"/>
                <w:szCs w:val="16"/>
                <w:color w:val="auto"/>
              </w:rPr>
              <w:t>Civeo’s LTIP, established under the Equity</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seniority and tenure and the value of</w:t>
            </w:r>
          </w:p>
        </w:tc>
        <w:tc>
          <w:tcPr>
            <w:tcW w:w="3800" w:type="dxa"/>
            <w:vAlign w:val="bottom"/>
          </w:tcPr>
          <w:p>
            <w:pPr>
              <w:ind w:left="140"/>
              <w:spacing w:after="0"/>
              <w:rPr>
                <w:sz w:val="20"/>
                <w:szCs w:val="20"/>
                <w:color w:val="auto"/>
              </w:rPr>
            </w:pPr>
            <w:r>
              <w:rPr>
                <w:rFonts w:ascii="Arial" w:cs="Arial" w:eastAsia="Arial" w:hAnsi="Arial"/>
                <w:sz w:val="16"/>
                <w:szCs w:val="16"/>
                <w:color w:val="auto"/>
              </w:rPr>
              <w:t>the achievement of defined annual financial and</w:t>
            </w:r>
          </w:p>
        </w:tc>
        <w:tc>
          <w:tcPr>
            <w:tcW w:w="3740" w:type="dxa"/>
            <w:vAlign w:val="bottom"/>
          </w:tcPr>
          <w:p>
            <w:pPr>
              <w:ind w:left="160"/>
              <w:spacing w:after="0"/>
              <w:rPr>
                <w:sz w:val="20"/>
                <w:szCs w:val="20"/>
                <w:color w:val="auto"/>
              </w:rPr>
            </w:pPr>
            <w:r>
              <w:rPr>
                <w:rFonts w:ascii="Arial" w:cs="Arial" w:eastAsia="Arial" w:hAnsi="Arial"/>
                <w:sz w:val="16"/>
                <w:szCs w:val="16"/>
                <w:color w:val="auto"/>
              </w:rPr>
              <w:t>Participation Plan ("EPP"), provides an additional</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that job in the competitive market. Base salary</w:t>
            </w:r>
          </w:p>
        </w:tc>
        <w:tc>
          <w:tcPr>
            <w:tcW w:w="3800" w:type="dxa"/>
            <w:vAlign w:val="bottom"/>
          </w:tcPr>
          <w:p>
            <w:pPr>
              <w:ind w:left="140"/>
              <w:spacing w:after="0"/>
              <w:rPr>
                <w:sz w:val="20"/>
                <w:szCs w:val="20"/>
                <w:color w:val="auto"/>
              </w:rPr>
            </w:pPr>
            <w:r>
              <w:rPr>
                <w:rFonts w:ascii="Arial" w:cs="Arial" w:eastAsia="Arial" w:hAnsi="Arial"/>
                <w:sz w:val="16"/>
                <w:szCs w:val="16"/>
                <w:color w:val="auto"/>
              </w:rPr>
              <w:t>safety objectives and to incentivize employee</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to executives to grow shareholder value</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must be sufficient to attract and retain the</w:t>
            </w:r>
          </w:p>
        </w:tc>
        <w:tc>
          <w:tcPr>
            <w:tcW w:w="3800" w:type="dxa"/>
            <w:vAlign w:val="bottom"/>
          </w:tcPr>
          <w:p>
            <w:pPr>
              <w:ind w:left="140"/>
              <w:spacing w:after="0"/>
              <w:rPr>
                <w:sz w:val="20"/>
                <w:szCs w:val="20"/>
                <w:color w:val="auto"/>
              </w:rPr>
            </w:pPr>
            <w:r>
              <w:rPr>
                <w:rFonts w:ascii="Arial" w:cs="Arial" w:eastAsia="Arial" w:hAnsi="Arial"/>
                <w:sz w:val="16"/>
                <w:szCs w:val="16"/>
                <w:color w:val="auto"/>
              </w:rPr>
              <w:t>activities that will continually improve Civeo, both</w:t>
            </w:r>
          </w:p>
        </w:tc>
        <w:tc>
          <w:tcPr>
            <w:tcW w:w="3740" w:type="dxa"/>
            <w:vAlign w:val="bottom"/>
          </w:tcPr>
          <w:p>
            <w:pPr>
              <w:ind w:left="160"/>
              <w:spacing w:after="0"/>
              <w:rPr>
                <w:sz w:val="20"/>
                <w:szCs w:val="20"/>
                <w:color w:val="auto"/>
              </w:rPr>
            </w:pPr>
            <w:r>
              <w:rPr>
                <w:rFonts w:ascii="Arial" w:cs="Arial" w:eastAsia="Arial" w:hAnsi="Arial"/>
                <w:sz w:val="16"/>
                <w:szCs w:val="16"/>
                <w:color w:val="auto"/>
              </w:rPr>
              <w:t>through ownership of Civeo common shares or</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talent necessary for our success and</w:t>
            </w:r>
          </w:p>
        </w:tc>
        <w:tc>
          <w:tcPr>
            <w:tcW w:w="3800" w:type="dxa"/>
            <w:vAlign w:val="bottom"/>
          </w:tcPr>
          <w:p>
            <w:pPr>
              <w:ind w:left="140"/>
              <w:spacing w:after="0"/>
              <w:rPr>
                <w:sz w:val="20"/>
                <w:szCs w:val="20"/>
                <w:color w:val="auto"/>
              </w:rPr>
            </w:pPr>
            <w:r>
              <w:rPr>
                <w:rFonts w:ascii="Arial" w:cs="Arial" w:eastAsia="Arial" w:hAnsi="Arial"/>
                <w:sz w:val="16"/>
                <w:szCs w:val="16"/>
                <w:color w:val="auto"/>
              </w:rPr>
              <w:t>on a business unit and company-wide basis.</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awards directly linked to Civeo’s share</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provides a fixed element of compensation to</w:t>
            </w:r>
          </w:p>
        </w:tc>
        <w:tc>
          <w:tcPr>
            <w:tcW w:w="3800" w:type="dxa"/>
            <w:vAlign w:val="bottom"/>
          </w:tcPr>
          <w:p>
            <w:pPr>
              <w:spacing w:after="0"/>
              <w:rPr>
                <w:sz w:val="17"/>
                <w:szCs w:val="17"/>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price and supports our efforts to attract and retain</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avoid fluctuations in compensation that could</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highly qualified executives to grow and develop</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distract our executives from the performance of</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Civeo in our competitive and cyclical industry.</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their responsibilities.</w:t>
            </w:r>
          </w:p>
        </w:tc>
        <w:tc>
          <w:tcPr>
            <w:tcW w:w="38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7"/>
        </w:trPr>
        <w:tc>
          <w:tcPr>
            <w:tcW w:w="36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3</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Approval of an Amendment to the 2014 Equity Participation Plan</w:t>
      </w:r>
    </w:p>
    <w:p>
      <w:pPr>
        <w:spacing w:after="0" w:line="31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57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2014 Equity Participation Plan of Civeo Corporation (the “EPP”) was originally approved on May 4, 2014, by Oil States International, Inc., our sole shareholder at the time. The EPP was amended and restated on July 17, 2015 and again on May 12, 2016, and thereafter amended effective as of January 1, 2017, May 10, 2018, June 9, 2020 and May 17, 2023. Our board of directors most recently approved an amendment to the EPP on March 25, 2026, subject to shareholder approval. If approved, the number of shares reserved for issuance pursuant to awards under the EPP will be increased by 520,920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and the other changes outlined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139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4</w:t>
      </w:r>
    </w:p>
    <w:p>
      <w:pPr>
        <w:spacing w:after="0" w:line="62" w:lineRule="exact"/>
        <w:rPr>
          <w:sz w:val="20"/>
          <w:szCs w:val="20"/>
          <w:color w:val="auto"/>
        </w:rPr>
      </w:pPr>
    </w:p>
    <w:p>
      <w:pPr>
        <w:ind w:left="20" w:right="640"/>
        <w:spacing w:after="0" w:line="332" w:lineRule="auto"/>
        <w:rPr>
          <w:sz w:val="20"/>
          <w:szCs w:val="20"/>
          <w:color w:val="auto"/>
        </w:rPr>
      </w:pPr>
      <w:r>
        <w:rPr>
          <w:rFonts w:ascii="Arial" w:cs="Arial" w:eastAsia="Arial" w:hAnsi="Arial"/>
          <w:sz w:val="25"/>
          <w:szCs w:val="25"/>
          <w:b w:val="1"/>
          <w:bCs w:val="1"/>
          <w:color w:val="006DB6"/>
        </w:rPr>
        <w:t>Ratification of Ernst &amp; Young LLP as Civeo’s Independent Registered Public Accounting Firm</w:t>
      </w:r>
    </w:p>
    <w:p>
      <w:pPr>
        <w:spacing w:after="0" w:line="17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64</w:t>
      </w: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 of our board of directors has determined that the accounting firm of Ernst &amp; Young ("E&amp;Y") is independent from the Company and once again selected E&amp;Y as the Company’s independent auditors for the year ending December 31, 2026. E&amp;Y has conducted the examination of the Company’s financial statements since the year ended December 31, 2010.</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Independent Registered Public Accounting Firm’s Fees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2025 and 2024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2025</w:t>
            </w:r>
          </w:p>
        </w:tc>
        <w:tc>
          <w:tcPr>
            <w:tcW w:w="800" w:type="dxa"/>
            <w:vAlign w:val="bottom"/>
          </w:tcPr>
          <w:p>
            <w:pPr>
              <w:jc w:val="right"/>
              <w:spacing w:after="0"/>
              <w:rPr>
                <w:sz w:val="20"/>
                <w:szCs w:val="20"/>
                <w:color w:val="auto"/>
              </w:rPr>
            </w:pPr>
            <w:r>
              <w:rPr>
                <w:rFonts w:ascii="Arial" w:cs="Arial" w:eastAsia="Arial" w:hAnsi="Arial"/>
                <w:sz w:val="13"/>
                <w:szCs w:val="13"/>
                <w:color w:val="auto"/>
              </w:rPr>
              <w:t>2024</w:t>
            </w:r>
          </w:p>
        </w:tc>
      </w:tr>
      <w:tr>
        <w:trPr>
          <w:trHeight w:val="176"/>
        </w:trPr>
        <w:tc>
          <w:tcPr>
            <w:tcW w:w="9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3"/>
        </w:trPr>
        <w:tc>
          <w:tcPr>
            <w:tcW w:w="9400" w:type="dxa"/>
            <w:vAlign w:val="bottom"/>
            <w:tcBorders>
              <w:bottom w:val="single" w:sz="8" w:color="006DB6"/>
            </w:tcBorders>
          </w:tcPr>
          <w:p>
            <w:pPr>
              <w:spacing w:after="0"/>
              <w:rPr>
                <w:sz w:val="2"/>
                <w:szCs w:val="2"/>
                <w:color w:val="auto"/>
              </w:rPr>
            </w:pPr>
          </w:p>
        </w:tc>
        <w:tc>
          <w:tcPr>
            <w:tcW w:w="760" w:type="dxa"/>
            <w:vAlign w:val="bottom"/>
            <w:tcBorders>
              <w:bottom w:val="single" w:sz="8" w:color="006DB6"/>
            </w:tcBorders>
          </w:tcPr>
          <w:p>
            <w:pPr>
              <w:spacing w:after="0"/>
              <w:rPr>
                <w:sz w:val="2"/>
                <w:szCs w:val="2"/>
                <w:color w:val="auto"/>
              </w:rPr>
            </w:pPr>
          </w:p>
        </w:tc>
        <w:tc>
          <w:tcPr>
            <w:tcW w:w="800" w:type="dxa"/>
            <w:vAlign w:val="bottom"/>
            <w:tcBorders>
              <w:bottom w:val="single" w:sz="8" w:color="006DB6"/>
            </w:tcBorders>
          </w:tcPr>
          <w:p>
            <w:pPr>
              <w:spacing w:after="0"/>
              <w:rPr>
                <w:sz w:val="2"/>
                <w:szCs w:val="2"/>
                <w:color w:val="auto"/>
              </w:rPr>
            </w:pPr>
          </w:p>
        </w:tc>
      </w:tr>
      <w:tr>
        <w:trPr>
          <w:trHeight w:val="237"/>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7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2,113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r>
      <w:tr>
        <w:trPr>
          <w:trHeight w:val="237"/>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7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78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7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7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9"/>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b w:val="1"/>
                <w:bCs w:val="1"/>
                <w:color w:val="auto"/>
              </w:rPr>
              <w:t>2,196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556895</wp:posOffset>
            </wp:positionV>
            <wp:extent cx="39433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spacing w:after="0"/>
        <w:rPr>
          <w:sz w:val="20"/>
          <w:szCs w:val="20"/>
          <w:color w:val="auto"/>
        </w:rPr>
      </w:pPr>
      <w:r>
        <w:rPr>
          <w:rFonts w:ascii="Arial" w:cs="Arial" w:eastAsia="Arial" w:hAnsi="Arial"/>
          <w:sz w:val="45"/>
          <w:szCs w:val="4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1</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Six directors have been nominated for election at the annual general meeting to serve as Class II and Class III members of Civeo’s board of directors. Based on the recommendation of our Environmental, Social, Governance and Nominating Committee, Civeo’s board of directors has nominated Bradley J. Dodson, Martin A. Lambert, Constance B. Moore, Richard A. Navarre, Daniel B. Silvers and Timothy O. Wall for election to the six expiring Class II and Class III positions on the board of directors currently held by them, to hold office for a one-year term expiring at the annual general meeting of shareholders in 2027,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As previously announced, Mr. Szalkowski is retiring from the board of directors following the annual general meeting. In addition, Ms. Grewal decided not to be renominated to the board of directors following the annual general meeting. The board of directors thanks Mr. Szalkowski and Ms. Grewal for their years of service to Civeo and our shareholders. After the annual general meeting, the size of the board of directors will be reduced to nine directors.</w:t>
      </w:r>
    </w:p>
    <w:p>
      <w:pPr>
        <w:spacing w:after="0" w:line="8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board of directors has determined that C. Ronald Blankenship, Jay K Grewal, Martin A. Lambert, Michael Montelongo, Constance B. Moore, Richard A. Navarre, Jeffrey B. Scofield, Daniel B. Silvers, Charles Szalkowski and Timothy O. Wall are each “independent,” as that term is defined by the applicable New York Stock Exchange ("NYSE") listing standards. Since Mr. Dodson serves as our President and Chief Executive Officer, Mr. Dodson does not qualify as "independent" in accordance with the applicable NYSE listing standards. See “Board of Directors Structure—Director Independence” for a discussion of director independence determinations. See “Director Biographies” for a brief biography of all directors, including the director nominees.</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Ms. Moore and Messrs. Lambert and Navarre were most recently elected at the annual general meeting in 2025. Messrs. Dodson and Wall were most recently elected at the annual general meeting of shareholders in 2023. In November 2025, the board of directors appointed Mr. Silvers as a Class III director in conjunction with a cooperation agreement between Civeo and Engine Capital LP and certain of its affiliates. A description and copy of the cooperation agreement is available on the Form 8-K filed with the Securities and Exchange Commission (the "SEC") on November 28, 2025.</w:t>
      </w:r>
    </w:p>
    <w:p>
      <w:pPr>
        <w:spacing w:after="0" w:line="6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Each of the nominees is a current member of the Civeo board of directors. Each of the nominees has consented to being named as a nominee in this proxy statement and to continue serving as director if re-elected at the annual general meeting. Although the board of directors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677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310" w:lineRule="exact"/>
        <w:rPr>
          <w:sz w:val="20"/>
          <w:szCs w:val="20"/>
          <w:color w:val="auto"/>
        </w:rPr>
      </w:pPr>
    </w:p>
    <w:p>
      <w:pPr>
        <w:ind w:left="160" w:right="540"/>
        <w:spacing w:after="0" w:line="275"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Directors—Skills and Experience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Qualifications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When identifying our directors appointed to our board of directors, the following are considered:</w:t>
      </w:r>
    </w:p>
    <w:p>
      <w:pPr>
        <w:spacing w:after="0" w:line="11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person’s reputation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person’s qualifications as an independent, disinterested, non-employee or outside director;</w:t>
      </w:r>
    </w:p>
    <w:p>
      <w:pPr>
        <w:spacing w:after="0" w:line="86" w:lineRule="exact"/>
        <w:rPr>
          <w:rFonts w:ascii="Arial" w:cs="Arial" w:eastAsia="Arial" w:hAnsi="Arial"/>
          <w:sz w:val="16"/>
          <w:szCs w:val="16"/>
          <w:color w:val="006DB6"/>
        </w:rPr>
      </w:pPr>
    </w:p>
    <w:p>
      <w:pPr>
        <w:ind w:left="200" w:right="40" w:hanging="192"/>
        <w:spacing w:after="0" w:line="286" w:lineRule="auto"/>
        <w:tabs>
          <w:tab w:leader="none" w:pos="17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number of other public companies for which the person serves as a director and the availability of the person’s time and commitment to Civeo;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the person’s knowledge of the major geographic areas in which we operate or another area of our operational environment.</w:t>
      </w:r>
    </w:p>
    <w:p>
      <w:pPr>
        <w:spacing w:after="0" w:line="73" w:lineRule="exact"/>
        <w:rPr>
          <w:sz w:val="20"/>
          <w:szCs w:val="20"/>
          <w:color w:val="auto"/>
        </w:rPr>
      </w:pPr>
    </w:p>
    <w:p>
      <w:pPr>
        <w:jc w:val="both"/>
        <w:ind w:right="2080"/>
        <w:spacing w:after="0" w:line="256" w:lineRule="auto"/>
        <w:rPr>
          <w:sz w:val="20"/>
          <w:szCs w:val="20"/>
          <w:color w:val="auto"/>
        </w:rPr>
      </w:pPr>
      <w:r>
        <w:rPr>
          <w:rFonts w:ascii="Arial" w:cs="Arial" w:eastAsia="Arial" w:hAnsi="Arial"/>
          <w:sz w:val="16"/>
          <w:szCs w:val="16"/>
          <w:color w:val="auto"/>
        </w:rPr>
        <w:t>Other factors considered include the diversity of the board of directors, including the optimal enhancement of the current mix of educational backgrounds, business industry experience and knowledge of different geographic markets, services and products.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Further, in considering nominees for director, the Environmental, Social, Governance and Nominating Committee considers diversity of viewpoints, expertise and experience. 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91"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We believe the breadth and variety of business experience of each of our continuing directors and director nominees identified in the following table make each of them well qualified to serve on our board of directors. Additional details on each director's attributes, qualifications, experiences and skills are set forth in their individual biographies.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Experience in</w:t>
            </w: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Health Safety &amp;</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Public Company</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Public Company</w:t>
            </w:r>
          </w:p>
        </w:tc>
        <w:tc>
          <w:tcPr>
            <w:tcW w:w="10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2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Executive</w:t>
            </w:r>
          </w:p>
        </w:tc>
        <w:tc>
          <w:tcPr>
            <w:tcW w:w="106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Accommodations, Real</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International</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Industry of</w:t>
            </w:r>
          </w:p>
        </w:tc>
        <w:tc>
          <w:tcPr>
            <w:tcW w:w="10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Cybersecurity/IT</w:t>
            </w:r>
          </w:p>
        </w:tc>
        <w:tc>
          <w:tcPr>
            <w:tcW w:w="0" w:type="dxa"/>
            <w:vAlign w:val="bottom"/>
          </w:tcPr>
          <w:p>
            <w:pPr>
              <w:spacing w:after="0"/>
              <w:rPr>
                <w:sz w:val="1"/>
                <w:szCs w:val="1"/>
                <w:color w:val="auto"/>
              </w:rPr>
            </w:pPr>
          </w:p>
        </w:tc>
      </w:tr>
      <w:tr>
        <w:trPr>
          <w:trHeight w:val="81"/>
        </w:trPr>
        <w:tc>
          <w:tcPr>
            <w:tcW w:w="12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3"/>
                <w:szCs w:val="13"/>
                <w:color w:val="auto"/>
              </w:rPr>
              <w:t>Financial</w:t>
            </w:r>
          </w:p>
        </w:tc>
        <w:tc>
          <w:tcPr>
            <w:tcW w:w="116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Environment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CEO or C-Suite</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Director</w:t>
            </w: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Leadership</w:t>
            </w:r>
          </w:p>
        </w:tc>
        <w:tc>
          <w:tcPr>
            <w:tcW w:w="10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Estate and Hospitality</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Operations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Primary</w:t>
            </w:r>
          </w:p>
        </w:tc>
        <w:tc>
          <w:tcPr>
            <w:tcW w:w="10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Experience</w:t>
            </w:r>
          </w:p>
        </w:tc>
        <w:tc>
          <w:tcPr>
            <w:tcW w:w="0" w:type="dxa"/>
            <w:vAlign w:val="bottom"/>
          </w:tcPr>
          <w:p>
            <w:pPr>
              <w:spacing w:after="0"/>
              <w:rPr>
                <w:sz w:val="1"/>
                <w:szCs w:val="1"/>
                <w:color w:val="auto"/>
              </w:rPr>
            </w:pPr>
          </w:p>
        </w:tc>
      </w:tr>
      <w:tr>
        <w:trPr>
          <w:trHeight w:val="81"/>
        </w:trPr>
        <w:tc>
          <w:tcPr>
            <w:tcW w:w="12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Experience</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Experience</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Experience</w:t>
            </w: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2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Customers</w:t>
            </w:r>
          </w:p>
        </w:tc>
        <w:tc>
          <w:tcPr>
            <w:tcW w:w="10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2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220" w:type="dxa"/>
            <w:vAlign w:val="bottom"/>
            <w:tcBorders>
              <w:bottom w:val="single" w:sz="8" w:color="006DB6"/>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22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Richard A.</w:t>
            </w: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160" w:type="dxa"/>
            <w:vAlign w:val="bottom"/>
            <w:tcBorders>
              <w:right w:val="single" w:sz="8" w:color="auto"/>
            </w:tcBorders>
            <w:shd w:val="clear" w:color="auto" w:fill="E8EEF7"/>
          </w:tcPr>
          <w:p>
            <w:pPr>
              <w:spacing w:after="0"/>
              <w:rPr>
                <w:sz w:val="14"/>
                <w:szCs w:val="14"/>
                <w:color w:val="auto"/>
              </w:rPr>
            </w:pPr>
          </w:p>
        </w:tc>
        <w:tc>
          <w:tcPr>
            <w:tcW w:w="1020" w:type="dxa"/>
            <w:vAlign w:val="bottom"/>
            <w:tcBorders>
              <w:right w:val="single" w:sz="8" w:color="auto"/>
            </w:tcBorders>
            <w:shd w:val="clear" w:color="auto" w:fill="E8EEF7"/>
          </w:tcPr>
          <w:p>
            <w:pPr>
              <w:spacing w:after="0"/>
              <w:rPr>
                <w:sz w:val="14"/>
                <w:szCs w:val="14"/>
                <w:color w:val="auto"/>
              </w:rPr>
            </w:pPr>
          </w:p>
        </w:tc>
        <w:tc>
          <w:tcPr>
            <w:tcW w:w="90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4"/>
              </w:rPr>
              <w:t>Navarre</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bottom w:val="single" w:sz="8" w:color="E8EEF7"/>
              <w:right w:val="single" w:sz="8" w:color="auto"/>
            </w:tcBorders>
            <w:shd w:val="clear" w:color="auto" w:fill="E8EEF7"/>
          </w:tcPr>
          <w:p>
            <w:pPr>
              <w:spacing w:after="0"/>
              <w:rPr>
                <w:sz w:val="19"/>
                <w:szCs w:val="19"/>
                <w:color w:val="auto"/>
              </w:rPr>
            </w:pPr>
          </w:p>
        </w:tc>
        <w:tc>
          <w:tcPr>
            <w:tcW w:w="90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C. Ronald</w:t>
            </w: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160" w:type="dxa"/>
            <w:vAlign w:val="bottom"/>
            <w:tcBorders>
              <w:top w:val="single" w:sz="8" w:color="auto"/>
              <w:right w:val="single" w:sz="8" w:color="auto"/>
            </w:tcBorders>
            <w:shd w:val="clear" w:color="auto" w:fill="E8EEF7"/>
          </w:tcPr>
          <w:p>
            <w:pPr>
              <w:spacing w:after="0"/>
              <w:rPr>
                <w:sz w:val="14"/>
                <w:szCs w:val="14"/>
                <w:color w:val="auto"/>
              </w:rPr>
            </w:pPr>
          </w:p>
        </w:tc>
        <w:tc>
          <w:tcPr>
            <w:tcW w:w="1020" w:type="dxa"/>
            <w:vAlign w:val="bottom"/>
            <w:tcBorders>
              <w:top w:val="single" w:sz="8" w:color="auto"/>
              <w:right w:val="single" w:sz="8" w:color="auto"/>
            </w:tcBorders>
            <w:shd w:val="clear" w:color="auto" w:fill="E8EEF7"/>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Blankenship</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bottom w:val="single" w:sz="8" w:color="E8EEF7"/>
              <w:right w:val="single" w:sz="8" w:color="auto"/>
            </w:tcBorders>
            <w:shd w:val="clear" w:color="auto" w:fill="E8EEF7"/>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Bradley J.</w:t>
            </w: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160" w:type="dxa"/>
            <w:vAlign w:val="bottom"/>
            <w:tcBorders>
              <w:top w:val="single" w:sz="8" w:color="auto"/>
              <w:right w:val="single" w:sz="8" w:color="auto"/>
            </w:tcBorders>
            <w:shd w:val="clear" w:color="auto" w:fill="E8EEF7"/>
          </w:tcPr>
          <w:p>
            <w:pPr>
              <w:spacing w:after="0"/>
              <w:rPr>
                <w:sz w:val="14"/>
                <w:szCs w:val="14"/>
                <w:color w:val="auto"/>
              </w:rPr>
            </w:pPr>
          </w:p>
        </w:tc>
        <w:tc>
          <w:tcPr>
            <w:tcW w:w="1020" w:type="dxa"/>
            <w:vAlign w:val="bottom"/>
            <w:tcBorders>
              <w:top w:val="single" w:sz="8" w:color="auto"/>
              <w:right w:val="single" w:sz="8" w:color="auto"/>
            </w:tcBorders>
            <w:shd w:val="clear" w:color="auto" w:fill="E8EEF7"/>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4"/>
              </w:rPr>
              <w:t>Dodson</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bottom w:val="single" w:sz="8" w:color="E8EEF7"/>
              <w:right w:val="single" w:sz="8" w:color="auto"/>
            </w:tcBorders>
            <w:shd w:val="clear" w:color="auto" w:fill="E8EEF7"/>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Martin A.</w:t>
            </w: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160" w:type="dxa"/>
            <w:vAlign w:val="bottom"/>
            <w:tcBorders>
              <w:top w:val="single" w:sz="8" w:color="auto"/>
              <w:right w:val="single" w:sz="8" w:color="auto"/>
            </w:tcBorders>
            <w:shd w:val="clear" w:color="auto" w:fill="E8EEF7"/>
          </w:tcPr>
          <w:p>
            <w:pPr>
              <w:spacing w:after="0"/>
              <w:rPr>
                <w:sz w:val="14"/>
                <w:szCs w:val="14"/>
                <w:color w:val="auto"/>
              </w:rPr>
            </w:pPr>
          </w:p>
        </w:tc>
        <w:tc>
          <w:tcPr>
            <w:tcW w:w="1020" w:type="dxa"/>
            <w:vAlign w:val="bottom"/>
            <w:tcBorders>
              <w:top w:val="single" w:sz="8" w:color="auto"/>
              <w:right w:val="single" w:sz="8" w:color="auto"/>
            </w:tcBorders>
            <w:shd w:val="clear" w:color="auto" w:fill="E8EEF7"/>
          </w:tcPr>
          <w:p>
            <w:pPr>
              <w:spacing w:after="0"/>
              <w:rPr>
                <w:sz w:val="14"/>
                <w:szCs w:val="14"/>
                <w:color w:val="auto"/>
              </w:rPr>
            </w:pPr>
          </w:p>
        </w:tc>
        <w:tc>
          <w:tcPr>
            <w:tcW w:w="90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Lambert</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bottom w:val="single" w:sz="8" w:color="E8EEF7"/>
              <w:right w:val="single" w:sz="8" w:color="auto"/>
            </w:tcBorders>
            <w:shd w:val="clear" w:color="auto" w:fill="E8EEF7"/>
          </w:tcPr>
          <w:p>
            <w:pPr>
              <w:spacing w:after="0"/>
              <w:rPr>
                <w:sz w:val="19"/>
                <w:szCs w:val="19"/>
                <w:color w:val="auto"/>
              </w:rPr>
            </w:pPr>
          </w:p>
        </w:tc>
        <w:tc>
          <w:tcPr>
            <w:tcW w:w="90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160" w:type="dxa"/>
            <w:vAlign w:val="bottom"/>
            <w:tcBorders>
              <w:top w:val="single" w:sz="8" w:color="auto"/>
              <w:right w:val="single" w:sz="8" w:color="auto"/>
            </w:tcBorders>
            <w:shd w:val="clear" w:color="auto" w:fill="E8EEF7"/>
          </w:tcPr>
          <w:p>
            <w:pPr>
              <w:spacing w:after="0"/>
              <w:rPr>
                <w:sz w:val="14"/>
                <w:szCs w:val="14"/>
                <w:color w:val="auto"/>
              </w:rPr>
            </w:pPr>
          </w:p>
        </w:tc>
        <w:tc>
          <w:tcPr>
            <w:tcW w:w="1020" w:type="dxa"/>
            <w:vAlign w:val="bottom"/>
            <w:tcBorders>
              <w:top w:val="single" w:sz="8" w:color="auto"/>
              <w:right w:val="single" w:sz="8" w:color="auto"/>
            </w:tcBorders>
            <w:shd w:val="clear" w:color="auto" w:fill="E8EEF7"/>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Montelongo</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bottom w:val="single" w:sz="8" w:color="E8EEF7"/>
              <w:right w:val="single" w:sz="8" w:color="auto"/>
            </w:tcBorders>
            <w:shd w:val="clear" w:color="auto" w:fill="E8EEF7"/>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Constance B.</w:t>
            </w: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160" w:type="dxa"/>
            <w:vAlign w:val="bottom"/>
            <w:tcBorders>
              <w:top w:val="single" w:sz="8" w:color="auto"/>
              <w:right w:val="single" w:sz="8" w:color="auto"/>
            </w:tcBorders>
            <w:shd w:val="clear" w:color="auto" w:fill="E8EEF7"/>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60" w:type="dxa"/>
            <w:vAlign w:val="bottom"/>
            <w:tcBorders>
              <w:top w:val="single" w:sz="8" w:color="auto"/>
              <w:right w:val="single" w:sz="8" w:color="auto"/>
            </w:tcBorders>
            <w:shd w:val="clear" w:color="auto" w:fill="E8EEF7"/>
          </w:tcPr>
          <w:p>
            <w:pPr>
              <w:spacing w:after="0"/>
              <w:rPr>
                <w:sz w:val="14"/>
                <w:szCs w:val="14"/>
                <w:color w:val="auto"/>
              </w:rPr>
            </w:pPr>
          </w:p>
        </w:tc>
        <w:tc>
          <w:tcPr>
            <w:tcW w:w="1040" w:type="dxa"/>
            <w:vAlign w:val="bottom"/>
            <w:tcBorders>
              <w:top w:val="single" w:sz="8" w:color="auto"/>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20" w:type="dxa"/>
            <w:vAlign w:val="bottom"/>
            <w:tcBorders>
              <w:bottom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Moore</w:t>
            </w: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160" w:type="dxa"/>
            <w:vAlign w:val="bottom"/>
            <w:tcBorders>
              <w:bottom w:val="single" w:sz="8" w:color="E8EEF7"/>
              <w:right w:val="single" w:sz="8" w:color="auto"/>
            </w:tcBorders>
            <w:shd w:val="clear" w:color="auto" w:fill="E8EEF7"/>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60" w:type="dxa"/>
            <w:vAlign w:val="bottom"/>
            <w:tcBorders>
              <w:bottom w:val="single" w:sz="8" w:color="E8EEF7"/>
              <w:right w:val="single" w:sz="8" w:color="auto"/>
            </w:tcBorders>
            <w:shd w:val="clear" w:color="auto" w:fill="E8EEF7"/>
          </w:tcPr>
          <w:p>
            <w:pPr>
              <w:spacing w:after="0"/>
              <w:rPr>
                <w:sz w:val="19"/>
                <w:szCs w:val="19"/>
                <w:color w:val="auto"/>
              </w:rPr>
            </w:pPr>
          </w:p>
        </w:tc>
        <w:tc>
          <w:tcPr>
            <w:tcW w:w="1040" w:type="dxa"/>
            <w:vAlign w:val="bottom"/>
            <w:tcBorders>
              <w:bottom w:val="single" w:sz="8" w:color="E8EEF7"/>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20" w:type="dxa"/>
            <w:vAlign w:val="bottom"/>
            <w:tcBorders>
              <w:top w:val="single" w:sz="8" w:color="006DB6"/>
              <w:right w:val="single" w:sz="8" w:color="auto"/>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Jeffery Scofield</w:t>
            </w:r>
          </w:p>
        </w:tc>
        <w:tc>
          <w:tcPr>
            <w:tcW w:w="1060" w:type="dxa"/>
            <w:vAlign w:val="bottom"/>
            <w:tcBorders>
              <w:top w:val="single" w:sz="8" w:color="auto"/>
              <w:right w:val="single" w:sz="8" w:color="auto"/>
            </w:tcBorders>
            <w:shd w:val="clear" w:color="auto" w:fill="E8EEF7"/>
          </w:tcPr>
          <w:p>
            <w:pPr>
              <w:spacing w:after="0"/>
              <w:rPr>
                <w:sz w:val="23"/>
                <w:szCs w:val="23"/>
                <w:color w:val="auto"/>
              </w:rPr>
            </w:pPr>
          </w:p>
        </w:tc>
        <w:tc>
          <w:tcPr>
            <w:tcW w:w="1060" w:type="dxa"/>
            <w:vAlign w:val="bottom"/>
            <w:tcBorders>
              <w:top w:val="single" w:sz="8" w:color="auto"/>
              <w:right w:val="single" w:sz="8" w:color="auto"/>
            </w:tcBorders>
            <w:shd w:val="clear" w:color="auto" w:fill="E8EEF7"/>
          </w:tcPr>
          <w:p>
            <w:pPr>
              <w:spacing w:after="0"/>
              <w:rPr>
                <w:sz w:val="23"/>
                <w:szCs w:val="23"/>
                <w:color w:val="auto"/>
              </w:rPr>
            </w:pPr>
          </w:p>
        </w:tc>
        <w:tc>
          <w:tcPr>
            <w:tcW w:w="1160" w:type="dxa"/>
            <w:vAlign w:val="bottom"/>
            <w:tcBorders>
              <w:top w:val="single" w:sz="8" w:color="auto"/>
              <w:right w:val="single" w:sz="8" w:color="auto"/>
            </w:tcBorders>
          </w:tcPr>
          <w:p>
            <w:pPr>
              <w:spacing w:after="0"/>
              <w:rPr>
                <w:sz w:val="23"/>
                <w:szCs w:val="23"/>
                <w:color w:val="auto"/>
              </w:rPr>
            </w:pPr>
          </w:p>
        </w:tc>
        <w:tc>
          <w:tcPr>
            <w:tcW w:w="1020" w:type="dxa"/>
            <w:vAlign w:val="bottom"/>
            <w:tcBorders>
              <w:top w:val="single" w:sz="8" w:color="auto"/>
              <w:right w:val="single" w:sz="8" w:color="auto"/>
            </w:tcBorders>
            <w:shd w:val="clear" w:color="auto" w:fill="E8EEF7"/>
          </w:tcPr>
          <w:p>
            <w:pPr>
              <w:spacing w:after="0"/>
              <w:rPr>
                <w:sz w:val="23"/>
                <w:szCs w:val="23"/>
                <w:color w:val="auto"/>
              </w:rPr>
            </w:pPr>
          </w:p>
        </w:tc>
        <w:tc>
          <w:tcPr>
            <w:tcW w:w="900" w:type="dxa"/>
            <w:vAlign w:val="bottom"/>
            <w:tcBorders>
              <w:top w:val="single" w:sz="8" w:color="auto"/>
              <w:right w:val="single" w:sz="8" w:color="auto"/>
            </w:tcBorders>
            <w:shd w:val="clear" w:color="auto" w:fill="E8EEF7"/>
          </w:tcPr>
          <w:p>
            <w:pPr>
              <w:spacing w:after="0"/>
              <w:rPr>
                <w:sz w:val="23"/>
                <w:szCs w:val="23"/>
                <w:color w:val="auto"/>
              </w:rPr>
            </w:pPr>
          </w:p>
        </w:tc>
        <w:tc>
          <w:tcPr>
            <w:tcW w:w="1040" w:type="dxa"/>
            <w:vAlign w:val="bottom"/>
            <w:tcBorders>
              <w:top w:val="single" w:sz="8" w:color="auto"/>
              <w:right w:val="single" w:sz="8" w:color="auto"/>
            </w:tcBorders>
            <w:shd w:val="clear" w:color="auto" w:fill="E8EEF7"/>
          </w:tcPr>
          <w:p>
            <w:pPr>
              <w:spacing w:after="0"/>
              <w:rPr>
                <w:sz w:val="23"/>
                <w:szCs w:val="23"/>
                <w:color w:val="auto"/>
              </w:rPr>
            </w:pPr>
          </w:p>
        </w:tc>
        <w:tc>
          <w:tcPr>
            <w:tcW w:w="1060" w:type="dxa"/>
            <w:vAlign w:val="bottom"/>
            <w:tcBorders>
              <w:top w:val="single" w:sz="8" w:color="auto"/>
              <w:right w:val="single" w:sz="8" w:color="auto"/>
            </w:tcBorders>
            <w:shd w:val="clear" w:color="auto" w:fill="E8EEF7"/>
          </w:tcPr>
          <w:p>
            <w:pPr>
              <w:spacing w:after="0"/>
              <w:rPr>
                <w:sz w:val="23"/>
                <w:szCs w:val="23"/>
                <w:color w:val="auto"/>
              </w:rPr>
            </w:pPr>
          </w:p>
        </w:tc>
        <w:tc>
          <w:tcPr>
            <w:tcW w:w="1060" w:type="dxa"/>
            <w:vAlign w:val="bottom"/>
            <w:tcBorders>
              <w:top w:val="single" w:sz="8" w:color="auto"/>
              <w:right w:val="single" w:sz="8" w:color="auto"/>
            </w:tcBorders>
            <w:shd w:val="clear" w:color="auto" w:fill="E8EEF7"/>
          </w:tcPr>
          <w:p>
            <w:pPr>
              <w:spacing w:after="0"/>
              <w:rPr>
                <w:sz w:val="23"/>
                <w:szCs w:val="23"/>
                <w:color w:val="auto"/>
              </w:rPr>
            </w:pPr>
          </w:p>
        </w:tc>
        <w:tc>
          <w:tcPr>
            <w:tcW w:w="1040" w:type="dxa"/>
            <w:vAlign w:val="bottom"/>
            <w:tcBorders>
              <w:top w:val="single" w:sz="8" w:color="auto"/>
              <w:right w:val="single" w:sz="8" w:color="auto"/>
            </w:tcBorders>
            <w:shd w:val="clear" w:color="auto" w:fill="E8EEF7"/>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1220" w:type="dxa"/>
            <w:vAlign w:val="bottom"/>
            <w:tcBorders>
              <w:bottom w:val="single" w:sz="8" w:color="006DB6"/>
              <w:right w:val="single" w:sz="8" w:color="auto"/>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Daniel Silvers</w:t>
            </w: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shd w:val="clear" w:color="auto" w:fill="E8EEF7"/>
          </w:tcPr>
          <w:p>
            <w:pPr>
              <w:spacing w:after="0"/>
              <w:rPr>
                <w:sz w:val="10"/>
                <w:szCs w:val="10"/>
                <w:color w:val="auto"/>
              </w:rPr>
            </w:pPr>
          </w:p>
        </w:tc>
        <w:tc>
          <w:tcPr>
            <w:tcW w:w="90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220" w:type="dxa"/>
            <w:vAlign w:val="bottom"/>
            <w:tcBorders>
              <w:right w:val="single" w:sz="8" w:color="auto"/>
            </w:tcBorders>
            <w:vMerge w:val="continue"/>
            <w:shd w:val="clear" w:color="auto" w:fill="006DB6"/>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160" w:type="dxa"/>
            <w:vAlign w:val="bottom"/>
            <w:tcBorders>
              <w:right w:val="single" w:sz="8" w:color="auto"/>
            </w:tcBorders>
            <w:shd w:val="clear" w:color="auto" w:fill="E8EEF7"/>
          </w:tcPr>
          <w:p>
            <w:pPr>
              <w:spacing w:after="0"/>
              <w:rPr>
                <w:sz w:val="23"/>
                <w:szCs w:val="23"/>
                <w:color w:val="auto"/>
              </w:rPr>
            </w:pPr>
          </w:p>
        </w:tc>
        <w:tc>
          <w:tcPr>
            <w:tcW w:w="1020" w:type="dxa"/>
            <w:vAlign w:val="bottom"/>
            <w:tcBorders>
              <w:right w:val="single" w:sz="8" w:color="auto"/>
            </w:tcBorders>
            <w:shd w:val="clear" w:color="auto" w:fill="E8EEF7"/>
          </w:tcPr>
          <w:p>
            <w:pPr>
              <w:spacing w:after="0"/>
              <w:rPr>
                <w:sz w:val="23"/>
                <w:szCs w:val="23"/>
                <w:color w:val="auto"/>
              </w:rPr>
            </w:pPr>
          </w:p>
        </w:tc>
        <w:tc>
          <w:tcPr>
            <w:tcW w:w="900" w:type="dxa"/>
            <w:vAlign w:val="bottom"/>
            <w:tcBorders>
              <w:right w:val="single" w:sz="8" w:color="auto"/>
            </w:tcBorders>
            <w:shd w:val="clear" w:color="auto" w:fill="E8EEF7"/>
          </w:tcPr>
          <w:p>
            <w:pPr>
              <w:spacing w:after="0"/>
              <w:rPr>
                <w:sz w:val="23"/>
                <w:szCs w:val="23"/>
                <w:color w:val="auto"/>
              </w:rPr>
            </w:pPr>
          </w:p>
        </w:tc>
        <w:tc>
          <w:tcPr>
            <w:tcW w:w="1040" w:type="dxa"/>
            <w:vAlign w:val="bottom"/>
            <w:tcBorders>
              <w:right w:val="single" w:sz="8" w:color="auto"/>
            </w:tcBorders>
            <w:shd w:val="clear" w:color="auto" w:fill="E8EEF7"/>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1220" w:type="dxa"/>
            <w:vAlign w:val="bottom"/>
            <w:tcBorders>
              <w:bottom w:val="single" w:sz="8" w:color="006DB6"/>
              <w:right w:val="single" w:sz="8" w:color="auto"/>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Timothy W. Wall</w:t>
            </w: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160" w:type="dxa"/>
            <w:vAlign w:val="bottom"/>
            <w:tcBorders>
              <w:bottom w:val="single" w:sz="8" w:color="auto"/>
              <w:right w:val="single" w:sz="8" w:color="auto"/>
            </w:tcBorders>
            <w:shd w:val="clear" w:color="auto" w:fill="E8EEF7"/>
          </w:tcPr>
          <w:p>
            <w:pPr>
              <w:spacing w:after="0"/>
              <w:rPr>
                <w:sz w:val="10"/>
                <w:szCs w:val="10"/>
                <w:color w:val="auto"/>
              </w:rPr>
            </w:pPr>
          </w:p>
        </w:tc>
        <w:tc>
          <w:tcPr>
            <w:tcW w:w="1020" w:type="dxa"/>
            <w:vAlign w:val="bottom"/>
            <w:tcBorders>
              <w:bottom w:val="single" w:sz="8" w:color="auto"/>
              <w:right w:val="single" w:sz="8" w:color="auto"/>
            </w:tcBorders>
            <w:shd w:val="clear" w:color="auto" w:fill="E8EEF7"/>
          </w:tcPr>
          <w:p>
            <w:pPr>
              <w:spacing w:after="0"/>
              <w:rPr>
                <w:sz w:val="10"/>
                <w:szCs w:val="10"/>
                <w:color w:val="auto"/>
              </w:rPr>
            </w:pPr>
          </w:p>
        </w:tc>
        <w:tc>
          <w:tcPr>
            <w:tcW w:w="90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220" w:type="dxa"/>
            <w:vAlign w:val="bottom"/>
            <w:tcBorders>
              <w:right w:val="single" w:sz="8" w:color="auto"/>
            </w:tcBorders>
            <w:vMerge w:val="continue"/>
            <w:shd w:val="clear" w:color="auto" w:fill="006DB6"/>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160" w:type="dxa"/>
            <w:vAlign w:val="bottom"/>
            <w:tcBorders>
              <w:right w:val="single" w:sz="8" w:color="auto"/>
            </w:tcBorders>
            <w:shd w:val="clear" w:color="auto" w:fill="E8EEF7"/>
          </w:tcPr>
          <w:p>
            <w:pPr>
              <w:spacing w:after="0"/>
              <w:rPr>
                <w:sz w:val="23"/>
                <w:szCs w:val="23"/>
                <w:color w:val="auto"/>
              </w:rPr>
            </w:pPr>
          </w:p>
        </w:tc>
        <w:tc>
          <w:tcPr>
            <w:tcW w:w="1020" w:type="dxa"/>
            <w:vAlign w:val="bottom"/>
            <w:tcBorders>
              <w:right w:val="single" w:sz="8" w:color="auto"/>
            </w:tcBorders>
            <w:shd w:val="clear" w:color="auto" w:fill="E8EEF7"/>
          </w:tcPr>
          <w:p>
            <w:pPr>
              <w:spacing w:after="0"/>
              <w:rPr>
                <w:sz w:val="23"/>
                <w:szCs w:val="23"/>
                <w:color w:val="auto"/>
              </w:rPr>
            </w:pPr>
          </w:p>
        </w:tc>
        <w:tc>
          <w:tcPr>
            <w:tcW w:w="900" w:type="dxa"/>
            <w:vAlign w:val="bottom"/>
            <w:tcBorders>
              <w:right w:val="single" w:sz="8" w:color="auto"/>
            </w:tcBorders>
            <w:shd w:val="clear" w:color="auto" w:fill="E8EEF7"/>
          </w:tcPr>
          <w:p>
            <w:pPr>
              <w:spacing w:after="0"/>
              <w:rPr>
                <w:sz w:val="23"/>
                <w:szCs w:val="23"/>
                <w:color w:val="auto"/>
              </w:rPr>
            </w:pPr>
          </w:p>
        </w:tc>
        <w:tc>
          <w:tcPr>
            <w:tcW w:w="1040" w:type="dxa"/>
            <w:vAlign w:val="bottom"/>
            <w:tcBorders>
              <w:right w:val="single" w:sz="8" w:color="auto"/>
            </w:tcBorders>
            <w:shd w:val="clear" w:color="auto" w:fill="E8EEF7"/>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shd w:val="clear" w:color="auto" w:fill="E8EEF7"/>
          </w:tcPr>
          <w:p>
            <w:pPr>
              <w:spacing w:after="0"/>
              <w:rPr>
                <w:sz w:val="23"/>
                <w:szCs w:val="23"/>
                <w:color w:val="auto"/>
              </w:rPr>
            </w:pPr>
          </w:p>
        </w:tc>
        <w:tc>
          <w:tcPr>
            <w:tcW w:w="1040" w:type="dxa"/>
            <w:vAlign w:val="bottom"/>
            <w:tcBorders>
              <w:right w:val="single" w:sz="8" w:color="auto"/>
            </w:tcBorders>
            <w:shd w:val="clear" w:color="auto" w:fill="E8EEF7"/>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1220" w:type="dxa"/>
            <w:vAlign w:val="bottom"/>
            <w:tcBorders>
              <w:right w:val="single" w:sz="8" w:color="auto"/>
            </w:tcBorders>
            <w:shd w:val="clear" w:color="auto" w:fill="006DB6"/>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160" w:type="dxa"/>
            <w:vAlign w:val="bottom"/>
            <w:tcBorders>
              <w:bottom w:val="single" w:sz="8" w:color="auto"/>
              <w:right w:val="single" w:sz="8" w:color="auto"/>
            </w:tcBorders>
            <w:shd w:val="clear" w:color="auto" w:fill="E8EEF7"/>
          </w:tcPr>
          <w:p>
            <w:pPr>
              <w:spacing w:after="0"/>
              <w:rPr>
                <w:sz w:val="10"/>
                <w:szCs w:val="10"/>
                <w:color w:val="auto"/>
              </w:rPr>
            </w:pPr>
          </w:p>
        </w:tc>
        <w:tc>
          <w:tcPr>
            <w:tcW w:w="1020" w:type="dxa"/>
            <w:vAlign w:val="bottom"/>
            <w:tcBorders>
              <w:bottom w:val="single" w:sz="8" w:color="auto"/>
              <w:right w:val="single" w:sz="8" w:color="auto"/>
            </w:tcBorders>
            <w:shd w:val="clear" w:color="auto" w:fill="E8EEF7"/>
          </w:tcPr>
          <w:p>
            <w:pPr>
              <w:spacing w:after="0"/>
              <w:rPr>
                <w:sz w:val="10"/>
                <w:szCs w:val="10"/>
                <w:color w:val="auto"/>
              </w:rPr>
            </w:pPr>
          </w:p>
        </w:tc>
        <w:tc>
          <w:tcPr>
            <w:tcW w:w="90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shd w:val="clear" w:color="auto" w:fill="E8EEF7"/>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shd w:val="clear" w:color="auto" w:fill="E8EEF7"/>
          </w:tcPr>
          <w:p>
            <w:pPr>
              <w:spacing w:after="0"/>
              <w:rPr>
                <w:sz w:val="10"/>
                <w:szCs w:val="10"/>
                <w:color w:val="auto"/>
              </w:rPr>
            </w:pPr>
          </w:p>
        </w:tc>
        <w:tc>
          <w:tcPr>
            <w:tcW w:w="1040" w:type="dxa"/>
            <w:vAlign w:val="bottom"/>
            <w:tcBorders>
              <w:bottom w:val="single" w:sz="8" w:color="auto"/>
              <w:right w:val="single" w:sz="8" w:color="auto"/>
            </w:tcBorders>
            <w:shd w:val="clear" w:color="auto" w:fill="E8EEF7"/>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-2313940</wp:posOffset>
            </wp:positionV>
            <wp:extent cx="6506210" cy="22459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06210" cy="22459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1276985</wp:posOffset>
            </wp:positionV>
            <wp:extent cx="394335"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Director Biographies - </w:t>
      </w:r>
      <w:r>
        <w:rPr>
          <w:rFonts w:ascii="Arial" w:cs="Arial" w:eastAsia="Arial" w:hAnsi="Arial"/>
          <w:sz w:val="25"/>
          <w:szCs w:val="25"/>
          <w:b w:val="1"/>
          <w:bCs w:val="1"/>
          <w:color w:val="FFC03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02740" cy="3137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02740" cy="3137535"/>
                    </a:xfrm>
                    <a:prstGeom prst="rect">
                      <a:avLst/>
                    </a:prstGeom>
                    <a:noFill/>
                  </pic:spPr>
                </pic:pic>
              </a:graphicData>
            </a:graphic>
          </wp:anchor>
        </w:drawing>
      </w: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5"/>
          <w:szCs w:val="25"/>
          <w:b w:val="1"/>
          <w:bCs w:val="1"/>
          <w:color w:val="006DB6"/>
        </w:rPr>
        <w:t>Richard A. Navarre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4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680"/>
        <w:spacing w:after="0" w:line="301" w:lineRule="auto"/>
        <w:rPr>
          <w:sz w:val="20"/>
          <w:szCs w:val="20"/>
          <w:color w:val="auto"/>
        </w:rPr>
      </w:pPr>
      <w:r>
        <w:rPr>
          <w:rFonts w:ascii="Arial" w:cs="Arial" w:eastAsia="Arial" w:hAnsi="Arial"/>
          <w:sz w:val="16"/>
          <w:szCs w:val="16"/>
          <w:i w:val="1"/>
          <w:iCs w:val="1"/>
          <w:color w:val="706F6F"/>
        </w:rPr>
        <w:t xml:space="preserve">Former President and Chief Executive Officer of Covia Corporation </w:t>
      </w:r>
      <w:r>
        <w:rPr>
          <w:rFonts w:ascii="Arial" w:cs="Arial" w:eastAsia="Arial" w:hAnsi="Arial"/>
          <w:sz w:val="16"/>
          <w:szCs w:val="16"/>
          <w:color w:val="706F6F"/>
        </w:rPr>
        <w:t>Independent Chairman of the Board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Mr. Navarre served as President and Chief Executive Officer of Covia Corporation,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lead independent director, chairman of the Nominating and Governance committee and member of personnel and compensation committee for Core Natural Resources (NYSE:CNR) and chairman of the conflicts committee, member of the audit, compensation and nominating and governance committees for Natural Resource Partners LP (NYSE:NRP). He is a member of the Board of Advisors and the Hall of Fame of the College of Business and Analytics at Southern Illinois University-Carbondale.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Mr. Navarre is a Certified Public Accountant and received his B.S. in Accounting from Southern Illinois University-Carbondale.</w:t>
      </w:r>
    </w:p>
    <w:p>
      <w:pPr>
        <w:spacing w:after="0" w:line="5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believe that Mr. Navarre's over 40 years of diverse international business and finance experience, which include extensive governance, financial, operating, strategic planning, public company and coal and energy industry experience,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276225</wp:posOffset>
            </wp:positionV>
            <wp:extent cx="7132320" cy="2434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Compensation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(Chair),</w:t>
      </w:r>
    </w:p>
    <w:p>
      <w:pPr>
        <w:spacing w:after="0" w:line="5" w:lineRule="exact"/>
        <w:rPr>
          <w:sz w:val="20"/>
          <w:szCs w:val="20"/>
          <w:color w:val="auto"/>
        </w:rPr>
      </w:pPr>
    </w:p>
    <w:p>
      <w:pPr>
        <w:ind w:left="280"/>
        <w:spacing w:after="0" w:line="293" w:lineRule="auto"/>
        <w:rPr>
          <w:sz w:val="20"/>
          <w:szCs w:val="20"/>
          <w:color w:val="auto"/>
        </w:rPr>
      </w:pPr>
      <w:r>
        <w:rPr>
          <w:rFonts w:ascii="Arial" w:cs="Arial" w:eastAsia="Arial" w:hAnsi="Arial"/>
          <w:sz w:val="16"/>
          <w:szCs w:val="16"/>
          <w:b w:val="1"/>
          <w:bCs w:val="1"/>
          <w:color w:val="auto"/>
        </w:rPr>
        <w:t>Finance and Investment Committee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Martin A. Lambert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Chief Executive Officer, Swan Hills Synfuels 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Lambert received his LLB degree from the University of Alberta.</w:t>
      </w:r>
    </w:p>
    <w:p>
      <w:pPr>
        <w:spacing w:after="0" w:line="9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believe that Mr. Lambert's Canadian industry experience and deep knowledge of Canadian law, as well as being one of the original board members of Civeo from the Oil States board of directors, make him well qualified to serve as a director on our board of directors.</w:t>
      </w:r>
    </w:p>
    <w:p>
      <w:pPr>
        <w:spacing w:after="0" w:line="200" w:lineRule="exact"/>
        <w:rPr>
          <w:sz w:val="20"/>
          <w:szCs w:val="20"/>
          <w:color w:val="auto"/>
        </w:rPr>
      </w:pPr>
    </w:p>
    <w:p>
      <w:pPr>
        <w:spacing w:after="0" w:line="347" w:lineRule="exact"/>
        <w:rPr>
          <w:sz w:val="20"/>
          <w:szCs w:val="20"/>
          <w:color w:val="auto"/>
        </w:rPr>
      </w:pPr>
    </w:p>
    <w:tbl>
      <w:tblPr>
        <w:tblLayout w:type="fixed"/>
        <w:tblInd w:w="648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186055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40" w:space="640"/>
            <w:col w:w="846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1602740" cy="4037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0274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7" w:lineRule="auto"/>
        <w:rPr>
          <w:sz w:val="20"/>
          <w:szCs w:val="20"/>
          <w:color w:val="auto"/>
        </w:rPr>
      </w:pPr>
      <w:r>
        <w:rPr>
          <w:rFonts w:ascii="Arial" w:cs="Arial" w:eastAsia="Arial" w:hAnsi="Arial"/>
          <w:sz w:val="16"/>
          <w:szCs w:val="16"/>
          <w:b w:val="1"/>
          <w:bCs w:val="1"/>
          <w:color w:val="auto"/>
        </w:rPr>
        <w:t>Audit Committee (Chair), Compensation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2145030</wp:posOffset>
            </wp:positionV>
            <wp:extent cx="1602740" cy="2768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02740" cy="2768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Constance B. Moore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CEO of BRE Properties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Ms. Moore has served as a director of Tri Pointe Homes (NYSE: TPH) since July 2014 and is currently the Chair of the compensation committee as well as a member of its audit committee. She has served as a director of Healthcare Realty Trust (NYSE:HR) since March 2022 and was appointed as Interim CEO from November 2024 until the successor CEO joined the company in April 2025 and is currently the Chair of the Nominating and Corporate Governance Committee as well as a member of its compensation committee. She served as a director of Columbia Property Trust (NYSE: CXP), including as Chair of its board of directors in 2021, from November 2017 until it was acquired in December 2021. Ms. Moore was a director of BRE Properties, Inc. (NYSE: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a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She served as a director of Bridge Housing Corp from 2014 to 2024. She served as a director of the Tower Board of San Jose University from 2007 to 2024. She served as Chair of the Fisher Center for Real Estate and Urban Economics Policy Advisory Board at UC Berkeley from 2005 to 2025 and currently serves on its Executive Committee. She is an Emeritus Member of the board of the Haas School of Business Advisory Board at UC Berkeley and is a Governor and Lifetime Trustee of the Urban Land Institute (ULI).</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Ms. Moore holds an M.B.A. from the University of California, Berkeley, Haas School of Business, and a bachelor’s degree from San Jose State University.</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Ms. Moore's over 40 years of real estate experience, 20 of which were as a public company director, as well as her extensive experience and valuable insight in public company accounting and reporting issues,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2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1366520</wp:posOffset>
            </wp:positionV>
            <wp:extent cx="394335" cy="196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Bradley J. Dodson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and Chief Executive Officer, Civeo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w:t>
      </w:r>
    </w:p>
    <w:p>
      <w:pPr>
        <w:spacing w:after="0" w:line="200" w:lineRule="exact"/>
        <w:rPr>
          <w:sz w:val="20"/>
          <w:szCs w:val="20"/>
          <w:color w:val="auto"/>
        </w:rPr>
      </w:pPr>
    </w:p>
    <w:p>
      <w:pPr>
        <w:sectPr>
          <w:pgSz w:w="11900" w:h="16838" w:orient="portrait"/>
          <w:cols w:equalWidth="0" w:num="2">
            <w:col w:w="2060" w:space="720"/>
            <w:col w:w="8420"/>
          </w:cols>
          <w:pgMar w:left="320" w:top="125" w:right="37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02740" cy="31629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0274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12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1030605</wp:posOffset>
            </wp:positionV>
            <wp:extent cx="1602740" cy="3780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02740" cy="3780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Timothy O. Wall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Kitimat LNG Upstream Operations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Mr. Wall has served as President and Chief Executive Officer of Cycle Petroleum, LLC, an energy advisory firm, since 2016 and was previously President of Apache Kitimat Limited, an LNG development division of Apache Canada Limited (a subsidiary of APA Corporation, an oil and gas exploration and production company), from 2013 to 2015. He served as President of Apache Canada Limited (a subsidiary of APA Corporation) from 2009 to 2013 and as Managing Director, Apache Energy Limited (a subsidiary of APA Corporation) in Western Australia from 2005 to 2009. From 2005 until 2015, Mr. Wall also served as a Corporate Officer and Regional Vice-President of APA Corporation. Prior thereto, Mr. Wall served in various positions within APA Corporation in the United States, P.R. China, and Scotland, U.K. from 1990 to 2005. Mr. Wall previously served as a director for several industry organizations, including the Canadian Association of Petroleum Producers (CAPP), the Australian Petroleum Production and Exploration Association (APPEA), and the Australian Mines and Metals Association (AMMA).</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ind w:right="440"/>
        <w:spacing w:after="0" w:line="265" w:lineRule="auto"/>
        <w:rPr>
          <w:sz w:val="20"/>
          <w:szCs w:val="20"/>
          <w:color w:val="auto"/>
        </w:rPr>
      </w:pPr>
      <w:r>
        <w:rPr>
          <w:rFonts w:ascii="Arial" w:cs="Arial" w:eastAsia="Arial" w:hAnsi="Arial"/>
          <w:sz w:val="16"/>
          <w:szCs w:val="16"/>
          <w:color w:val="auto"/>
        </w:rPr>
        <w:t>Mr. Wall received his B.S. in Petroleum Engineering from Texas A&amp;M University. Mr. Wall has been inducted into Texas A&amp;M University's Petroleum Engineering Academy of Distinguished Graduates.</w:t>
      </w:r>
    </w:p>
    <w:p>
      <w:pPr>
        <w:spacing w:after="0" w:line="7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believe that Mr. Wall's vast energy knowledge in Australia and Canada, his experience working with First Nations partners and his understanding of Australia and Canadian rules and regulations, as well as his extensive continuing board education including cybersecurity oversight training,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127635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49</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Compensation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Environmental, Social,</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Governance and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Daniel B. Silvers</w:t>
      </w:r>
    </w:p>
    <w:p>
      <w:pPr>
        <w:spacing w:after="0" w:line="130" w:lineRule="exact"/>
        <w:rPr>
          <w:sz w:val="20"/>
          <w:szCs w:val="20"/>
          <w:color w:val="auto"/>
        </w:rPr>
      </w:pPr>
    </w:p>
    <w:p>
      <w:pPr>
        <w:ind w:right="3280"/>
        <w:spacing w:after="0" w:line="283" w:lineRule="auto"/>
        <w:rPr>
          <w:sz w:val="20"/>
          <w:szCs w:val="20"/>
          <w:color w:val="auto"/>
        </w:rPr>
      </w:pPr>
      <w:r>
        <w:rPr>
          <w:rFonts w:ascii="Arial" w:cs="Arial" w:eastAsia="Arial" w:hAnsi="Arial"/>
          <w:sz w:val="16"/>
          <w:szCs w:val="16"/>
          <w:i w:val="1"/>
          <w:iCs w:val="1"/>
          <w:color w:val="706F6F"/>
        </w:rPr>
        <w:t xml:space="preserve">Founder and Managing Member of Matthews Lane Capital Partners LLC </w:t>
      </w:r>
      <w:r>
        <w:rPr>
          <w:rFonts w:ascii="Arial" w:cs="Arial" w:eastAsia="Arial" w:hAnsi="Arial"/>
          <w:sz w:val="16"/>
          <w:szCs w:val="16"/>
          <w:color w:val="706F6F"/>
        </w:rPr>
        <w:t>Independent Director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Mr. Silvers is the Founder and has served as the managing member of Matthews Lane Capital Partners LLC, an investment firm, since 2015. Mr. Silvers has served on the board of directors of ModivCare, Inc., a leading technology-enabled healthcare services company, since April 2025 and was elected as Chairman of the Board in January 2026. Mr. Silvers serves on various ModivCare committees, including Compensation, Compliance, Risk, Governance and Operations. Additionally, Mr. Silvers has served as Executive Chairman of Winventory, Inc., a tech-enabled event ticketing management partner, since January 2024. In January 2026, Mr. Silvers was appointed to the Board of Managers of UIC Holdings, LP (d/b/a Curia Global), a global CDMO. In March 2026, Mr. Silvers was appointed to the Board of Directors of Cornerstone Building Brands, Inc., a manufacturer of exterior building products. Mr. Silvers served as Executive Vice President and Chief Strategy Officer at Inspired Entertainment, Inc., a gaming technology company, between December 2016 and January 2023 and as Chief Executive Officer and a director of Leisure Acquisition Corp., a special purpose acquisition company, from September 2017 to June 2021. Previously, Mr. Silvers was the President of SpringOwl Asset Management LLC, an investment management firm, from 2009 to 2015 (including predecessor entities). Mr. Silvers was the President of Western Liberty Bancorp, an acquisition-oriented holding company, from 2009 to 2010. Mr. Silvers previously held positions at Fortress Investment Group LLC, a leading global alternative asset manager, and Bear, Stearns &amp; Co. Inc., a global financial services firm.</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6"/>
          <w:szCs w:val="16"/>
          <w:color w:val="auto"/>
        </w:rPr>
        <w:t>Mr. Silvers holds a B.S. in Economics and an M.B.A. in Finance from The Wharton School of the University of Pennsylvania. Mr. Silvers also received a Corporate Governance certification through the Director Education &amp; Certification Program at the UCLA Anderson School of Management.</w:t>
      </w:r>
    </w:p>
    <w:p>
      <w:pPr>
        <w:spacing w:after="0" w:line="7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believe that Mr. Silvers’ experience in global, natural-resource investment management and corporate governance, his shareholder-focused voice and his expertise in North American makes him well qualified to serve as a director to our board of directors.</w:t>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Continuing Directors - Terms Expires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3411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02740" cy="34118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76</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Audit Committee,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1596390</wp:posOffset>
            </wp:positionV>
            <wp:extent cx="1602740" cy="2888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2740" cy="2888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 Ronald Blankenship</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Verde Realty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Blankenship served as President and Chief Executive Officer of Verde Realty, a real estate investment trust specializing in the ownership, acquisition and management of institutional-quality multifamily rental properties and industrial facilities, from January 2009 and Chairman of the Board from January 2012 until his retirement in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(Chairman), Berkshire Residential Investments, a private investment management company (Chairman), and Merit Hill, a privately owned and operated real estate company.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Blankenship is a Certified Public Accountant and a graduate of the University of Texas at Austin.</w:t>
      </w:r>
    </w:p>
    <w:p>
      <w:pPr>
        <w:spacing w:after="0" w:line="9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48</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7" w:lineRule="auto"/>
        <w:rPr>
          <w:sz w:val="20"/>
          <w:szCs w:val="20"/>
          <w:color w:val="auto"/>
        </w:rPr>
      </w:pPr>
      <w:r>
        <w:rPr>
          <w:rFonts w:ascii="Arial" w:cs="Arial" w:eastAsia="Arial" w:hAnsi="Arial"/>
          <w:sz w:val="16"/>
          <w:szCs w:val="16"/>
          <w:b w:val="1"/>
          <w:bCs w:val="1"/>
          <w:color w:val="auto"/>
        </w:rPr>
        <w:t>Audit Committee, Finance and Investment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893445</wp:posOffset>
            </wp:positionV>
            <wp:extent cx="394335"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Jeffrey B. Scofield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Lime Rock Partners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Mr. Scofield is the President of Lime Rock Partners, a global private equity firm focused on investments across the upstream oil and gas sector. At Lime Rock, Mr. Scofield helps lead day-to-day investment operations and strategy, capital deployment, fundraising, investor relations, and oversees team management. Since joining Lime Rock in 2005, he has helped guide the firm’s growth to more than $7 billion in total capital commitments, with investments spanning exploration and production, mining, oilfield services, and manufacturing companies.</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Mr. Scofield previously served as an Independent Director of Covia Corporation from 2018 to 2020, where he played a central role in helping the company navigate a complex restructuring and legal process. Additionally, in 2021 he was Lead Independent Director of Sponsor Bearkat II Holdings a renewable energy company. He currently serves on the boards of several of Lime Rock’s portfolio companies.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Scofield earned his B.A. in economics from Vanderbilt University.</w:t>
      </w:r>
    </w:p>
    <w:p>
      <w:pPr>
        <w:spacing w:after="0" w:line="8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believe that Mr. Scofield's proven track record as an investor, executive leadership, public company director, capital allocation experience as well as experience in our primary customer market make him well qualified to serve as a director on our board of directors.</w:t>
      </w:r>
    </w:p>
    <w:p>
      <w:pPr>
        <w:spacing w:after="0" w:line="200" w:lineRule="exact"/>
        <w:rPr>
          <w:sz w:val="20"/>
          <w:szCs w:val="20"/>
          <w:color w:val="auto"/>
        </w:rPr>
      </w:pPr>
    </w:p>
    <w:p>
      <w:pPr>
        <w:sectPr>
          <w:pgSz w:w="11900" w:h="16838" w:orient="portrait"/>
          <w:cols w:equalWidth="0" w:num="2">
            <w:col w:w="2140" w:space="640"/>
            <w:col w:w="8440"/>
          </w:cols>
          <w:pgMar w:left="320" w:top="125" w:right="35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02740" cy="3669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0274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Nominating Committee and Compensation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Michael Montelongo</w:t>
      </w:r>
    </w:p>
    <w:p>
      <w:pPr>
        <w:spacing w:after="0" w:line="130" w:lineRule="exact"/>
        <w:rPr>
          <w:sz w:val="20"/>
          <w:szCs w:val="20"/>
          <w:color w:val="auto"/>
        </w:rPr>
      </w:pPr>
    </w:p>
    <w:p>
      <w:pPr>
        <w:ind w:right="3460"/>
        <w:spacing w:after="0" w:line="301" w:lineRule="auto"/>
        <w:rPr>
          <w:sz w:val="20"/>
          <w:szCs w:val="20"/>
          <w:color w:val="auto"/>
        </w:rPr>
      </w:pPr>
      <w:r>
        <w:rPr>
          <w:rFonts w:ascii="Arial" w:cs="Arial" w:eastAsia="Arial" w:hAnsi="Arial"/>
          <w:sz w:val="16"/>
          <w:szCs w:val="16"/>
          <w:i w:val="1"/>
          <w:iCs w:val="1"/>
          <w:color w:val="706F6F"/>
        </w:rPr>
        <w:t xml:space="preserve">President and Chief Executive Officer of GRC Advisory Services, LLC </w:t>
      </w:r>
      <w:r>
        <w:rPr>
          <w:rFonts w:ascii="Arial" w:cs="Arial" w:eastAsia="Arial" w:hAnsi="Arial"/>
          <w:sz w:val="16"/>
          <w:szCs w:val="16"/>
          <w:color w:val="706F6F"/>
        </w:rPr>
        <w:t>Independent Director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Mr. Montelongo has served as President and Chief Executive Officer of GRC Advisory Services, LLC, a board governance firm, since July 2016, and is an Executive Fellow at Harvard Business School, where he previously served on the faculty. A seasoned board director, governance advisor, and former Senate-confirmed national security leader, Mr. Montelongo currently serves on the boards of Merlin, Inc. (NASDAQ: MRLN), a global military and commercial autonomous flight systems aerospace technology company; Monarca Food Solutions, a multinational food company where he chairs the audit committee, and the National Association of Corporate Directors (NACD), where he is also a Board Leadership Fellow.</w:t>
      </w:r>
    </w:p>
    <w:p>
      <w:pPr>
        <w:spacing w:after="0" w:line="74" w:lineRule="exact"/>
        <w:rPr>
          <w:sz w:val="20"/>
          <w:szCs w:val="20"/>
          <w:color w:val="auto"/>
        </w:rPr>
      </w:pPr>
    </w:p>
    <w:p>
      <w:pPr>
        <w:ind w:right="80" w:firstLine="45"/>
        <w:spacing w:after="0" w:line="259" w:lineRule="auto"/>
        <w:rPr>
          <w:sz w:val="20"/>
          <w:szCs w:val="20"/>
          <w:color w:val="auto"/>
        </w:rPr>
      </w:pPr>
      <w:r>
        <w:rPr>
          <w:rFonts w:ascii="Arial" w:cs="Arial" w:eastAsia="Arial" w:hAnsi="Arial"/>
          <w:sz w:val="16"/>
          <w:szCs w:val="16"/>
          <w:color w:val="auto"/>
        </w:rPr>
        <w:t>From March 2005 to July 2016, he held senior executive roles at Sodexo, Inc. (Euronext:SW), a global facilities and hospitality services company, including Chief Administrative Officer and Senior Vice President for Public Policy and Corporate Affairs, following service as Chief Strategy Officer. A former George W. Bush White House appointee, he served as the Chief Financial Officer and the 19th Assistant Secretary of the Air Force for Financial Management and Comptroller, overseeing a $120 billion budget during two wartime operations, and later served as Action Secretary of the Air Force. His additional national security and space-related service includes roles with NASA Advisory and The Aerospace Corporation. Mr. Montelongo began his career as a U.S. Army officer, including a Congressional Fellowship and service as an assistant professor at West Point.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Mr. Montelongo earned his B.S. from West Point, an M.B.A. from Harvard Business School, and is a Council on Foreign Relations lifetime member.</w:t>
      </w:r>
    </w:p>
    <w:p>
      <w:pPr>
        <w:spacing w:after="0" w:line="77"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We believe Mr. Montelongo’s extensive background in corporate governance, the hospitality industry, global B2B and safety operations, international and security-related risk matters, and service as a service operations professor, make him well qualified to serve as a director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480" w:type="dxa"/>
        <w:tblCellMar>
          <w:top w:w="0" w:type="dxa"/>
          <w:left w:w="0" w:type="dxa"/>
          <w:bottom w:w="0" w:type="dxa"/>
          <w:right w:w="0" w:type="dxa"/>
        </w:tblCellMar>
      </w:tblPr>
      <w:tr>
        <w:trPr>
          <w:trHeight w:val="196"/>
        </w:trPr>
        <w:tc>
          <w:tcPr>
            <w:tcW w:w="1620" w:type="dxa"/>
            <w:vAlign w:val="bottom"/>
          </w:tcPr>
          <w:p>
            <w:pPr>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194310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80" w:space="720"/>
            <w:col w:w="8460"/>
          </w:cols>
          <w:pgMar w:left="60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r>
        <w:rPr>
          <w:rFonts w:ascii="Arial" w:cs="Arial" w:eastAsia="Arial" w:hAnsi="Arial"/>
          <w:sz w:val="32"/>
          <w:szCs w:val="32"/>
          <w:b w:val="1"/>
          <w:bCs w:val="1"/>
          <w:color w:val="0A2299"/>
        </w:rPr>
        <w:t>—</w:t>
      </w:r>
      <w:r>
        <w:rPr>
          <w:rFonts w:ascii="Arial" w:cs="Arial" w:eastAsia="Arial" w:hAnsi="Arial"/>
          <w:sz w:val="29"/>
          <w:szCs w:val="29"/>
          <w:b w:val="1"/>
          <w:bCs w:val="1"/>
          <w:color w:val="006DB6"/>
        </w:rPr>
        <w:t>Refreshment/Succession Planning</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diversity of viewpoints, expertise and experience are taken into account.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spacing w:after="0" w:line="8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individuals with a diversity of viewpoints, expertise and experience to include in the pool of potential director candidates, from which it selects the most appropriate candidate taking into considerations the qualifications and skills addressed above in "Qualifications of Directors" and has provided this instruction to the third-party search firm that it uses to assist in the identification</w:t>
      </w:r>
    </w:p>
    <w:p>
      <w:pPr>
        <w:sectPr>
          <w:pgSz w:w="11900" w:h="16838" w:orient="portrait"/>
          <w:cols w:equalWidth="0" w:num="1">
            <w:col w:w="11160"/>
          </w:cols>
          <w:pgMar w:left="320" w:top="125" w:right="41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 potential director candidates.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123825</wp:posOffset>
            </wp:positionV>
            <wp:extent cx="1797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Candidate Search</w:t>
      </w:r>
    </w:p>
    <w:p>
      <w:pPr>
        <w:spacing w:after="0" w:line="81" w:lineRule="exact"/>
        <w:rPr>
          <w:sz w:val="20"/>
          <w:szCs w:val="20"/>
          <w:color w:val="auto"/>
        </w:rPr>
      </w:pPr>
    </w:p>
    <w:p>
      <w:pPr>
        <w:ind w:left="680" w:right="20" w:hanging="195"/>
        <w:spacing w:after="0" w:line="286" w:lineRule="auto"/>
        <w:tabs>
          <w:tab w:leader="none" w:pos="65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may seek referrals from other members of the board of directors, management, shareholders and other sources.</w:t>
      </w:r>
    </w:p>
    <w:p>
      <w:pPr>
        <w:spacing w:after="0" w:line="20" w:lineRule="exact"/>
        <w:rPr>
          <w:rFonts w:ascii="Arial" w:cs="Arial" w:eastAsia="Arial" w:hAnsi="Arial"/>
          <w:sz w:val="16"/>
          <w:szCs w:val="16"/>
          <w:color w:val="006DB6"/>
        </w:rPr>
      </w:pPr>
    </w:p>
    <w:p>
      <w:pPr>
        <w:ind w:left="680" w:right="140" w:hanging="195"/>
        <w:spacing w:after="0" w:line="286" w:lineRule="auto"/>
        <w:tabs>
          <w:tab w:leader="none" w:pos="65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also may, but need not, retain a professional search firm in order to identify, recruit and evaluate qualified candidates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227965</wp:posOffset>
            </wp:positionV>
            <wp:extent cx="1797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7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Consideration of Diversity and Other Relevant Factors</w:t>
      </w:r>
    </w:p>
    <w:p>
      <w:pPr>
        <w:spacing w:after="0" w:line="176" w:lineRule="exact"/>
        <w:rPr>
          <w:sz w:val="20"/>
          <w:szCs w:val="20"/>
          <w:color w:val="auto"/>
        </w:rPr>
      </w:pPr>
    </w:p>
    <w:p>
      <w:pPr>
        <w:ind w:left="680" w:hanging="195"/>
        <w:spacing w:after="0" w:line="261" w:lineRule="auto"/>
        <w:tabs>
          <w:tab w:leader="none" w:pos="6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board of directors and the Environmental, Social, Governance and Nominating Committee are committed to actively seeking new and diverse members whose expertise lend to the greater needs of the board of directors. In that regard, the Environmental, Social, Governance and Nominating Committee considers diversity of viewpoints, expertise and experience, as well as the factors identified above, in order to achieve an overall variety and mix of diversity among our directors. The effectiveness of this policy is assessed in connection with the board of directors’ annual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198120</wp:posOffset>
            </wp:positionV>
            <wp:extent cx="1797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Assessment of the Environmental, Social, Governance and Nominating Committee</w:t>
      </w:r>
    </w:p>
    <w:p>
      <w:pPr>
        <w:spacing w:after="0" w:line="176" w:lineRule="exact"/>
        <w:rPr>
          <w:sz w:val="20"/>
          <w:szCs w:val="20"/>
          <w:color w:val="auto"/>
        </w:rPr>
      </w:pPr>
    </w:p>
    <w:p>
      <w:pPr>
        <w:ind w:left="680" w:right="760" w:hanging="195"/>
        <w:spacing w:after="0" w:line="286" w:lineRule="auto"/>
        <w:tabs>
          <w:tab w:leader="none" w:pos="650" w:val="left"/>
        </w:tabs>
        <w:numPr>
          <w:ilvl w:val="0"/>
          <w:numId w:val="13"/>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reviews the candidate’s experience, independence and understanding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193675</wp:posOffset>
            </wp:positionV>
            <wp:extent cx="1797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Interviews</w:t>
      </w:r>
    </w:p>
    <w:p>
      <w:pPr>
        <w:spacing w:after="0" w:line="81" w:lineRule="exact"/>
        <w:rPr>
          <w:sz w:val="20"/>
          <w:szCs w:val="20"/>
          <w:color w:val="auto"/>
        </w:rPr>
      </w:pPr>
    </w:p>
    <w:p>
      <w:pPr>
        <w:ind w:left="640" w:hanging="155"/>
        <w:spacing w:after="0"/>
        <w:tabs>
          <w:tab w:leader="none" w:pos="640" w:val="left"/>
        </w:tabs>
        <w:numPr>
          <w:ilvl w:val="0"/>
          <w:numId w:val="14"/>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conducts an interview with each candidate.</w:t>
      </w:r>
    </w:p>
    <w:p>
      <w:pPr>
        <w:spacing w:after="0" w:line="86" w:lineRule="exact"/>
        <w:rPr>
          <w:rFonts w:ascii="Arial" w:cs="Arial" w:eastAsia="Arial" w:hAnsi="Arial"/>
          <w:sz w:val="16"/>
          <w:szCs w:val="16"/>
          <w:color w:val="006DB6"/>
        </w:rPr>
      </w:pPr>
    </w:p>
    <w:p>
      <w:pPr>
        <w:ind w:left="640" w:hanging="155"/>
        <w:spacing w:after="0"/>
        <w:tabs>
          <w:tab w:leader="none" w:pos="640" w:val="left"/>
        </w:tabs>
        <w:numPr>
          <w:ilvl w:val="0"/>
          <w:numId w:val="14"/>
        </w:numPr>
        <w:rPr>
          <w:rFonts w:ascii="Arial" w:cs="Arial" w:eastAsia="Arial" w:hAnsi="Arial"/>
          <w:sz w:val="16"/>
          <w:szCs w:val="16"/>
          <w:color w:val="006DB6"/>
        </w:rPr>
      </w:pPr>
      <w:r>
        <w:rPr>
          <w:rFonts w:ascii="Arial" w:cs="Arial" w:eastAsia="Arial" w:hAnsi="Arial"/>
          <w:sz w:val="16"/>
          <w:szCs w:val="16"/>
          <w:color w:val="auto"/>
        </w:rPr>
        <w:t>Further interviews are conducted with other directors as well as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1797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6DB6"/>
        </w:rPr>
        <w:t>Recommendations</w:t>
      </w:r>
    </w:p>
    <w:p>
      <w:pPr>
        <w:spacing w:after="0" w:line="176" w:lineRule="exact"/>
        <w:rPr>
          <w:sz w:val="20"/>
          <w:szCs w:val="20"/>
          <w:color w:val="auto"/>
        </w:rPr>
      </w:pPr>
    </w:p>
    <w:p>
      <w:pPr>
        <w:ind w:left="680" w:right="20" w:hanging="195"/>
        <w:spacing w:after="0" w:line="286" w:lineRule="auto"/>
        <w:tabs>
          <w:tab w:leader="none" w:pos="65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After the assessment and interview process, the Environmental, Social, Governance and Nominating Committee submits a recommendation of nominees to the board of directors, and the board of directors selects 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2 new directors were added in the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-320040</wp:posOffset>
            </wp:positionV>
            <wp:extent cx="1294130" cy="44234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94130" cy="442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280"/>
        <w:spacing w:after="0"/>
        <w:rPr>
          <w:sz w:val="20"/>
          <w:szCs w:val="20"/>
          <w:color w:val="auto"/>
        </w:rPr>
      </w:pPr>
      <w:r>
        <w:rPr>
          <w:rFonts w:ascii="Arial" w:cs="Arial" w:eastAsia="Arial" w:hAnsi="Arial"/>
          <w:sz w:val="16"/>
          <w:szCs w:val="16"/>
          <w:color w:val="auto"/>
        </w:rPr>
        <w:t>Jeffrey B. Scofield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Daniel B. Silvers</w:t>
      </w:r>
    </w:p>
    <w:p>
      <w:pPr>
        <w:spacing w:after="0" w:line="3195" w:lineRule="exact"/>
        <w:rPr>
          <w:sz w:val="20"/>
          <w:szCs w:val="20"/>
          <w:color w:val="auto"/>
        </w:rPr>
      </w:pPr>
    </w:p>
    <w:p>
      <w:pPr>
        <w:sectPr>
          <w:pgSz w:w="11900" w:h="16838" w:orient="portrait"/>
          <w:cols w:equalWidth="0" w:num="2">
            <w:col w:w="8880" w:space="420"/>
            <w:col w:w="1860"/>
          </w:cols>
          <w:pgMar w:left="320" w:top="125" w:right="419" w:bottom="1440" w:gutter="0" w:footer="0" w:header="0"/>
          <w:type w:val="continuous"/>
        </w:sectPr>
      </w:pP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Corporate Secretary at Civeo Corporation, Three Allen Center, 333 Clay Street, Suite 4400,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156210</wp:posOffset>
            </wp:positionV>
            <wp:extent cx="394335"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firms or other sources. These procedures do not preclude a shareholder from making nominations in accordance with the process described below under “Future Shareholder Proposals.”</w:t>
      </w:r>
    </w:p>
    <w:p>
      <w:pPr>
        <w:spacing w:after="0" w:line="6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Civeo’s Corporate Governance Guidelines reflect our belief that directors should not be subject to term limits or age-based limits. While such limits could facilitate fresh ideas and viewpoints being consistently brought to the board of directors, we believe they are counterbalanced by the disadvantage of causing the loss of a director who over a period of time has developed insight into our strategies, operations and risks and continues to provide valuable contributions to board of directors deliberations. Civeo has been a separate public company since May 2014, and during that time, 18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professional time commitments, retirement or, in one case, a change in job, or because particular shareholders who had proposed them as directors had changed their ownership positions in the Company. The board of directors regularly evaluates committee composition and whether to add new directors.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Director Resignation Policy</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Directors—Role and Responsibilities</w:t>
      </w:r>
    </w:p>
    <w:p>
      <w:pPr>
        <w:spacing w:after="0" w:line="14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Oversight of Enterprise Risk</w:t>
      </w:r>
    </w:p>
    <w:p>
      <w:pPr>
        <w:spacing w:after="0" w:line="146"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board of directors and its committees utilize our Enterprise Risk Management process to assist in the oversight of our risks. Management and employees are responsible for day-to-day risk management, and management conducts an extensive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 In addition, the oversight of each key risk is allocated to a board committee or the entire board for oversight and monitoring.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7329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pacing w:after="0" w:line="3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Board of Directors</w:t>
      </w:r>
    </w:p>
    <w:p>
      <w:pPr>
        <w:spacing w:after="0" w:line="248" w:lineRule="exact"/>
        <w:rPr>
          <w:sz w:val="20"/>
          <w:szCs w:val="20"/>
          <w:color w:val="auto"/>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Is primarily responsible for the oversight of strategy, capital allocation and risk.</w:t>
      </w:r>
    </w:p>
    <w:p>
      <w:pPr>
        <w:spacing w:after="0" w:line="30" w:lineRule="exact"/>
        <w:rPr>
          <w:rFonts w:ascii="Arial" w:cs="Arial" w:eastAsia="Arial" w:hAnsi="Arial"/>
          <w:sz w:val="16"/>
          <w:szCs w:val="16"/>
          <w:color w:val="006DB6"/>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Delegates responsibility for monitoring certain risks to its standing committees.</w:t>
      </w:r>
    </w:p>
    <w:p>
      <w:pPr>
        <w:spacing w:after="0" w:line="8" w:lineRule="exact"/>
        <w:rPr>
          <w:rFonts w:ascii="Arial" w:cs="Arial" w:eastAsia="Arial" w:hAnsi="Arial"/>
          <w:sz w:val="16"/>
          <w:szCs w:val="16"/>
          <w:color w:val="006DB6"/>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Maintains responsibility for oversight of safety and food safety risks.</w:t>
      </w:r>
    </w:p>
    <w:p>
      <w:pPr>
        <w:spacing w:after="0" w:line="14" w:lineRule="exact"/>
        <w:rPr>
          <w:rFonts w:ascii="Arial" w:cs="Arial" w:eastAsia="Arial" w:hAnsi="Arial"/>
          <w:sz w:val="16"/>
          <w:szCs w:val="16"/>
          <w:color w:val="006DB6"/>
        </w:rPr>
      </w:pPr>
    </w:p>
    <w:p>
      <w:pPr>
        <w:ind w:left="460" w:hanging="168"/>
        <w:spacing w:after="0"/>
        <w:tabs>
          <w:tab w:leader="none" w:pos="46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Receives regular reports from committees and management concerning identified risks and mitigation or management of such risks.</w:t>
      </w:r>
    </w:p>
    <w:p>
      <w:pPr>
        <w:spacing w:after="0" w:line="236" w:lineRule="exact"/>
        <w:rPr>
          <w:sz w:val="20"/>
          <w:szCs w:val="20"/>
          <w:color w:val="auto"/>
        </w:rPr>
      </w:pPr>
    </w:p>
    <w:tbl>
      <w:tblPr>
        <w:tblLayout w:type="fixed"/>
        <w:tblInd w:w="2200" w:type="dxa"/>
        <w:tblCellMar>
          <w:top w:w="0" w:type="dxa"/>
          <w:left w:w="0" w:type="dxa"/>
          <w:bottom w:w="0" w:type="dxa"/>
          <w:right w:w="0" w:type="dxa"/>
        </w:tblCellMar>
      </w:tblP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3940" w:type="dxa"/>
            <w:vAlign w:val="bottom"/>
          </w:tcPr>
          <w:p>
            <w:pPr>
              <w:ind w:left="1940"/>
              <w:spacing w:after="0"/>
              <w:rPr>
                <w:sz w:val="20"/>
                <w:szCs w:val="20"/>
                <w:color w:val="auto"/>
              </w:rPr>
            </w:pPr>
            <w:r>
              <w:rPr>
                <w:rFonts w:ascii="Arial" w:cs="Arial" w:eastAsia="Arial" w:hAnsi="Arial"/>
                <w:sz w:val="16"/>
                <w:szCs w:val="16"/>
                <w:b w:val="1"/>
                <w:bCs w:val="1"/>
                <w:color w:val="auto"/>
                <w:w w:val="99"/>
              </w:rPr>
              <w:t>Compensation Committee</w:t>
            </w:r>
          </w:p>
        </w:tc>
      </w:tr>
    </w:tbl>
    <w:p>
      <w:pPr>
        <w:spacing w:after="0" w:line="200" w:lineRule="exact"/>
        <w:rPr>
          <w:sz w:val="20"/>
          <w:szCs w:val="20"/>
          <w:color w:val="auto"/>
        </w:rPr>
      </w:pPr>
    </w:p>
    <w:p>
      <w:pPr>
        <w:sectPr>
          <w:pgSz w:w="11900" w:h="16838" w:orient="portrait"/>
          <w:cols w:equalWidth="0" w:num="1">
            <w:col w:w="11020"/>
          </w:cols>
          <w:pgMar w:left="320" w:top="125" w:right="559" w:bottom="1440" w:gutter="0" w:footer="0" w:header="0"/>
        </w:sectPr>
      </w:pPr>
    </w:p>
    <w:p>
      <w:pPr>
        <w:spacing w:after="0" w:line="90" w:lineRule="exact"/>
        <w:rPr>
          <w:sz w:val="20"/>
          <w:szCs w:val="20"/>
          <w:color w:val="auto"/>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700" w:right="140" w:hanging="193"/>
        <w:spacing w:after="0" w:line="265" w:lineRule="auto"/>
        <w:tabs>
          <w:tab w:leader="none" w:pos="698" w:val="left"/>
        </w:tabs>
        <w:numPr>
          <w:ilvl w:val="1"/>
          <w:numId w:val="17"/>
        </w:numPr>
        <w:rPr>
          <w:rFonts w:ascii="Arial" w:cs="Arial" w:eastAsia="Arial" w:hAnsi="Arial"/>
          <w:sz w:val="16"/>
          <w:szCs w:val="16"/>
          <w:color w:val="auto"/>
        </w:rPr>
      </w:pPr>
      <w:r>
        <w:rPr>
          <w:rFonts w:ascii="Arial" w:cs="Arial" w:eastAsia="Arial" w:hAnsi="Arial"/>
          <w:sz w:val="16"/>
          <w:szCs w:val="16"/>
          <w:color w:val="auto"/>
        </w:rPr>
        <w:t>Financial statements, financial reporting process and internal controls over financial reporting;</w:t>
      </w:r>
    </w:p>
    <w:p>
      <w:pPr>
        <w:spacing w:after="0" w:line="1" w:lineRule="exact"/>
        <w:rPr>
          <w:rFonts w:ascii="Arial" w:cs="Arial" w:eastAsia="Arial" w:hAnsi="Arial"/>
          <w:sz w:val="16"/>
          <w:szCs w:val="16"/>
          <w:color w:val="auto"/>
        </w:rPr>
      </w:pPr>
    </w:p>
    <w:p>
      <w:pPr>
        <w:ind w:left="700" w:hanging="193"/>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Regulatory and accounting compliance;</w:t>
      </w:r>
    </w:p>
    <w:p>
      <w:pPr>
        <w:spacing w:after="0" w:line="14" w:lineRule="exact"/>
        <w:rPr>
          <w:rFonts w:ascii="Arial" w:cs="Arial" w:eastAsia="Arial" w:hAnsi="Arial"/>
          <w:sz w:val="16"/>
          <w:szCs w:val="16"/>
          <w:color w:val="auto"/>
        </w:rPr>
      </w:pPr>
    </w:p>
    <w:p>
      <w:pPr>
        <w:ind w:left="700" w:hanging="193"/>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Litigation risks;</w:t>
      </w:r>
    </w:p>
    <w:p>
      <w:pPr>
        <w:spacing w:after="0" w:line="8" w:lineRule="exact"/>
        <w:rPr>
          <w:rFonts w:ascii="Arial" w:cs="Arial" w:eastAsia="Arial" w:hAnsi="Arial"/>
          <w:sz w:val="16"/>
          <w:szCs w:val="16"/>
          <w:color w:val="auto"/>
        </w:rPr>
      </w:pPr>
    </w:p>
    <w:p>
      <w:pPr>
        <w:ind w:left="700" w:hanging="193"/>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Technology, cybersecurity risks and artificial intelligence; and</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Succession of accounting and finance personnel.</w:t>
      </w:r>
    </w:p>
    <w:p>
      <w:pPr>
        <w:spacing w:after="0" w:line="70" w:lineRule="exact"/>
        <w:rPr>
          <w:rFonts w:ascii="Arial" w:cs="Arial" w:eastAsia="Arial" w:hAnsi="Arial"/>
          <w:sz w:val="16"/>
          <w:szCs w:val="16"/>
          <w:color w:val="auto"/>
        </w:rPr>
      </w:pPr>
    </w:p>
    <w:p>
      <w:pPr>
        <w:ind w:left="480" w:right="20" w:hanging="188"/>
        <w:spacing w:after="0" w:line="299" w:lineRule="auto"/>
        <w:tabs>
          <w:tab w:leader="none" w:pos="45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Oversees the internal audit function, including an annual review of scope and duties.</w:t>
      </w: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Reviews results of management's risk assessment.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Environmental, Social, Governance &amp; Nominating Committee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6" w:hanging="166"/>
        <w:spacing w:after="0"/>
        <w:tabs>
          <w:tab w:leader="none" w:pos="166"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406" w:hanging="192"/>
        <w:spacing w:after="0"/>
        <w:tabs>
          <w:tab w:leader="none" w:pos="40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Executive compensation; and</w:t>
      </w:r>
    </w:p>
    <w:p>
      <w:pPr>
        <w:spacing w:after="0" w:line="30" w:lineRule="exact"/>
        <w:rPr>
          <w:rFonts w:ascii="Arial" w:cs="Arial" w:eastAsia="Arial" w:hAnsi="Arial"/>
          <w:sz w:val="16"/>
          <w:szCs w:val="16"/>
          <w:color w:val="auto"/>
        </w:rPr>
      </w:pPr>
    </w:p>
    <w:p>
      <w:pPr>
        <w:ind w:left="406" w:hanging="192"/>
        <w:spacing w:after="0"/>
        <w:tabs>
          <w:tab w:leader="none" w:pos="406"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Succession of key personnel.</w:t>
      </w:r>
    </w:p>
    <w:p>
      <w:pPr>
        <w:spacing w:after="0" w:line="73" w:lineRule="exact"/>
        <w:rPr>
          <w:rFonts w:ascii="Arial" w:cs="Arial" w:eastAsia="Arial" w:hAnsi="Arial"/>
          <w:sz w:val="16"/>
          <w:szCs w:val="16"/>
          <w:color w:val="auto"/>
        </w:rPr>
      </w:pPr>
    </w:p>
    <w:p>
      <w:pPr>
        <w:ind w:left="186" w:right="240" w:hanging="186"/>
        <w:spacing w:after="0" w:line="265" w:lineRule="auto"/>
        <w:tabs>
          <w:tab w:leader="none" w:pos="156"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Reviews our compensation policies to help ensure they do not encourage excessive or unnecessary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6"/>
        <w:spacing w:after="0"/>
        <w:rPr>
          <w:sz w:val="20"/>
          <w:szCs w:val="20"/>
          <w:color w:val="auto"/>
        </w:rPr>
      </w:pPr>
      <w:r>
        <w:rPr>
          <w:rFonts w:ascii="Arial" w:cs="Arial" w:eastAsia="Arial" w:hAnsi="Arial"/>
          <w:sz w:val="16"/>
          <w:szCs w:val="16"/>
          <w:b w:val="1"/>
          <w:bCs w:val="1"/>
          <w:color w:val="auto"/>
        </w:rPr>
        <w:t>Finance and Investment Committee</w:t>
      </w:r>
    </w:p>
    <w:p>
      <w:pPr>
        <w:spacing w:after="0" w:line="200" w:lineRule="exact"/>
        <w:rPr>
          <w:sz w:val="20"/>
          <w:szCs w:val="20"/>
          <w:color w:val="auto"/>
        </w:rPr>
      </w:pPr>
    </w:p>
    <w:p>
      <w:pPr>
        <w:sectPr>
          <w:pgSz w:w="11900" w:h="16838" w:orient="portrait"/>
          <w:cols w:equalWidth="0" w:num="2">
            <w:col w:w="5200" w:space="614"/>
            <w:col w:w="5206"/>
          </w:cols>
          <w:pgMar w:left="320" w:top="125" w:right="559" w:bottom="1440" w:gutter="0" w:footer="0" w:header="0"/>
          <w:type w:val="continuous"/>
        </w:sectPr>
      </w:pP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40" w:type="dxa"/>
            <w:vAlign w:val="bottom"/>
            <w:gridSpan w:val="2"/>
          </w:tcPr>
          <w:p>
            <w:pPr>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Oversees risks related to:</w:t>
            </w:r>
          </w:p>
        </w:tc>
        <w:tc>
          <w:tcPr>
            <w:tcW w:w="4120" w:type="dxa"/>
            <w:vAlign w:val="bottom"/>
            <w:gridSpan w:val="2"/>
          </w:tcPr>
          <w:p>
            <w:pPr>
              <w:ind w:left="3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Involved in risk considerations related to:</w:t>
            </w:r>
          </w:p>
        </w:tc>
      </w:tr>
      <w:tr>
        <w:trPr>
          <w:trHeight w:val="244"/>
        </w:trPr>
        <w:tc>
          <w:tcPr>
            <w:tcW w:w="420" w:type="dxa"/>
            <w:vAlign w:val="bottom"/>
          </w:tcPr>
          <w:p>
            <w:pPr>
              <w:ind w:left="280"/>
              <w:spacing w:after="0"/>
              <w:rPr>
                <w:sz w:val="20"/>
                <w:szCs w:val="20"/>
                <w:color w:val="auto"/>
              </w:rPr>
            </w:pPr>
            <w:r>
              <w:rPr>
                <w:rFonts w:ascii="Arial" w:cs="Arial" w:eastAsia="Arial" w:hAnsi="Arial"/>
                <w:sz w:val="16"/>
                <w:szCs w:val="16"/>
                <w:color w:val="006DB6"/>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Independence of board of directors and potential conflicts of</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Civeo's strategic objectives;</w:t>
            </w:r>
          </w:p>
        </w:tc>
      </w:tr>
      <w:tr>
        <w:trPr>
          <w:trHeight w:val="189"/>
        </w:trPr>
        <w:tc>
          <w:tcPr>
            <w:tcW w:w="42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interest;</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Capital allocation policies;</w:t>
            </w:r>
          </w:p>
        </w:tc>
      </w:tr>
      <w:tr>
        <w:trPr>
          <w:trHeight w:val="203"/>
        </w:trPr>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of board of directors and related committee</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Debt strategies; and</w:t>
            </w:r>
          </w:p>
        </w:tc>
      </w:tr>
      <w:tr>
        <w:trPr>
          <w:trHeight w:val="205"/>
        </w:trPr>
        <w:tc>
          <w:tcPr>
            <w:tcW w:w="420" w:type="dxa"/>
            <w:vAlign w:val="bottom"/>
          </w:tcPr>
          <w:p>
            <w:pPr>
              <w:spacing w:after="0"/>
              <w:rPr>
                <w:sz w:val="17"/>
                <w:szCs w:val="17"/>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and</w:t>
            </w:r>
          </w:p>
        </w:tc>
        <w:tc>
          <w:tcPr>
            <w:tcW w:w="4120" w:type="dxa"/>
            <w:vAlign w:val="bottom"/>
            <w:gridSpan w:val="2"/>
          </w:tcPr>
          <w:p>
            <w:pPr>
              <w:ind w:left="580"/>
              <w:spacing w:after="0"/>
              <w:rPr>
                <w:sz w:val="20"/>
                <w:szCs w:val="20"/>
                <w:color w:val="auto"/>
              </w:rPr>
            </w:pPr>
            <w:r>
              <w:rPr>
                <w:rFonts w:ascii="Arial" w:cs="Arial" w:eastAsia="Arial" w:hAnsi="Arial"/>
                <w:sz w:val="16"/>
                <w:szCs w:val="16"/>
                <w:color w:val="auto"/>
              </w:rPr>
              <w:t>◦  Distributions and return of capital transactions.</w:t>
            </w:r>
          </w:p>
        </w:tc>
      </w:tr>
    </w:tbl>
    <w:p>
      <w:pPr>
        <w:ind w:left="780" w:hanging="192"/>
        <w:spacing w:after="0"/>
        <w:tabs>
          <w:tab w:leader="none" w:pos="7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5" w:lineRule="exact"/>
        <w:rPr>
          <w:rFonts w:ascii="Arial" w:cs="Arial" w:eastAsia="Arial" w:hAnsi="Arial"/>
          <w:sz w:val="16"/>
          <w:szCs w:val="16"/>
          <w:color w:val="auto"/>
        </w:rPr>
      </w:pPr>
    </w:p>
    <w:p>
      <w:pPr>
        <w:ind w:left="420" w:hanging="156"/>
        <w:spacing w:after="0"/>
        <w:tabs>
          <w:tab w:leader="none" w:pos="420"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Performs annual evaluation of the board of directors, each individual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 and each committee.</w:t>
      </w:r>
    </w:p>
    <w:p>
      <w:pPr>
        <w:spacing w:after="0" w:line="9" w:lineRule="exact"/>
        <w:rPr>
          <w:sz w:val="20"/>
          <w:szCs w:val="20"/>
          <w:color w:val="auto"/>
        </w:rPr>
      </w:pPr>
    </w:p>
    <w:p>
      <w:pPr>
        <w:ind w:left="420" w:hanging="156"/>
        <w:spacing w:after="0"/>
        <w:tabs>
          <w:tab w:leader="none" w:pos="42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Oversees Civeo's strategy and initiatives with regard to ESG matters.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Management</w:t>
      </w:r>
    </w:p>
    <w:p>
      <w:pPr>
        <w:spacing w:after="0" w:line="59" w:lineRule="exact"/>
        <w:rPr>
          <w:sz w:val="20"/>
          <w:szCs w:val="20"/>
          <w:color w:val="auto"/>
        </w:rPr>
      </w:pPr>
    </w:p>
    <w:p>
      <w:pPr>
        <w:ind w:left="380" w:hanging="165"/>
        <w:spacing w:after="0"/>
        <w:tabs>
          <w:tab w:leader="none" w:pos="38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Is responsible for day-to-day risk management.</w:t>
      </w:r>
    </w:p>
    <w:p>
      <w:pPr>
        <w:spacing w:after="0" w:line="30" w:lineRule="exact"/>
        <w:rPr>
          <w:rFonts w:ascii="Arial" w:cs="Arial" w:eastAsia="Arial" w:hAnsi="Arial"/>
          <w:sz w:val="16"/>
          <w:szCs w:val="16"/>
          <w:color w:val="006DB6"/>
        </w:rPr>
      </w:pPr>
    </w:p>
    <w:p>
      <w:pPr>
        <w:ind w:left="380" w:hanging="165"/>
        <w:spacing w:after="0"/>
        <w:tabs>
          <w:tab w:leader="none" w:pos="38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Conducts an annual risk assessment of our business that is reviewed by the board of directors.</w:t>
      </w:r>
    </w:p>
    <w:p>
      <w:pPr>
        <w:spacing w:after="0" w:line="8" w:lineRule="exact"/>
        <w:rPr>
          <w:rFonts w:ascii="Arial" w:cs="Arial" w:eastAsia="Arial" w:hAnsi="Arial"/>
          <w:sz w:val="16"/>
          <w:szCs w:val="16"/>
          <w:color w:val="006DB6"/>
        </w:rPr>
      </w:pPr>
    </w:p>
    <w:p>
      <w:pPr>
        <w:ind w:left="380" w:hanging="165"/>
        <w:spacing w:after="0"/>
        <w:tabs>
          <w:tab w:leader="none" w:pos="38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Incorporates risk assessment into the annual internal audit plan.</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Cybersecurity Risk Oversight Strategy</w:t>
      </w:r>
    </w:p>
    <w:p>
      <w:pPr>
        <w:spacing w:after="0" w:line="167" w:lineRule="exact"/>
        <w:rPr>
          <w:sz w:val="20"/>
          <w:szCs w:val="20"/>
          <w:color w:val="auto"/>
        </w:rPr>
      </w:pPr>
    </w:p>
    <w:p>
      <w:pPr>
        <w:ind w:left="220" w:right="100"/>
        <w:spacing w:after="0" w:line="271" w:lineRule="auto"/>
        <w:rPr>
          <w:sz w:val="20"/>
          <w:szCs w:val="20"/>
          <w:color w:val="auto"/>
        </w:rPr>
      </w:pPr>
      <w:r>
        <w:rPr>
          <w:rFonts w:ascii="Arial" w:cs="Arial" w:eastAsia="Arial" w:hAnsi="Arial"/>
          <w:sz w:val="16"/>
          <w:szCs w:val="16"/>
          <w:color w:val="auto"/>
        </w:rPr>
        <w:t>Cybersecurity risks are monitored and evaluated by management through an internal compliance program with oversight by internal audit. Civeo engages various third-party cybersecurity partners, such as auditors, assessors and consultants, to perform penetration testing and audits on our cybersecurity profile. In order to promote a company-wide culture of cybersecurity risk management, management has also implemented programs to both test and train our employees on cybersecurity fundamentals, including both annual and ongoing information security awareness training.</w:t>
      </w:r>
    </w:p>
    <w:p>
      <w:pPr>
        <w:spacing w:after="0" w:line="60" w:lineRule="exact"/>
        <w:rPr>
          <w:sz w:val="20"/>
          <w:szCs w:val="20"/>
          <w:color w:val="auto"/>
        </w:rPr>
      </w:pPr>
    </w:p>
    <w:p>
      <w:pPr>
        <w:ind w:left="220" w:right="140"/>
        <w:spacing w:after="0" w:line="275" w:lineRule="auto"/>
        <w:rPr>
          <w:sz w:val="20"/>
          <w:szCs w:val="20"/>
          <w:color w:val="auto"/>
        </w:rPr>
      </w:pPr>
      <w:r>
        <w:rPr>
          <w:rFonts w:ascii="Arial" w:cs="Arial" w:eastAsia="Arial" w:hAnsi="Arial"/>
          <w:sz w:val="16"/>
          <w:szCs w:val="16"/>
          <w:color w:val="auto"/>
        </w:rPr>
        <w:t>With the assistance of a third-party cybersecurity consultant, we also conducted three cyber breach simulation exercises in the last five quarters, focused on incident management and communication processes. Company business functions, executive management and members of the board of directors participated.</w:t>
      </w:r>
    </w:p>
    <w:p>
      <w:pPr>
        <w:spacing w:after="0" w:line="43"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The board of directors reviews the Company's cybersecurity risk posture, strategy and execution on at least an annual basis while the Audit Committee receives cybersecurity updates quarterly. Executive management regularly meets with the Audit Committee to discuss cybersecurity risks, review quarterly cyber metrics and oversee progress against our annual action plans. In addition to scheduled meetings, the Audit Committee and executive management maintain ongoing dialogue regarding emerging or potential cybersecurity risks.</w:t>
      </w:r>
    </w:p>
    <w:p>
      <w:pPr>
        <w:spacing w:after="0" w:line="191" w:lineRule="exact"/>
        <w:rPr>
          <w:sz w:val="20"/>
          <w:szCs w:val="20"/>
          <w:color w:val="auto"/>
        </w:rPr>
      </w:pPr>
    </w:p>
    <w:p>
      <w:pPr>
        <w:ind w:left="220" w:right="20"/>
        <w:spacing w:after="0" w:line="286" w:lineRule="auto"/>
        <w:rPr>
          <w:sz w:val="20"/>
          <w:szCs w:val="20"/>
          <w:color w:val="auto"/>
        </w:rPr>
      </w:pPr>
      <w:r>
        <w:rPr>
          <w:rFonts w:ascii="Arial" w:cs="Arial" w:eastAsia="Arial" w:hAnsi="Arial"/>
          <w:sz w:val="16"/>
          <w:szCs w:val="16"/>
          <w:color w:val="auto"/>
        </w:rPr>
        <w:t>For more information on our cybersecurity risk management, strategy and governance, see "Item 1C. Cybersecurity" of our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219075</wp:posOffset>
            </wp:positionV>
            <wp:extent cx="394335"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Management Succession Planning</w:t>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annually reviews the Company's succession planning for accounting and finance personnel.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Retention and Succession Planning</w:t>
      </w:r>
    </w:p>
    <w:p>
      <w:pPr>
        <w:spacing w:after="0" w:line="12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Compensation Committee is sensitive to the critical importance of key employee and executive retention, recognizing the costs, potential impacts and replacement challenges that accompany the loss of talented leadership particularly in a difficult market environment. Each year executive retention is carefully considered by the Compensation Committee in arriving at its long-term incentive award determinations for our NEOs, all of which remained consistent with our past practices.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of Human Capital Management</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strive to offer competitive compensation, benefits and services that meet the needs of our employees, including short and long-term incentive programs, various defined contribution plans, healthcare benefits, and wellness and employee assistance programs.</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Role in Corporate Responsibility and Corporate Citizenship</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Code of Business Conduct and Ethics</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Civeo has adopted a Corporate Code of Business Conduct and Ethics (the “Code of Conduct”), which requires that all directors, officers and employees of Civeo act ethically at all times. This Code of Conduct is available at Civeo’s website civeo.com by first clicking “ESG”, then selecting "Governance Documents" from the "Governance" drop-down menu, and then "Corporate Code of Business Conduct and Ethics."</w:t>
      </w:r>
    </w:p>
    <w:p>
      <w:pPr>
        <w:spacing w:after="0" w:line="7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Substantially all of our employees are required annually to complete online training which includes a review of our Corporate Code of Conduct and an acknowledgment that the employee has read and understands the policy.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Financial Code of Ethics for Senior Officers</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civeo.com by first clicking “ESG”, then selecting "Governance Documents" from the "Governance" drop-down menu, and then “Financial Code of Ethics for Senior Officers.”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Ethical principles set forth in the Financial Code of Ethics include, among other principles, matters such as:</w:t>
      </w:r>
    </w:p>
    <w:p>
      <w:pPr>
        <w:spacing w:after="0" w:line="113"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Acting ethically with honesty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Avoiding conflicts of interest;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Complying with disclosure and reporting obligations with full, fair, accurate, timely and understandable disclosures;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Complying with applicable laws, rules and regulations;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Acting in good faith, responsibly with due care, competence and diligence;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Promoting honest and ethical behavior by others in the work environment;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Respecting confidentiality of information acquired in the course of his or her work;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Responsibly using and maintaining assets and resources employed or entrusted to the Senior Officer.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Oversight of Commitment to ESG and Sustainability</w:t>
      </w:r>
    </w:p>
    <w:p>
      <w:pPr>
        <w:spacing w:after="0" w:line="11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believe that sound corporate citizenship and attention to ESG principles are essential to our success. Oversight of ESG matters is directly assigned to our Environmental, Social, Governance and Nominating Committee. See "Board of Directors - Committees - Environmental, Social, Governance and Nominating Committee" for further information with respect to the Committee's responsibilities.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Recently, to lend a more formalized structure to our ESG efforts, we have established a global Steering Committee at the Executive Management level. The</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Steering Committee, led by our CEO and composed of members of our Executive Management team, is charged with the development of our ESG Roadmap. The ESG Roadmap specifies strategies, and the accompanying actions, linked to measurable Key Performance Indicators. Supporting the ESG</w:t>
      </w:r>
    </w:p>
    <w:p>
      <w:pPr>
        <w:spacing w:after="0" w:line="238" w:lineRule="auto"/>
        <w:rPr>
          <w:sz w:val="20"/>
          <w:szCs w:val="20"/>
          <w:color w:val="auto"/>
        </w:rPr>
      </w:pPr>
      <w:r>
        <w:rPr>
          <w:rFonts w:ascii="Arial" w:cs="Arial" w:eastAsia="Arial" w:hAnsi="Arial"/>
          <w:sz w:val="16"/>
          <w:szCs w:val="16"/>
          <w:color w:val="auto"/>
        </w:rPr>
        <w:t>Steering Committee are separate Working Groups made up of the appropriate technical experts in the areas of 'Environmental', 'Social' and 'Governance', who are responsible for execution of the respective strategies. The Environmental, Social, Governance and Nominating Committee provides oversight to the Steering Committee.</w:t>
      </w:r>
    </w:p>
    <w:p>
      <w:pPr>
        <w:spacing w:after="0" w:line="71"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Shareholder Engagement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Through the year, we meet with analysts and institutional investors to inform and share our perspective, and to solicit their feedback on our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This includes participation in investor conferences and other formal events, and group and one-on-one meetings throughout the year.</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OUTREACH</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880" w:type="dxa"/>
            <w:vAlign w:val="bottom"/>
            <w:vMerge w:val="restart"/>
          </w:tcPr>
          <w:p>
            <w:pPr>
              <w:jc w:val="right"/>
              <w:ind w:right="2283"/>
              <w:spacing w:after="0"/>
              <w:rPr>
                <w:sz w:val="20"/>
                <w:szCs w:val="20"/>
                <w:color w:val="auto"/>
              </w:rPr>
            </w:pPr>
            <w:r>
              <w:rPr>
                <w:rFonts w:ascii="Arial" w:cs="Arial" w:eastAsia="Arial" w:hAnsi="Arial"/>
                <w:sz w:val="23"/>
                <w:szCs w:val="23"/>
                <w:color w:val="FFC03C"/>
                <w:w w:val="99"/>
              </w:rPr>
              <w:t>52%</w:t>
            </w:r>
          </w:p>
        </w:tc>
        <w:tc>
          <w:tcPr>
            <w:tcW w:w="7480" w:type="dxa"/>
            <w:vAlign w:val="bottom"/>
          </w:tcPr>
          <w:p>
            <w:pPr>
              <w:ind w:left="2420"/>
              <w:spacing w:after="0"/>
              <w:rPr>
                <w:sz w:val="20"/>
                <w:szCs w:val="20"/>
                <w:color w:val="auto"/>
              </w:rPr>
            </w:pPr>
            <w:r>
              <w:rPr>
                <w:rFonts w:ascii="Arial" w:cs="Arial" w:eastAsia="Arial" w:hAnsi="Arial"/>
                <w:sz w:val="15"/>
                <w:szCs w:val="15"/>
                <w:color w:val="auto"/>
              </w:rPr>
              <w:t>During 2025, we conducted shareholder engagement with shareholders</w:t>
            </w:r>
          </w:p>
        </w:tc>
        <w:tc>
          <w:tcPr>
            <w:tcW w:w="0" w:type="dxa"/>
            <w:vAlign w:val="bottom"/>
          </w:tcPr>
          <w:p>
            <w:pPr>
              <w:spacing w:after="0"/>
              <w:rPr>
                <w:sz w:val="1"/>
                <w:szCs w:val="1"/>
                <w:color w:val="auto"/>
              </w:rPr>
            </w:pPr>
          </w:p>
        </w:tc>
      </w:tr>
      <w:tr>
        <w:trPr>
          <w:trHeight w:val="203"/>
        </w:trPr>
        <w:tc>
          <w:tcPr>
            <w:tcW w:w="2880" w:type="dxa"/>
            <w:vAlign w:val="bottom"/>
            <w:vMerge w:val="continue"/>
          </w:tcPr>
          <w:p>
            <w:pPr>
              <w:spacing w:after="0"/>
              <w:rPr>
                <w:sz w:val="17"/>
                <w:szCs w:val="17"/>
                <w:color w:val="auto"/>
              </w:rPr>
            </w:pPr>
          </w:p>
        </w:tc>
        <w:tc>
          <w:tcPr>
            <w:tcW w:w="7480" w:type="dxa"/>
            <w:vAlign w:val="bottom"/>
          </w:tcPr>
          <w:p>
            <w:pPr>
              <w:ind w:left="2420"/>
              <w:spacing w:after="0"/>
              <w:rPr>
                <w:sz w:val="20"/>
                <w:szCs w:val="20"/>
                <w:color w:val="auto"/>
              </w:rPr>
            </w:pPr>
            <w:r>
              <w:rPr>
                <w:rFonts w:ascii="Arial" w:cs="Arial" w:eastAsia="Arial" w:hAnsi="Arial"/>
                <w:sz w:val="15"/>
                <w:szCs w:val="15"/>
                <w:color w:val="auto"/>
              </w:rPr>
              <w:t xml:space="preserve">representing over </w:t>
            </w:r>
            <w:r>
              <w:rPr>
                <w:rFonts w:ascii="Arial" w:cs="Arial" w:eastAsia="Arial" w:hAnsi="Arial"/>
                <w:sz w:val="15"/>
                <w:szCs w:val="15"/>
                <w:color w:val="FBC150"/>
              </w:rPr>
              <w:t>52%</w:t>
            </w:r>
            <w:r>
              <w:rPr>
                <w:rFonts w:ascii="Arial" w:cs="Arial" w:eastAsia="Arial" w:hAnsi="Arial"/>
                <w:sz w:val="15"/>
                <w:szCs w:val="15"/>
                <w:color w:val="auto"/>
              </w:rPr>
              <w:t xml:space="preserve"> of our outstanding shares regarding the Company’s</w:t>
            </w:r>
          </w:p>
        </w:tc>
        <w:tc>
          <w:tcPr>
            <w:tcW w:w="0" w:type="dxa"/>
            <w:vAlign w:val="bottom"/>
          </w:tcPr>
          <w:p>
            <w:pPr>
              <w:spacing w:after="0"/>
              <w:rPr>
                <w:sz w:val="1"/>
                <w:szCs w:val="1"/>
                <w:color w:val="auto"/>
              </w:rPr>
            </w:pPr>
          </w:p>
        </w:tc>
      </w:tr>
    </w:tbl>
    <w:p>
      <w:pPr>
        <w:ind w:left="5320"/>
        <w:spacing w:after="0"/>
        <w:rPr>
          <w:sz w:val="20"/>
          <w:szCs w:val="20"/>
          <w:color w:val="auto"/>
        </w:rPr>
      </w:pPr>
      <w:r>
        <w:rPr>
          <w:rFonts w:ascii="Arial" w:cs="Arial" w:eastAsia="Arial" w:hAnsi="Arial"/>
          <w:sz w:val="15"/>
          <w:szCs w:val="15"/>
          <w:color w:val="auto"/>
        </w:rPr>
        <w:t>operations, financial results, strategy and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270891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8910" cy="1885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527050</wp:posOffset>
            </wp:positionV>
            <wp:extent cx="394335"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Directors—Structure</w:t>
      </w:r>
    </w:p>
    <w:p>
      <w:pPr>
        <w:spacing w:after="0" w:line="1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2024, our shareholders approved amendments to our Articles to phase-in the declassification of our board of directors over a period of three years. In accordance with the Articles, Class II and Class III directors with terms expiring at this annual general meeting, Messrs. Dodson, Navarre, Lambert, Silvers and Wall and Ms. Moore will stand for re-election to a one-year term at this annual general meeting. Beginning with our 2027 annual general meeting, all directors will be elected to a one-year term.</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Leadership</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board of directors is led by our independent Chair of the Board, and the Chief Executive Officer position is currently separate from the Chair role. The Chair presides over board meetings and executive sessions of the independent directors, works with management and the independent directors to approve agendas and schedules, and is available to engage directly with shareholders where appropriate. The board of directors maintains the flexibility to determine whether the roles of Chair and Chief Executive Officer should be combined or separated, based on what it believes is in the best interests of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Independence</w:t>
      </w:r>
    </w:p>
    <w:p>
      <w:pPr>
        <w:spacing w:after="0" w:line="14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Civeo board of directors reviews, as appropriate, material or relevant direct or indirect business relationships between each director (including his or her immediate family) and the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82"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Martin A. Lambert, Michael Montelongo, Constance B. Moore, Jeffrey B. Scofield, Daniel B. Silvers, and Timothy O. Wall) qualify as “independent” in accordance with the applicable NYSE listing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Sessions</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independent directors regularly meet in executive session with no members of management present, generally at each board of directors and committee meeting. Our Chair of the Board, Richard Navarre, who is an independent director, or the respective Committee Chair, each of whom is independent, presides at these sessions.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Directors—Committees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Civeo board of directors has established several standing committees in connection with the discharge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05610" cy="3257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05610" cy="325755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75" w:lineRule="exact"/>
        <w:rPr>
          <w:sz w:val="20"/>
          <w:szCs w:val="20"/>
          <w:color w:val="auto"/>
        </w:rPr>
      </w:pPr>
    </w:p>
    <w:p>
      <w:pPr>
        <w:ind w:left="100" w:right="920"/>
        <w:spacing w:after="0" w:line="314" w:lineRule="auto"/>
        <w:rPr>
          <w:sz w:val="20"/>
          <w:szCs w:val="20"/>
          <w:color w:val="auto"/>
        </w:rPr>
      </w:pPr>
      <w:r>
        <w:rPr>
          <w:rFonts w:ascii="Arial" w:cs="Arial" w:eastAsia="Arial" w:hAnsi="Arial"/>
          <w:sz w:val="16"/>
          <w:szCs w:val="16"/>
          <w:b w:val="1"/>
          <w:bCs w:val="1"/>
          <w:color w:val="auto"/>
        </w:rPr>
        <w:t>Constance B. Moore (Chair)</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 Ronald Blankenship</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Jay K. Grewal*</w:t>
      </w:r>
    </w:p>
    <w:p>
      <w:pPr>
        <w:spacing w:after="0" w:line="5" w:lineRule="exact"/>
        <w:rPr>
          <w:sz w:val="20"/>
          <w:szCs w:val="20"/>
          <w:color w:val="auto"/>
        </w:rPr>
      </w:pPr>
    </w:p>
    <w:p>
      <w:pPr>
        <w:ind w:left="100" w:right="920"/>
        <w:spacing w:after="0" w:line="293" w:lineRule="auto"/>
        <w:rPr>
          <w:sz w:val="20"/>
          <w:szCs w:val="20"/>
          <w:color w:val="auto"/>
        </w:rPr>
      </w:pPr>
      <w:r>
        <w:rPr>
          <w:rFonts w:ascii="Arial" w:cs="Arial" w:eastAsia="Arial" w:hAnsi="Arial"/>
          <w:sz w:val="16"/>
          <w:szCs w:val="16"/>
          <w:b w:val="1"/>
          <w:bCs w:val="1"/>
          <w:color w:val="auto"/>
        </w:rPr>
        <w:t>Jeffrey B. Scofield Charles Szalkowski*</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line="262" w:lineRule="auto"/>
        <w:rPr>
          <w:sz w:val="20"/>
          <w:szCs w:val="20"/>
          <w:color w:val="auto"/>
        </w:rPr>
      </w:pPr>
      <w:r>
        <w:rPr>
          <w:rFonts w:ascii="Arial" w:cs="Arial" w:eastAsia="Arial" w:hAnsi="Arial"/>
          <w:sz w:val="16"/>
          <w:szCs w:val="16"/>
          <w:color w:val="auto"/>
        </w:rPr>
        <w:t>*Ms. Grewal and Mr. Szalkowski will cease to be members of the Audit Committee following the annual general meeting. Michael Montelongo will join the Audit Committee after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1705610" cy="3111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05610" cy="3111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460" w:hanging="192"/>
        <w:spacing w:after="0" w:line="286" w:lineRule="auto"/>
        <w:tabs>
          <w:tab w:leader="none" w:pos="17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Oversees the integrity of Civeo's financial statements and effectiveness of our internal control over financial reporting.</w:t>
      </w:r>
    </w:p>
    <w:p>
      <w:pPr>
        <w:spacing w:after="0" w:line="20" w:lineRule="exact"/>
        <w:rPr>
          <w:rFonts w:ascii="Arial" w:cs="Arial" w:eastAsia="Arial" w:hAnsi="Arial"/>
          <w:sz w:val="16"/>
          <w:szCs w:val="16"/>
          <w:color w:val="006DB6"/>
        </w:rPr>
      </w:pPr>
    </w:p>
    <w:p>
      <w:pPr>
        <w:ind w:left="200" w:right="280" w:hanging="192"/>
        <w:spacing w:after="0" w:line="275" w:lineRule="auto"/>
        <w:tabs>
          <w:tab w:leader="none" w:pos="17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Appoints our independent auditors and reviews the general scope of audit coverage, the fees charged by the independent auditors, matters relating to internal control systems and other matters related to accounting and reporting functions.</w:t>
      </w:r>
    </w:p>
    <w:p>
      <w:pPr>
        <w:spacing w:after="0" w:line="29" w:lineRule="exact"/>
        <w:rPr>
          <w:rFonts w:ascii="Arial" w:cs="Arial" w:eastAsia="Arial" w:hAnsi="Arial"/>
          <w:sz w:val="16"/>
          <w:szCs w:val="16"/>
          <w:color w:val="006DB6"/>
        </w:rPr>
      </w:pPr>
    </w:p>
    <w:p>
      <w:pPr>
        <w:ind w:left="200" w:right="1020" w:hanging="192"/>
        <w:spacing w:after="0" w:line="286" w:lineRule="auto"/>
        <w:tabs>
          <w:tab w:leader="none" w:pos="17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Meets separately with representatives of our independent auditors, our internal audit personnel and representatives of senior management in performing its functions.</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Assess risks, including technology and cybersecurity risks.</w:t>
      </w:r>
    </w:p>
    <w:p>
      <w:pPr>
        <w:spacing w:after="0" w:line="113"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board of directors has determined that each of Messrs. Blankenship and Scofield and Ms. Moore is independent under applicable NYSE and SEC rules for board of director and audit committee independence.</w:t>
      </w:r>
    </w:p>
    <w:p>
      <w:pPr>
        <w:spacing w:after="0" w:line="3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of directors has determined that each of Messrs. Blankenship, Scofield and Szalkowski and Mses. Grewal and Moore is financially literate and has accounting or related financial management expertise, each as required by the applicable NYSE listing standards. The board of directors also has determined that Mr. Blankenship and Ms. Moore qualify as audit committee financial experts under the applicable rules of the SEC.</w:t>
      </w:r>
    </w:p>
    <w:p>
      <w:pPr>
        <w:spacing w:after="0" w:line="7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 more detailed discussion of the Audit Committee’s mission, composition and responsibilities is contained in the Audit Committee charter, which is available on our website, civeo.com, by first clicking “ESG”, then selecting “Governance Documents” from the "Governance" drop-down menu, and then “Audit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67310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80"/>
            <w:col w:w="8300"/>
          </w:cols>
          <w:pgMar w:left="320" w:top="125" w:right="399" w:bottom="1440" w:gutter="0" w:footer="0" w:header="0"/>
          <w:type w:val="continuous"/>
        </w:sect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Martin A. Lambert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(Chair)</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Michael Montelongo* Constance</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 Moore</w:t>
      </w:r>
    </w:p>
    <w:p>
      <w:pPr>
        <w:spacing w:after="0" w:line="5" w:lineRule="exact"/>
        <w:rPr>
          <w:sz w:val="20"/>
          <w:szCs w:val="20"/>
          <w:color w:val="auto"/>
        </w:rPr>
      </w:pPr>
    </w:p>
    <w:p>
      <w:pPr>
        <w:ind w:left="100" w:right="880"/>
        <w:spacing w:after="0" w:line="406" w:lineRule="auto"/>
        <w:rPr>
          <w:sz w:val="20"/>
          <w:szCs w:val="20"/>
          <w:color w:val="auto"/>
        </w:rPr>
      </w:pPr>
      <w:r>
        <w:rPr>
          <w:rFonts w:ascii="Arial" w:cs="Arial" w:eastAsia="Arial" w:hAnsi="Arial"/>
          <w:sz w:val="16"/>
          <w:szCs w:val="16"/>
          <w:b w:val="1"/>
          <w:bCs w:val="1"/>
          <w:color w:val="auto"/>
        </w:rPr>
        <w:t xml:space="preserve">Daniel B. Silvers </w:t>
      </w:r>
      <w:r>
        <w:rPr>
          <w:rFonts w:ascii="Arial" w:cs="Arial" w:eastAsia="Arial" w:hAnsi="Arial"/>
          <w:sz w:val="16"/>
          <w:szCs w:val="16"/>
          <w:color w:val="auto"/>
        </w:rPr>
        <w:t>Number of Meetings: 5</w:t>
      </w:r>
    </w:p>
    <w:p>
      <w:pPr>
        <w:spacing w:after="0" w:line="320" w:lineRule="exact"/>
        <w:rPr>
          <w:sz w:val="20"/>
          <w:szCs w:val="20"/>
          <w:color w:val="auto"/>
        </w:rPr>
      </w:pPr>
    </w:p>
    <w:p>
      <w:pPr>
        <w:ind w:left="100"/>
        <w:spacing w:after="0" w:line="260" w:lineRule="auto"/>
        <w:rPr>
          <w:sz w:val="20"/>
          <w:szCs w:val="20"/>
          <w:color w:val="auto"/>
        </w:rPr>
      </w:pPr>
      <w:r>
        <w:rPr>
          <w:rFonts w:ascii="Arial" w:cs="Arial" w:eastAsia="Arial" w:hAnsi="Arial"/>
          <w:sz w:val="16"/>
          <w:szCs w:val="16"/>
          <w:color w:val="auto"/>
        </w:rPr>
        <w:t>*Mr. Montelongo will cease to be a member of the Compensation Committee, and Mr. Wall will join the Compensation Committee after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1339215</wp:posOffset>
            </wp:positionV>
            <wp:extent cx="394335" cy="196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Determines the compensation of our chief executive officer and other executive officers.</w:t>
      </w:r>
    </w:p>
    <w:p>
      <w:pPr>
        <w:spacing w:after="0" w:line="72" w:lineRule="exact"/>
        <w:rPr>
          <w:rFonts w:ascii="Arial" w:cs="Arial" w:eastAsia="Arial" w:hAnsi="Arial"/>
          <w:sz w:val="16"/>
          <w:szCs w:val="16"/>
          <w:color w:val="006DB6"/>
        </w:rPr>
      </w:pPr>
    </w:p>
    <w:p>
      <w:pPr>
        <w:jc w:val="both"/>
        <w:ind w:left="200" w:right="400" w:hanging="192"/>
        <w:spacing w:after="0" w:line="275"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Oversees and approves compensation and employee benefit policies as well as oversees policies related to human capital management with regards to diversity and inclusion, workplace environment and culture, and talent development and retention.</w:t>
      </w:r>
    </w:p>
    <w:p>
      <w:pPr>
        <w:spacing w:after="0" w:line="29" w:lineRule="exact"/>
        <w:rPr>
          <w:rFonts w:ascii="Arial" w:cs="Arial" w:eastAsia="Arial" w:hAnsi="Arial"/>
          <w:sz w:val="16"/>
          <w:szCs w:val="16"/>
          <w:color w:val="006DB6"/>
        </w:rPr>
      </w:pPr>
    </w:p>
    <w:p>
      <w:pPr>
        <w:ind w:left="180" w:hanging="172"/>
        <w:spacing w:after="0"/>
        <w:tabs>
          <w:tab w:leader="none" w:pos="18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Meets on succession planning with respect to Company's key executive positions.</w:t>
      </w:r>
    </w:p>
    <w:p>
      <w:pPr>
        <w:spacing w:after="0" w:line="86" w:lineRule="exact"/>
        <w:rPr>
          <w:rFonts w:ascii="Arial" w:cs="Arial" w:eastAsia="Arial" w:hAnsi="Arial"/>
          <w:sz w:val="16"/>
          <w:szCs w:val="16"/>
          <w:color w:val="006DB6"/>
        </w:rPr>
      </w:pPr>
    </w:p>
    <w:p>
      <w:pPr>
        <w:ind w:left="200" w:right="180" w:hanging="192"/>
        <w:spacing w:after="0" w:line="26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Administers the EPP, and in this capacity makes a recommendation to the full board of directors concerning the aggregate amount of all equity awards to employees as well as specific awards to executive officers under the EPP.</w:t>
      </w:r>
    </w:p>
    <w:p>
      <w:pPr>
        <w:spacing w:after="0" w:line="36" w:lineRule="exact"/>
        <w:rPr>
          <w:rFonts w:ascii="Arial" w:cs="Arial" w:eastAsia="Arial" w:hAnsi="Arial"/>
          <w:sz w:val="16"/>
          <w:szCs w:val="16"/>
          <w:color w:val="006DB6"/>
        </w:rPr>
      </w:pPr>
    </w:p>
    <w:p>
      <w:pPr>
        <w:ind w:left="200" w:right="60" w:hanging="192"/>
        <w:spacing w:after="0" w:line="304"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Reviews and discusses with our management the Compensation Discussion and Analysis and related disclosure included in our annual proxy statement.</w:t>
      </w:r>
    </w:p>
    <w:p>
      <w:pPr>
        <w:spacing w:after="0" w:line="33"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board of directors has determined that each of Messrs. Lambert, Montelongo and Silvers and Ms. Moore is independent under applicable NYSE and SEC rules for board of director and compensation committee independence.</w:t>
      </w:r>
    </w:p>
    <w:p>
      <w:pPr>
        <w:spacing w:after="0" w:line="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 more detailed discussion of the Compensation Committee’s mission, composition and responsibilities is contained in the Compensation Committee charter, which is available on our website, civeo.com, by first clicking “ESG”, then selecting “Governance Documents” from the "Governance" drop-down menu, and then “Compensation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76200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260"/>
            <w:col w:w="8300"/>
          </w:cols>
          <w:pgMar w:left="320" w:top="125" w:right="39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27946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0561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right="960"/>
        <w:spacing w:after="0" w:line="296" w:lineRule="auto"/>
        <w:rPr>
          <w:sz w:val="20"/>
          <w:szCs w:val="20"/>
          <w:color w:val="auto"/>
        </w:rPr>
      </w:pPr>
      <w:r>
        <w:rPr>
          <w:rFonts w:ascii="Arial" w:cs="Arial" w:eastAsia="Arial" w:hAnsi="Arial"/>
          <w:sz w:val="16"/>
          <w:szCs w:val="16"/>
          <w:b w:val="1"/>
          <w:bCs w:val="1"/>
          <w:color w:val="auto"/>
        </w:rPr>
        <w:t>Charles Szalkowski* (Chair)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Michael Montelongo Richard A.</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Navarre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Daniel B. Silvers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Timothy O. Wall</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firstLine="7"/>
        <w:spacing w:after="0" w:line="259"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Szalkowski will cease to be the Chair and a member of the Environmental, Social, Governance and Nominating Committee following the annual general meeting. Mr. Montelongo will be appointed Chair following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705610" cy="1791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05610" cy="1791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Environmental, Social, Governance and Nominating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Advises the board of directors about appropriate composition of the board of directors and its committees.</w:t>
      </w:r>
    </w:p>
    <w:p>
      <w:pPr>
        <w:spacing w:after="0" w:line="86" w:lineRule="exact"/>
        <w:rPr>
          <w:rFonts w:ascii="Arial" w:cs="Arial" w:eastAsia="Arial" w:hAnsi="Arial"/>
          <w:sz w:val="16"/>
          <w:szCs w:val="16"/>
          <w:color w:val="006DB6"/>
        </w:rPr>
      </w:pPr>
    </w:p>
    <w:p>
      <w:pPr>
        <w:ind w:left="200" w:right="28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Oversees the evaluation of the board of directors through its annual review of the performance of the board, its committees and individual board members.</w:t>
      </w:r>
    </w:p>
    <w:p>
      <w:pPr>
        <w:spacing w:after="0" w:line="20" w:lineRule="exact"/>
        <w:rPr>
          <w:rFonts w:ascii="Arial" w:cs="Arial" w:eastAsia="Arial" w:hAnsi="Arial"/>
          <w:sz w:val="16"/>
          <w:szCs w:val="16"/>
          <w:color w:val="006DB6"/>
        </w:rPr>
      </w:pPr>
    </w:p>
    <w:p>
      <w:pPr>
        <w:ind w:left="200" w:right="76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Makes proposals to the board of directors for candidates to be nominated by the board of directors to fill vacancies or for new directorship positions, if any, which may be created from time to time.</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Oversees the Company's strategy and initiatives with regard to ESG matters.</w:t>
      </w:r>
    </w:p>
    <w:p>
      <w:pPr>
        <w:spacing w:after="0" w:line="12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board of directors has determined that each Messrs. Montelongo, Navarre, Silvers, Szalkowski and Wall is independent under applicable NYSE rules.</w:t>
      </w:r>
    </w:p>
    <w:p>
      <w:pPr>
        <w:spacing w:after="0" w:line="6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more detailed discussion of the Environmental, Social, Governance and Nominating Committee’s mission, composition and responsibilities is contained in the Environmental, Social, Governance and Nominating Committee charter, which is available on our website, civeo.com, by first clicking “ESG”, then selecting “Governance Documents” from the "Governance" drop-down menu, and then “Environmental, Social, Governance and Nominating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2640" w:space="240"/>
            <w:col w:w="8360"/>
          </w:cols>
          <w:pgMar w:left="320" w:top="125" w:right="339" w:bottom="1440" w:gutter="0" w:footer="0" w:header="0"/>
        </w:sectPr>
      </w:pPr>
    </w:p>
    <w:p>
      <w:pPr>
        <w:spacing w:after="0" w:line="169" w:lineRule="exact"/>
        <w:rPr>
          <w:sz w:val="20"/>
          <w:szCs w:val="20"/>
          <w:color w:val="auto"/>
        </w:rPr>
      </w:pPr>
    </w:p>
    <w:p>
      <w:pPr>
        <w:ind w:left="100" w:right="800"/>
        <w:spacing w:after="0" w:line="296" w:lineRule="auto"/>
        <w:rPr>
          <w:sz w:val="20"/>
          <w:szCs w:val="20"/>
          <w:color w:val="auto"/>
        </w:rPr>
      </w:pPr>
      <w:r>
        <w:rPr>
          <w:rFonts w:ascii="Arial" w:cs="Arial" w:eastAsia="Arial" w:hAnsi="Arial"/>
          <w:sz w:val="16"/>
          <w:szCs w:val="16"/>
          <w:b w:val="1"/>
          <w:bCs w:val="1"/>
          <w:color w:val="auto"/>
        </w:rPr>
        <w:t>C. Ronald Blankenship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Jay K. Grewal*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Martin A. Lambert</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Jeffrey B. Scofield</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Timothy O. Wall</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3</w:t>
      </w:r>
    </w:p>
    <w:p>
      <w:pPr>
        <w:spacing w:after="0" w:line="127" w:lineRule="exact"/>
        <w:rPr>
          <w:sz w:val="20"/>
          <w:szCs w:val="20"/>
          <w:color w:val="auto"/>
        </w:rPr>
      </w:pPr>
    </w:p>
    <w:p>
      <w:pPr>
        <w:ind w:left="100" w:firstLine="7"/>
        <w:spacing w:after="0" w:line="265" w:lineRule="auto"/>
        <w:tabs>
          <w:tab w:leader="none" w:pos="2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Grewal will cease to be a member of the Finance and Investment Committee following the annual general meeting.</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Finance and Investment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60" w:hanging="192"/>
        <w:spacing w:after="0" w:line="275" w:lineRule="auto"/>
        <w:tabs>
          <w:tab w:leader="none" w:pos="17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spacing w:after="0" w:line="7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 more detailed discussion of the Finance and Investment Committee’s mission, composition and responsibilities is contained in the Finance and Investment Committee charter, which is available on our website, civeo.com, by first clicking “ESG”, then selecting “Governance Documents” from the "Governance" drop-down menu, and then “Finance and Investment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307340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2680" w:space="200"/>
            <w:col w:w="8360"/>
          </w:cols>
          <w:pgMar w:left="320" w:top="125"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FFC03C"/>
        </w:rPr>
        <w:t>Committee Composition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committee structure and membership information.</w:t>
      </w:r>
    </w:p>
    <w:p>
      <w:pPr>
        <w:spacing w:after="0" w:line="166" w:lineRule="exact"/>
        <w:rPr>
          <w:sz w:val="20"/>
          <w:szCs w:val="20"/>
          <w:color w:val="auto"/>
        </w:rPr>
      </w:pPr>
    </w:p>
    <w:tbl>
      <w:tblPr>
        <w:tblLayout w:type="fixed"/>
        <w:tblInd w:w="434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706F6F"/>
              </w:rPr>
              <w:t>Environmental, Social, Governance</w:t>
            </w:r>
          </w:p>
        </w:tc>
        <w:tc>
          <w:tcPr>
            <w:tcW w:w="1040" w:type="dxa"/>
            <w:vAlign w:val="bottom"/>
          </w:tcPr>
          <w:p>
            <w:pPr>
              <w:jc w:val="center"/>
              <w:ind w:left="173"/>
              <w:spacing w:after="0"/>
              <w:rPr>
                <w:sz w:val="20"/>
                <w:szCs w:val="20"/>
                <w:color w:val="auto"/>
              </w:rPr>
            </w:pPr>
            <w:r>
              <w:rPr>
                <w:rFonts w:ascii="Arial" w:cs="Arial" w:eastAsia="Arial" w:hAnsi="Arial"/>
                <w:sz w:val="13"/>
                <w:szCs w:val="13"/>
                <w:b w:val="1"/>
                <w:bCs w:val="1"/>
                <w:color w:val="706F6F"/>
              </w:rPr>
              <w:t>Finance and</w:t>
            </w:r>
          </w:p>
        </w:tc>
      </w:tr>
      <w:tr>
        <w:trPr>
          <w:trHeight w:val="162"/>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Audit</w:t>
            </w:r>
          </w:p>
        </w:tc>
        <w:tc>
          <w:tcPr>
            <w:tcW w:w="154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Compensation</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706F6F"/>
              </w:rPr>
              <w:t>and Nominating</w:t>
            </w:r>
          </w:p>
        </w:tc>
        <w:tc>
          <w:tcPr>
            <w:tcW w:w="1040" w:type="dxa"/>
            <w:vAlign w:val="bottom"/>
          </w:tcPr>
          <w:p>
            <w:pPr>
              <w:jc w:val="center"/>
              <w:ind w:left="173"/>
              <w:spacing w:after="0"/>
              <w:rPr>
                <w:sz w:val="20"/>
                <w:szCs w:val="20"/>
                <w:color w:val="auto"/>
              </w:rPr>
            </w:pPr>
            <w:r>
              <w:rPr>
                <w:rFonts w:ascii="Arial" w:cs="Arial" w:eastAsia="Arial" w:hAnsi="Arial"/>
                <w:sz w:val="13"/>
                <w:szCs w:val="13"/>
                <w:b w:val="1"/>
                <w:bCs w:val="1"/>
                <w:color w:val="706F6F"/>
              </w:rPr>
              <w:t>Investment</w:t>
            </w:r>
          </w:p>
        </w:tc>
      </w:tr>
      <w:tr>
        <w:trPr>
          <w:trHeight w:val="186"/>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Committee</w:t>
            </w:r>
          </w:p>
        </w:tc>
        <w:tc>
          <w:tcPr>
            <w:tcW w:w="154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Committee</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706F6F"/>
              </w:rPr>
              <w:t>Committee</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-185420</wp:posOffset>
            </wp:positionV>
            <wp:extent cx="197167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716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08914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Jay K.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Jeffrey B. Scofield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Daniel B. Silvers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8914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891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Directors—Practices, Policies and Processes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Commitment to Good Governance Practices</w:t>
      </w:r>
    </w:p>
    <w:p>
      <w:pPr>
        <w:sectPr>
          <w:pgSz w:w="11900" w:h="16838" w:orient="portrait"/>
          <w:cols w:equalWidth="0" w:num="1">
            <w:col w:w="11200"/>
          </w:cols>
          <w:pgMar w:left="320" w:top="125" w:right="37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28460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66160" cy="2846070"/>
                    </a:xfrm>
                    <a:prstGeom prst="rect">
                      <a:avLst/>
                    </a:prstGeom>
                    <a:noFill/>
                  </pic:spPr>
                </pic:pic>
              </a:graphicData>
            </a:graphic>
          </wp:anchor>
        </w:drawing>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31"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w:t>
      </w:r>
    </w:p>
    <w:p>
      <w:pPr>
        <w:spacing w:after="0" w:line="86" w:lineRule="exact"/>
        <w:rPr>
          <w:sz w:val="20"/>
          <w:szCs w:val="20"/>
          <w:color w:val="auto"/>
        </w:rPr>
      </w:pPr>
    </w:p>
    <w:p>
      <w:pPr>
        <w:ind w:left="420" w:right="620" w:hanging="203"/>
        <w:spacing w:after="0"/>
        <w:rPr>
          <w:sz w:val="20"/>
          <w:szCs w:val="20"/>
          <w:color w:val="auto"/>
        </w:rPr>
      </w:pPr>
      <w:r>
        <w:rPr>
          <w:sz w:val="1"/>
          <w:szCs w:val="1"/>
          <w:color w:val="auto"/>
        </w:rPr>
        <w:drawing>
          <wp:inline distT="0" distB="0" distL="0" distR="0">
            <wp:extent cx="68580" cy="5969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Commenced declassification of board of directors in 2024, with classified board be phased out by 2027</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86" w:lineRule="exact"/>
        <w:rPr>
          <w:sz w:val="20"/>
          <w:szCs w:val="20"/>
          <w:color w:val="auto"/>
        </w:rPr>
      </w:pPr>
    </w:p>
    <w:p>
      <w:pPr>
        <w:ind w:left="420" w:right="80" w:hanging="203"/>
        <w:spacing w:after="0"/>
        <w:rPr>
          <w:sz w:val="20"/>
          <w:szCs w:val="20"/>
          <w:color w:val="auto"/>
        </w:rPr>
      </w:pPr>
      <w:r>
        <w:rPr>
          <w:sz w:val="1"/>
          <w:szCs w:val="1"/>
          <w:color w:val="auto"/>
        </w:rPr>
        <w:drawing>
          <wp:inline distT="0" distB="0" distL="0" distR="0">
            <wp:extent cx="68580" cy="5969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comprised of independent directors</w:t>
      </w:r>
    </w:p>
    <w:p>
      <w:pPr>
        <w:spacing w:after="0" w:line="73"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5969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603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86"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5969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180" w:hanging="203"/>
        <w:spacing w:after="0"/>
        <w:rPr>
          <w:sz w:val="20"/>
          <w:szCs w:val="20"/>
          <w:color w:val="auto"/>
        </w:rPr>
      </w:pPr>
      <w:r>
        <w:rPr>
          <w:sz w:val="1"/>
          <w:szCs w:val="1"/>
          <w:color w:val="auto"/>
        </w:rPr>
        <w:drawing>
          <wp:inline distT="0" distB="0" distL="0" distR="0">
            <wp:extent cx="68580" cy="5969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Oversight of ESG matters directly assigned to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8460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66160" cy="2846070"/>
                    </a:xfrm>
                    <a:prstGeom prst="rect">
                      <a:avLst/>
                    </a:prstGeom>
                    <a:noFill/>
                  </pic:spPr>
                </pic:pic>
              </a:graphicData>
            </a:graphic>
          </wp:anchor>
        </w:drawing>
      </w:r>
    </w:p>
    <w:p>
      <w:pPr>
        <w:spacing w:after="0" w:line="111"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5969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55" w:lineRule="exact"/>
        <w:rPr>
          <w:sz w:val="20"/>
          <w:szCs w:val="20"/>
          <w:color w:val="auto"/>
        </w:rPr>
      </w:pPr>
    </w:p>
    <w:p>
      <w:pPr>
        <w:ind w:left="220" w:right="160" w:hanging="203"/>
        <w:spacing w:after="0"/>
        <w:rPr>
          <w:sz w:val="20"/>
          <w:szCs w:val="20"/>
          <w:color w:val="auto"/>
        </w:rPr>
      </w:pPr>
      <w:r>
        <w:rPr>
          <w:sz w:val="1"/>
          <w:szCs w:val="1"/>
          <w:color w:val="auto"/>
        </w:rPr>
        <w:drawing>
          <wp:inline distT="0" distB="0" distL="0" distR="0">
            <wp:extent cx="68580" cy="5969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applicable to executive officers and directors</w:t>
      </w:r>
    </w:p>
    <w:p>
      <w:pPr>
        <w:spacing w:after="0" w:line="42" w:lineRule="exact"/>
        <w:rPr>
          <w:sz w:val="20"/>
          <w:szCs w:val="20"/>
          <w:color w:val="auto"/>
        </w:rPr>
      </w:pPr>
    </w:p>
    <w:p>
      <w:pPr>
        <w:ind w:left="220" w:right="140" w:hanging="203"/>
        <w:spacing w:after="0"/>
        <w:rPr>
          <w:sz w:val="20"/>
          <w:szCs w:val="20"/>
          <w:color w:val="auto"/>
        </w:rPr>
      </w:pPr>
      <w:r>
        <w:rPr>
          <w:sz w:val="1"/>
          <w:szCs w:val="1"/>
          <w:color w:val="auto"/>
        </w:rPr>
        <w:drawing>
          <wp:inline distT="0" distB="0" distL="0" distR="0">
            <wp:extent cx="68580" cy="5969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42"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5969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86" w:lineRule="exact"/>
        <w:rPr>
          <w:sz w:val="20"/>
          <w:szCs w:val="20"/>
          <w:color w:val="auto"/>
        </w:rPr>
      </w:pPr>
    </w:p>
    <w:p>
      <w:pPr>
        <w:ind w:left="220" w:right="500" w:hanging="203"/>
        <w:spacing w:after="0"/>
        <w:rPr>
          <w:sz w:val="20"/>
          <w:szCs w:val="20"/>
          <w:color w:val="auto"/>
        </w:rPr>
      </w:pPr>
      <w:r>
        <w:rPr>
          <w:sz w:val="1"/>
          <w:szCs w:val="1"/>
          <w:color w:val="auto"/>
        </w:rPr>
        <w:drawing>
          <wp:inline distT="0" distB="0" distL="0" distR="0">
            <wp:extent cx="68580" cy="603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1388" w:lineRule="exact"/>
        <w:rPr>
          <w:sz w:val="20"/>
          <w:szCs w:val="20"/>
          <w:color w:val="auto"/>
        </w:rPr>
      </w:pPr>
    </w:p>
    <w:p>
      <w:pPr>
        <w:sectPr>
          <w:pgSz w:w="11900" w:h="16838" w:orient="portrait"/>
          <w:cols w:equalWidth="0" w:num="2">
            <w:col w:w="5480" w:space="340"/>
            <w:col w:w="5380"/>
          </w:cols>
          <w:pgMar w:left="320" w:top="125" w:right="37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and Committee Meetings</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2025, the Civeo board of directors held ten meetings, the Audit Committee held seven meetings, the Compensation Committee held five meetings, the Environmental, Social, Governance and Nominating Committee held six meetings and the Finance and Investment Committee held three meetings. In total, each director attended 100% of the total meetings of the board of directors. Additionally, each director attended 100% of the total committee meetings for which he or she served, with the exception of one director who attended 87.5% of the total committee meetings. While we understand that scheduling conflicts may arise, we expect directors to make reasonable efforts to attend the annual general meeting of shareholders, meetings of the board of directors and meetings of the committees on which they serve. All of our directors attended the 2025 annual general meeting of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Directors—Performance Evaluations</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spacing w:after="0" w:line="2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153035</wp:posOffset>
            </wp:positionV>
            <wp:extent cx="394335" cy="1974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Orientation and Continuing Education</w:t>
      </w:r>
    </w:p>
    <w:p>
      <w:pPr>
        <w:spacing w:after="0" w:line="14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w:t>
      </w:r>
    </w:p>
    <w:p>
      <w:pPr>
        <w:spacing w:after="0" w:line="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Governance Guidelines</w:t>
      </w:r>
    </w:p>
    <w:p>
      <w:pPr>
        <w:spacing w:after="0" w:line="13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Civeo has adopted Corporate Governance Guidelines to provide the board of directors with the necessary authority and practices in place to make decisions that are independent from management, that the board of directors adequately performs its function as the overseer of management and to align the interests of the board of directors and management with the interests of the shareholders. Civeo’s Corporate Governance Guidelines are available at civeo.com, by first clicking “ESG”, then selecting “Governance Documents” from the "Governance" drop-down menu, then “Corporate Governance Guidelines.”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Communications with Directors; Accounting and Auditing Concerns</w:t>
      </w:r>
    </w:p>
    <w:p>
      <w:pPr>
        <w:spacing w:after="0" w:line="146"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4400, Houston, Texas 77002. Any such correspondence will be forwarded by the Corporate Secretary of Civeo to the addressee without review by management.</w:t>
      </w:r>
    </w:p>
    <w:p>
      <w:pPr>
        <w:spacing w:after="0" w:line="78" w:lineRule="exact"/>
        <w:rPr>
          <w:sz w:val="20"/>
          <w:szCs w:val="20"/>
          <w:color w:val="auto"/>
        </w:rPr>
      </w:pPr>
    </w:p>
    <w:p>
      <w:pPr>
        <w:jc w:val="both"/>
        <w:ind w:right="480"/>
        <w:spacing w:after="0" w:line="286"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Certain Relationships and Related-Party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required to be disclosed under Item 404(a) of Regulation S-K since the beginning of the last fiscal year.</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board of directors has adopted written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party has a direct or indirect material interest in the transaction. As required under the rules of the SEC, any related party transaction will be disclosed in filings we make with the SEC when required, including disclosure in our proxy statements.</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the nature of the related party’s interest in the transaction;</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the material terms of the transaction, including, without limitation, the amount and type of the transaction;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the importance of the transaction to the related party;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the importance of the transaction to us;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whether the transaction would impair the judgment of a director or executive officer to act in Civeo’s best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whether the transaction might affect the status of a director as independent under the independence standards of the NYSE;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any other matters deemed appropriate with respect to the particular transaction.</w:t>
      </w:r>
    </w:p>
    <w:p>
      <w:pPr>
        <w:spacing w:after="0" w:line="12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spacing w:after="0" w:line="77"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56"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 Code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w:t>
      </w:r>
    </w:p>
    <w:p>
      <w:pPr>
        <w:spacing w:after="0" w:line="97" w:lineRule="exact"/>
        <w:rPr>
          <w:sz w:val="20"/>
          <w:szCs w:val="20"/>
          <w:color w:val="auto"/>
        </w:rPr>
      </w:pPr>
    </w:p>
    <w:p>
      <w:pPr>
        <w:ind w:left="200" w:right="260" w:hanging="192"/>
        <w:spacing w:after="0" w:line="299" w:lineRule="auto"/>
        <w:tabs>
          <w:tab w:leader="none" w:pos="170" w:val="left"/>
        </w:tabs>
        <w:numPr>
          <w:ilvl w:val="0"/>
          <w:numId w:val="30"/>
        </w:numPr>
        <w:rPr>
          <w:rFonts w:ascii="Arial" w:cs="Arial" w:eastAsia="Arial" w:hAnsi="Arial"/>
          <w:sz w:val="16"/>
          <w:szCs w:val="16"/>
          <w:color w:val="006DB6"/>
        </w:rPr>
      </w:pPr>
      <w:r>
        <w:rPr>
          <w:rFonts w:ascii="Arial" w:cs="Arial" w:eastAsia="Arial" w:hAnsi="Arial"/>
          <w:sz w:val="16"/>
          <w:szCs w:val="16"/>
          <w:color w:val="auto"/>
        </w:rPr>
        <w:t>None of Civeo’s funds, assets or services will be used for political contributions, directly or indirectly, unless allowed by applicable foreign and U.S. law and approved in advance by our board of directors.</w:t>
      </w:r>
    </w:p>
    <w:p>
      <w:pPr>
        <w:ind w:left="200" w:right="620" w:hanging="192"/>
        <w:spacing w:after="0" w:line="304" w:lineRule="auto"/>
        <w:tabs>
          <w:tab w:leader="none" w:pos="170" w:val="left"/>
        </w:tabs>
        <w:numPr>
          <w:ilvl w:val="0"/>
          <w:numId w:val="30"/>
        </w:numPr>
        <w:rPr>
          <w:rFonts w:ascii="Arial" w:cs="Arial" w:eastAsia="Arial" w:hAnsi="Arial"/>
          <w:sz w:val="16"/>
          <w:szCs w:val="16"/>
          <w:color w:val="006DB6"/>
        </w:rPr>
      </w:pPr>
      <w:r>
        <w:rPr>
          <w:rFonts w:ascii="Arial" w:cs="Arial" w:eastAsia="Arial" w:hAnsi="Arial"/>
          <w:sz w:val="16"/>
          <w:szCs w:val="16"/>
          <w:color w:val="auto"/>
        </w:rPr>
        <w:t>Any contributions by Civeo to support or oppose public referenda or similar ballot issues are only permitted with advance approval of our board of directors.</w:t>
      </w:r>
    </w:p>
    <w:p>
      <w:pPr>
        <w:spacing w:after="0" w:line="6" w:lineRule="exact"/>
        <w:rPr>
          <w:rFonts w:ascii="Arial" w:cs="Arial" w:eastAsia="Arial" w:hAnsi="Arial"/>
          <w:sz w:val="16"/>
          <w:szCs w:val="16"/>
          <w:color w:val="006DB6"/>
        </w:rPr>
      </w:pPr>
    </w:p>
    <w:p>
      <w:pPr>
        <w:ind w:left="200" w:right="60" w:hanging="192"/>
        <w:spacing w:after="0" w:line="260" w:lineRule="auto"/>
        <w:tabs>
          <w:tab w:leader="none" w:pos="170" w:val="left"/>
        </w:tabs>
        <w:numPr>
          <w:ilvl w:val="0"/>
          <w:numId w:val="30"/>
        </w:numPr>
        <w:rPr>
          <w:rFonts w:ascii="Arial" w:cs="Arial" w:eastAsia="Arial" w:hAnsi="Arial"/>
          <w:sz w:val="16"/>
          <w:szCs w:val="16"/>
          <w:color w:val="006DB6"/>
        </w:rPr>
      </w:pPr>
      <w:r>
        <w:rPr>
          <w:rFonts w:ascii="Arial" w:cs="Arial" w:eastAsia="Arial" w:hAnsi="Arial"/>
          <w:sz w:val="16"/>
          <w:szCs w:val="16"/>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379095</wp:posOffset>
            </wp:positionV>
            <wp:extent cx="394335" cy="196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Process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non-employee directors receive compensation for their services on the board of directors. The Compensation Committee conducts annual reviews of director compensation, with assistance from its independent compensation consultant, Mercer LLC ("Mercer"), who provides market data bi-annually related to director compensation. Based on its review, the Compensation Committee makes a recommendation to the board of directors regarding the form and amount of director compensation. Director compensation should be adequate to compensate directors for their time and effort expended in satisfying their obligations. The Compensation Committee does,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forms of compensation to) a director or an organization with which the director is affiliated.</w:t>
      </w:r>
    </w:p>
    <w:p>
      <w:pPr>
        <w:spacing w:after="0" w:line="8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Directors who are also our employees do not receive a retainer or fees for service on our board of directors or any committees. Accordingly, Mr. Dodson, a director of Civeo and Civeo’s President and Chief Executive Officer, does not receive separate director compensation.</w:t>
      </w:r>
    </w:p>
    <w:p>
      <w:pPr>
        <w:spacing w:after="0" w:line="6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table below summarizes the components of 2025 compensation paid by Civeo to non-employee directors, which remained unchanged from 2024 compensation levels: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Component</w:t>
            </w:r>
          </w:p>
        </w:tc>
        <w:tc>
          <w:tcPr>
            <w:tcW w:w="7660" w:type="dxa"/>
            <w:vAlign w:val="bottom"/>
            <w:tcBorders>
              <w:bottom w:val="single" w:sz="8" w:color="006DB6"/>
            </w:tcBorders>
          </w:tcPr>
          <w:p>
            <w:pPr>
              <w:ind w:left="400"/>
              <w:spacing w:after="0"/>
              <w:rPr>
                <w:sz w:val="20"/>
                <w:szCs w:val="20"/>
                <w:color w:val="auto"/>
              </w:rPr>
            </w:pPr>
            <w:r>
              <w:rPr>
                <w:rFonts w:ascii="Arial" w:cs="Arial" w:eastAsia="Arial" w:hAnsi="Arial"/>
                <w:sz w:val="14"/>
                <w:szCs w:val="14"/>
                <w:b w:val="1"/>
                <w:bCs w:val="1"/>
                <w:color w:val="706F6F"/>
              </w:rPr>
              <w:t>Non-Employee Director Compensation</w:t>
            </w: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Annual Cash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$75,000</w:t>
            </w: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Annual Equity Retainer </w:t>
            </w:r>
            <w:r>
              <w:rPr>
                <w:rFonts w:ascii="Arial" w:cs="Arial" w:eastAsia="Arial" w:hAnsi="Arial"/>
                <w:sz w:val="21"/>
                <w:szCs w:val="21"/>
                <w:color w:val="auto"/>
                <w:vertAlign w:val="superscript"/>
              </w:rPr>
              <w:t>(1)</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Restricted share award equal in value to $125,000 that vest annually</w:t>
            </w: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Chair of the Board Annual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$85,000 - 50% in cash and 50% in common shares that vest annually</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Committee Chair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$27,500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$23,000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$23,000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$18,000</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Committee Member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$18,000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$13,000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$13,000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$13,000</w:t>
            </w:r>
          </w:p>
        </w:tc>
      </w:tr>
    </w:tbl>
    <w:p>
      <w:pPr>
        <w:spacing w:after="0" w:line="188" w:lineRule="exact"/>
        <w:rPr>
          <w:sz w:val="20"/>
          <w:szCs w:val="20"/>
          <w:color w:val="auto"/>
        </w:rPr>
      </w:pPr>
    </w:p>
    <w:p>
      <w:pPr>
        <w:ind w:left="660" w:right="100" w:hanging="166"/>
        <w:spacing w:after="0" w:line="266" w:lineRule="auto"/>
        <w:tabs>
          <w:tab w:leader="none" w:pos="656"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Newly elected non-employee directors receive restricted share awards valued at $125,000 after their initial appointment. The restricted share awards are valued on the award date based on the closing share price on the award date and vest on the earlier of one year from the date of grant or the next annual shareholders’ meeting date following the date of grant, subject to continued service through such date.</w:t>
      </w:r>
    </w:p>
    <w:p>
      <w:pPr>
        <w:spacing w:after="0" w:line="10" w:lineRule="exact"/>
        <w:rPr>
          <w:sz w:val="20"/>
          <w:szCs w:val="20"/>
          <w:color w:val="auto"/>
        </w:rPr>
      </w:pPr>
    </w:p>
    <w:p>
      <w:pPr>
        <w:ind w:left="660" w:right="140"/>
        <w:spacing w:after="0" w:line="290" w:lineRule="auto"/>
        <w:rPr>
          <w:sz w:val="20"/>
          <w:szCs w:val="20"/>
          <w:color w:val="auto"/>
        </w:rPr>
      </w:pPr>
      <w:r>
        <w:rPr>
          <w:rFonts w:ascii="Arial" w:cs="Arial" w:eastAsia="Arial" w:hAnsi="Arial"/>
          <w:sz w:val="16"/>
          <w:szCs w:val="16"/>
          <w:color w:val="auto"/>
        </w:rPr>
        <w:t>Our non-employee directors may elect to receive their annual restricted share award in the form of deferred shares, which vest on the same terms as non-deferred restricted share awards; however, settlement of such deferred shares is delayed until the director’s separation from service.</w:t>
      </w:r>
    </w:p>
    <w:p>
      <w:pPr>
        <w:spacing w:after="0" w:line="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6089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pacing w:after="0" w:line="274" w:lineRule="exact"/>
        <w:rPr>
          <w:sz w:val="20"/>
          <w:szCs w:val="20"/>
          <w:color w:val="auto"/>
        </w:rPr>
      </w:pPr>
    </w:p>
    <w:p>
      <w:pPr>
        <w:ind w:left="20" w:right="200"/>
        <w:spacing w:after="0" w:line="266" w:lineRule="auto"/>
        <w:rPr>
          <w:sz w:val="20"/>
          <w:szCs w:val="20"/>
          <w:color w:val="auto"/>
        </w:rPr>
      </w:pPr>
      <w:r>
        <w:rPr>
          <w:rFonts w:ascii="Arial" w:cs="Arial" w:eastAsia="Arial" w:hAnsi="Arial"/>
          <w:sz w:val="16"/>
          <w:szCs w:val="16"/>
          <w:color w:val="auto"/>
        </w:rPr>
        <w:t>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director compliance with share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Compensation Table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paid by Civeo to non-employee directors for the fiscal year ended December 31, 2025:</w:t>
      </w:r>
    </w:p>
    <w:p>
      <w:pPr>
        <w:spacing w:after="0" w:line="280"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30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706F6F"/>
              </w:rPr>
              <w:t>Fees Earned or</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706F6F"/>
              </w:rPr>
              <w:t>Stock</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706F6F"/>
              </w:rPr>
              <w:t>Name</w:t>
            </w:r>
          </w:p>
        </w:tc>
        <w:tc>
          <w:tcPr>
            <w:tcW w:w="3060" w:type="dxa"/>
            <w:vAlign w:val="bottom"/>
            <w:gridSpan w:val="2"/>
            <w:vMerge w:val="continue"/>
          </w:tcPr>
          <w:p>
            <w:pPr>
              <w:spacing w:after="0"/>
              <w:rPr>
                <w:sz w:val="12"/>
                <w:szCs w:val="12"/>
                <w:color w:val="auto"/>
              </w:rPr>
            </w:pPr>
          </w:p>
        </w:tc>
        <w:tc>
          <w:tcPr>
            <w:tcW w:w="13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706F6F"/>
              </w:rPr>
              <w:t xml:space="preserve">Awards </w:t>
            </w:r>
            <w:r>
              <w:rPr>
                <w:rFonts w:ascii="Arial" w:cs="Arial" w:eastAsia="Arial" w:hAnsi="Arial"/>
                <w:sz w:val="17"/>
                <w:szCs w:val="17"/>
                <w:b w:val="1"/>
                <w:bCs w:val="1"/>
                <w:color w:val="706F6F"/>
                <w:vertAlign w:val="superscript"/>
              </w:rPr>
              <w:t>(1)</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706F6F"/>
              </w:rPr>
              <w:t>Total</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006DB6"/>
            </w:tcBorders>
            <w:vMerge w:val="continue"/>
          </w:tcPr>
          <w:p>
            <w:pPr>
              <w:spacing w:after="0"/>
              <w:rPr>
                <w:sz w:val="15"/>
                <w:szCs w:val="15"/>
                <w:color w:val="auto"/>
              </w:rPr>
            </w:pPr>
          </w:p>
        </w:tc>
        <w:tc>
          <w:tcPr>
            <w:tcW w:w="3060" w:type="dxa"/>
            <w:vAlign w:val="bottom"/>
            <w:tcBorders>
              <w:bottom w:val="single" w:sz="8" w:color="006DB6"/>
            </w:tcBorders>
            <w:gridSpan w:val="2"/>
          </w:tcPr>
          <w:p>
            <w:pPr>
              <w:ind w:left="1780"/>
              <w:spacing w:after="0"/>
              <w:rPr>
                <w:sz w:val="20"/>
                <w:szCs w:val="20"/>
                <w:color w:val="auto"/>
              </w:rPr>
            </w:pPr>
            <w:r>
              <w:rPr>
                <w:rFonts w:ascii="Arial" w:cs="Arial" w:eastAsia="Arial" w:hAnsi="Arial"/>
                <w:sz w:val="14"/>
                <w:szCs w:val="14"/>
                <w:b w:val="1"/>
                <w:bCs w:val="1"/>
                <w:color w:val="706F6F"/>
              </w:rPr>
              <w:t>Paid in Cash</w:t>
            </w:r>
          </w:p>
        </w:tc>
        <w:tc>
          <w:tcPr>
            <w:tcW w:w="580" w:type="dxa"/>
            <w:vAlign w:val="bottom"/>
            <w:tcBorders>
              <w:bottom w:val="single" w:sz="8" w:color="006DB6"/>
            </w:tcBorders>
          </w:tcPr>
          <w:p>
            <w:pPr>
              <w:spacing w:after="0"/>
              <w:rPr>
                <w:sz w:val="15"/>
                <w:szCs w:val="15"/>
                <w:color w:val="auto"/>
              </w:rPr>
            </w:pPr>
          </w:p>
        </w:tc>
        <w:tc>
          <w:tcPr>
            <w:tcW w:w="760" w:type="dxa"/>
            <w:vAlign w:val="bottom"/>
            <w:tcBorders>
              <w:bottom w:val="single" w:sz="8" w:color="006DB6"/>
            </w:tcBorders>
          </w:tcPr>
          <w:p>
            <w:pPr>
              <w:spacing w:after="0"/>
              <w:rPr>
                <w:sz w:val="15"/>
                <w:szCs w:val="15"/>
                <w:color w:val="auto"/>
              </w:rPr>
            </w:pPr>
          </w:p>
        </w:tc>
        <w:tc>
          <w:tcPr>
            <w:tcW w:w="540" w:type="dxa"/>
            <w:vAlign w:val="bottom"/>
            <w:tcBorders>
              <w:bottom w:val="single" w:sz="8" w:color="006DB6"/>
            </w:tcBorders>
            <w:vMerge w:val="continue"/>
          </w:tcPr>
          <w:p>
            <w:pPr>
              <w:spacing w:after="0"/>
              <w:rPr>
                <w:sz w:val="15"/>
                <w:szCs w:val="15"/>
                <w:color w:val="auto"/>
              </w:rPr>
            </w:pPr>
          </w:p>
        </w:tc>
        <w:tc>
          <w:tcPr>
            <w:tcW w:w="840" w:type="dxa"/>
            <w:vAlign w:val="bottom"/>
            <w:tcBorders>
              <w:bottom w:val="single" w:sz="8" w:color="006DB6"/>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Richard A. Navarre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130,500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167,492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297,992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 Ronald Blankenship</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235,996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Jay K. Grewal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230,996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Martin A. Lambert</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235,996</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Michael Montelongo</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225,996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Constance B. Moore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115,500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240,496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Jeffrey B. Scofield</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10,658</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125,001</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135,659</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Daniel B. Silvers</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10,155</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125,001</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135,156</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Charles Szalkowski</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240,996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Timothy O. Wall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124,996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225,996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60" w:hanging="252"/>
        <w:spacing w:after="0" w:line="248"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The amounts in the “Stock Awards” column reflect the aggregate grant date fair value of restricted share awards granted in 2025 calculated in accordance with Financial Accounting Standards Boards, Accounting Standards Codification, Topic 718, ("FASB ASC Topic 718—Stock Compensation"). See Note 17 to the notes to Civeo's consolidated financial statements included in its Annual Report on Form 10-K for the fiscal year ended December 31, 2025 for information regarding the assumptions relied upon for this calculation. Pursuant to SEC rules,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stock award total includes $42,496 in restricted shares as part of his fees as Chair of the Board, which will vest one year from the date of grant.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aggregate number of unvested restricted shares held by each of the non-employee directors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ind w:left="20"/>
              <w:spacing w:after="0"/>
              <w:rPr>
                <w:sz w:val="20"/>
                <w:szCs w:val="20"/>
                <w:color w:val="auto"/>
              </w:rPr>
            </w:pPr>
            <w:r>
              <w:rPr>
                <w:rFonts w:ascii="Arial" w:cs="Arial" w:eastAsia="Arial" w:hAnsi="Arial"/>
                <w:sz w:val="14"/>
                <w:szCs w:val="14"/>
                <w:b w:val="1"/>
                <w:bCs w:val="1"/>
                <w:color w:val="706F6F"/>
              </w:rPr>
              <w:t>Name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706F6F"/>
              </w:rPr>
              <w:t>Stock Awards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706F6F"/>
              </w:rPr>
              <w:t>Name</w:t>
            </w:r>
          </w:p>
        </w:tc>
        <w:tc>
          <w:tcPr>
            <w:tcW w:w="1820" w:type="dxa"/>
            <w:vAlign w:val="bottom"/>
            <w:gridSpan w:val="2"/>
          </w:tcPr>
          <w:p>
            <w:pPr>
              <w:ind w:left="640"/>
              <w:spacing w:after="0"/>
              <w:rPr>
                <w:sz w:val="20"/>
                <w:szCs w:val="20"/>
                <w:color w:val="auto"/>
              </w:rPr>
            </w:pPr>
            <w:r>
              <w:rPr>
                <w:rFonts w:ascii="Arial" w:cs="Arial" w:eastAsia="Arial" w:hAnsi="Arial"/>
                <w:sz w:val="14"/>
                <w:szCs w:val="14"/>
                <w:b w:val="1"/>
                <w:bCs w:val="1"/>
                <w:color w:val="706F6F"/>
              </w:rPr>
              <w:t>Stock Awards</w:t>
            </w:r>
          </w:p>
        </w:tc>
      </w:tr>
      <w:tr>
        <w:trPr>
          <w:trHeight w:val="239"/>
        </w:trPr>
        <w:tc>
          <w:tcPr>
            <w:tcW w:w="3120" w:type="dxa"/>
            <w:vAlign w:val="bottom"/>
            <w:tcBorders>
              <w:top w:val="single" w:sz="8" w:color="006DB6"/>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580" w:type="dxa"/>
            <w:vAlign w:val="bottom"/>
            <w:tcBorders>
              <w:top w:val="single" w:sz="8" w:color="006DB6"/>
              <w:bottom w:val="single" w:sz="8" w:color="006DB6"/>
            </w:tcBorders>
          </w:tcPr>
          <w:p>
            <w:pPr>
              <w:jc w:val="right"/>
              <w:spacing w:after="0"/>
              <w:rPr>
                <w:sz w:val="20"/>
                <w:szCs w:val="20"/>
                <w:color w:val="auto"/>
              </w:rPr>
            </w:pPr>
            <w:r>
              <w:rPr>
                <w:rFonts w:ascii="Arial" w:cs="Arial" w:eastAsia="Arial" w:hAnsi="Arial"/>
                <w:sz w:val="16"/>
                <w:szCs w:val="16"/>
                <w:color w:val="auto"/>
              </w:rPr>
              <w:t>8,068</w:t>
            </w:r>
          </w:p>
        </w:tc>
        <w:tc>
          <w:tcPr>
            <w:tcW w:w="280" w:type="dxa"/>
            <w:vAlign w:val="bottom"/>
            <w:tcBorders>
              <w:top w:val="single" w:sz="8" w:color="706F6F"/>
              <w:bottom w:val="single" w:sz="8" w:color="706F6F"/>
            </w:tcBorders>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Borders>
              <w:top w:val="single" w:sz="8" w:color="006DB6"/>
              <w:bottom w:val="single" w:sz="8" w:color="006DB6"/>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620" w:type="dxa"/>
            <w:vAlign w:val="bottom"/>
            <w:tcBorders>
              <w:top w:val="single" w:sz="8" w:color="006DB6"/>
              <w:bottom w:val="single" w:sz="8" w:color="006DB6"/>
            </w:tcBorders>
          </w:tcPr>
          <w:p>
            <w:pPr>
              <w:jc w:val="right"/>
              <w:ind w:right="1"/>
              <w:spacing w:after="0"/>
              <w:rPr>
                <w:sz w:val="20"/>
                <w:szCs w:val="20"/>
                <w:color w:val="auto"/>
              </w:rPr>
            </w:pPr>
            <w:r>
              <w:rPr>
                <w:rFonts w:ascii="Arial" w:cs="Arial" w:eastAsia="Arial" w:hAnsi="Arial"/>
                <w:sz w:val="16"/>
                <w:szCs w:val="16"/>
                <w:color w:val="auto"/>
              </w:rPr>
              <w:t>6,021</w:t>
            </w:r>
          </w:p>
        </w:tc>
        <w:tc>
          <w:tcPr>
            <w:tcW w:w="200" w:type="dxa"/>
            <w:vAlign w:val="bottom"/>
            <w:tcBorders>
              <w:top w:val="single" w:sz="8" w:color="706F6F"/>
              <w:bottom w:val="single" w:sz="8" w:color="706F6F"/>
            </w:tcBorders>
          </w:tcPr>
          <w:p>
            <w:pPr>
              <w:spacing w:after="0"/>
              <w:rPr>
                <w:sz w:val="20"/>
                <w:szCs w:val="20"/>
                <w:color w:val="auto"/>
              </w:rPr>
            </w:pP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6,021</w:t>
            </w:r>
          </w:p>
        </w:tc>
        <w:tc>
          <w:tcPr>
            <w:tcW w:w="280" w:type="dxa"/>
            <w:vAlign w:val="bottom"/>
            <w:tcBorders>
              <w:bottom w:val="single" w:sz="8" w:color="706F6F"/>
            </w:tcBorders>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Borders>
              <w:bottom w:val="single" w:sz="8" w:color="006DB6"/>
            </w:tcBorders>
          </w:tcPr>
          <w:p>
            <w:pPr>
              <w:ind w:left="20"/>
              <w:spacing w:after="0"/>
              <w:rPr>
                <w:sz w:val="20"/>
                <w:szCs w:val="20"/>
                <w:color w:val="auto"/>
              </w:rPr>
            </w:pPr>
            <w:r>
              <w:rPr>
                <w:rFonts w:ascii="Arial" w:cs="Arial" w:eastAsia="Arial" w:hAnsi="Arial"/>
                <w:sz w:val="16"/>
                <w:szCs w:val="16"/>
                <w:b w:val="1"/>
                <w:bCs w:val="1"/>
                <w:color w:val="006DB6"/>
              </w:rPr>
              <w:t>Jeffrey B. Scofield</w:t>
            </w:r>
          </w:p>
        </w:tc>
        <w:tc>
          <w:tcPr>
            <w:tcW w:w="1620" w:type="dxa"/>
            <w:vAlign w:val="bottom"/>
            <w:tcBorders>
              <w:bottom w:val="single" w:sz="8" w:color="006DB6"/>
            </w:tcBorders>
          </w:tcPr>
          <w:p>
            <w:pPr>
              <w:jc w:val="right"/>
              <w:ind w:right="1"/>
              <w:spacing w:after="0"/>
              <w:rPr>
                <w:sz w:val="20"/>
                <w:szCs w:val="20"/>
                <w:color w:val="auto"/>
              </w:rPr>
            </w:pPr>
            <w:r>
              <w:rPr>
                <w:rFonts w:ascii="Arial" w:cs="Arial" w:eastAsia="Arial" w:hAnsi="Arial"/>
                <w:sz w:val="16"/>
                <w:szCs w:val="16"/>
                <w:color w:val="auto"/>
              </w:rPr>
              <w:t>5,618</w:t>
            </w:r>
          </w:p>
        </w:tc>
        <w:tc>
          <w:tcPr>
            <w:tcW w:w="200" w:type="dxa"/>
            <w:vAlign w:val="bottom"/>
            <w:tcBorders>
              <w:bottom w:val="single" w:sz="8" w:color="706F6F"/>
            </w:tcBorders>
          </w:tcPr>
          <w:p>
            <w:pPr>
              <w:spacing w:after="0"/>
              <w:rPr>
                <w:sz w:val="20"/>
                <w:szCs w:val="20"/>
                <w:color w:val="auto"/>
              </w:rPr>
            </w:pPr>
          </w:p>
        </w:tc>
      </w:tr>
      <w:tr>
        <w:trPr>
          <w:trHeight w:val="236"/>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6,021</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auto"/>
                <w:w w:val="95"/>
              </w:rPr>
              <w:t>*</w:t>
            </w:r>
          </w:p>
        </w:tc>
        <w:tc>
          <w:tcPr>
            <w:tcW w:w="260" w:type="dxa"/>
            <w:vAlign w:val="bottom"/>
          </w:tcPr>
          <w:p>
            <w:pPr>
              <w:spacing w:after="0"/>
              <w:rPr>
                <w:sz w:val="20"/>
                <w:szCs w:val="20"/>
                <w:color w:val="auto"/>
              </w:rPr>
            </w:pPr>
          </w:p>
        </w:tc>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Daniel B. Silvers</w:t>
            </w:r>
          </w:p>
        </w:tc>
        <w:tc>
          <w:tcPr>
            <w:tcW w:w="1620" w:type="dxa"/>
            <w:vAlign w:val="bottom"/>
            <w:tcBorders>
              <w:bottom w:val="single" w:sz="8" w:color="006DB6"/>
            </w:tcBorders>
          </w:tcPr>
          <w:p>
            <w:pPr>
              <w:jc w:val="right"/>
              <w:ind w:right="1"/>
              <w:spacing w:after="0"/>
              <w:rPr>
                <w:sz w:val="20"/>
                <w:szCs w:val="20"/>
                <w:color w:val="auto"/>
              </w:rPr>
            </w:pPr>
            <w:r>
              <w:rPr>
                <w:rFonts w:ascii="Arial" w:cs="Arial" w:eastAsia="Arial" w:hAnsi="Arial"/>
                <w:sz w:val="16"/>
                <w:szCs w:val="16"/>
                <w:color w:val="auto"/>
              </w:rPr>
              <w:t>5,618</w:t>
            </w:r>
          </w:p>
        </w:tc>
        <w:tc>
          <w:tcPr>
            <w:tcW w:w="200" w:type="dxa"/>
            <w:vAlign w:val="bottom"/>
            <w:tcBorders>
              <w:bottom w:val="single" w:sz="8" w:color="706F6F"/>
            </w:tcBorders>
          </w:tcPr>
          <w:p>
            <w:pPr>
              <w:spacing w:after="0"/>
              <w:rPr>
                <w:sz w:val="20"/>
                <w:szCs w:val="20"/>
                <w:color w:val="auto"/>
              </w:rPr>
            </w:pPr>
          </w:p>
        </w:tc>
      </w:tr>
      <w:tr>
        <w:trPr>
          <w:trHeight w:val="237"/>
        </w:trPr>
        <w:tc>
          <w:tcPr>
            <w:tcW w:w="3120" w:type="dxa"/>
            <w:vAlign w:val="bottom"/>
            <w:tcBorders>
              <w:bottom w:val="single" w:sz="8" w:color="006DB6"/>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6,021</w:t>
            </w:r>
          </w:p>
        </w:tc>
        <w:tc>
          <w:tcPr>
            <w:tcW w:w="280" w:type="dxa"/>
            <w:vAlign w:val="bottom"/>
            <w:tcBorders>
              <w:bottom w:val="single" w:sz="8" w:color="706F6F"/>
            </w:tcBorders>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6,021</w:t>
            </w:r>
          </w:p>
        </w:tc>
        <w:tc>
          <w:tcPr>
            <w:tcW w:w="200" w:type="dxa"/>
            <w:vAlign w:val="bottom"/>
            <w:tcBorders>
              <w:bottom w:val="single" w:sz="8" w:color="706F6F"/>
            </w:tcBorders>
          </w:tcPr>
          <w:p>
            <w:pPr>
              <w:spacing w:after="0"/>
              <w:rPr>
                <w:sz w:val="20"/>
                <w:szCs w:val="20"/>
                <w:color w:val="auto"/>
              </w:rPr>
            </w:pPr>
          </w:p>
        </w:tc>
      </w:tr>
      <w:tr>
        <w:trPr>
          <w:trHeight w:val="236"/>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6,021</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auto"/>
                <w:w w:val="95"/>
              </w:rPr>
              <w:t>*</w:t>
            </w:r>
          </w:p>
        </w:tc>
        <w:tc>
          <w:tcPr>
            <w:tcW w:w="260" w:type="dxa"/>
            <w:vAlign w:val="bottom"/>
          </w:tcPr>
          <w:p>
            <w:pPr>
              <w:spacing w:after="0"/>
              <w:rPr>
                <w:sz w:val="20"/>
                <w:szCs w:val="20"/>
                <w:color w:val="auto"/>
              </w:rPr>
            </w:pPr>
          </w:p>
        </w:tc>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6,021</w:t>
            </w:r>
          </w:p>
        </w:tc>
        <w:tc>
          <w:tcPr>
            <w:tcW w:w="200" w:type="dxa"/>
            <w:vAlign w:val="bottom"/>
            <w:tcBorders>
              <w:bottom w:val="single" w:sz="8" w:color="706F6F"/>
            </w:tcBorders>
          </w:tcPr>
          <w:p>
            <w:pPr>
              <w:spacing w:after="0"/>
              <w:rPr>
                <w:sz w:val="20"/>
                <w:szCs w:val="20"/>
                <w:color w:val="auto"/>
              </w:rPr>
            </w:pPr>
          </w:p>
        </w:tc>
      </w:tr>
    </w:tbl>
    <w:p>
      <w:pPr>
        <w:spacing w:after="0" w:line="19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Deferred shares to be settled upon separation from service.</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 Ownership Guidelines</w:t>
      </w:r>
    </w:p>
    <w:p>
      <w:pPr>
        <w:spacing w:after="0" w:line="14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Non-employee directors are subject to Civeo’s share ownership guidelines pursuant to which they are expected to retain shares from restricted share awards, after payment of applicable taxes, valued at five times the annual retainer amount (determined as of the date the director is first subject to the guidelines) until retirement or otherwise leaving the board of directors. Unvested restricted shares and deferred shares are counted for purposes of this ownership threshold. Once the ownership guideline is established for a director and communicated, the director has five years to attain the targeted level of ownership. All directors have either attained target level ownership or are expected to attain the targeted level of ownership within the five-year period for compliance.</w:t>
      </w:r>
    </w:p>
    <w:p>
      <w:pPr>
        <w:spacing w:after="0" w:line="8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30, 2026, all non-employee directors have attained the target level ownership and are in compliance with the guidelines as demonstrated in the chart below:</w:t>
      </w:r>
    </w:p>
    <w:p>
      <w:pPr>
        <w:sectPr>
          <w:pgSz w:w="11900" w:h="16838" w:orient="portrait"/>
          <w:cols w:equalWidth="0" w:num="1">
            <w:col w:w="11240"/>
          </w:cols>
          <w:pgMar w:left="320" w:top="125" w:right="339"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60" w:type="dxa"/>
            <w:vAlign w:val="bottom"/>
          </w:tcPr>
          <w:p>
            <w:pPr>
              <w:spacing w:after="0"/>
              <w:rPr>
                <w:sz w:val="19"/>
                <w:szCs w:val="19"/>
                <w:color w:val="auto"/>
              </w:rPr>
            </w:pPr>
          </w:p>
        </w:tc>
        <w:tc>
          <w:tcPr>
            <w:tcW w:w="2400" w:type="dxa"/>
            <w:vAlign w:val="bottom"/>
            <w:tcBorders>
              <w:bottom w:val="single" w:sz="8" w:color="006DB6"/>
            </w:tcBorders>
            <w:gridSpan w:val="2"/>
          </w:tcPr>
          <w:p>
            <w:pPr>
              <w:jc w:val="right"/>
              <w:ind w:right="402"/>
              <w:spacing w:after="0"/>
              <w:rPr>
                <w:sz w:val="20"/>
                <w:szCs w:val="20"/>
                <w:color w:val="auto"/>
              </w:rPr>
            </w:pPr>
            <w:r>
              <w:rPr>
                <w:rFonts w:ascii="Arial" w:cs="Arial" w:eastAsia="Arial" w:hAnsi="Arial"/>
                <w:sz w:val="14"/>
                <w:szCs w:val="14"/>
                <w:b w:val="1"/>
                <w:bCs w:val="1"/>
                <w:color w:val="706F6F"/>
              </w:rPr>
              <w:t>Ownership in Shares</w:t>
            </w:r>
          </w:p>
        </w:tc>
        <w:tc>
          <w:tcPr>
            <w:tcW w:w="1100" w:type="dxa"/>
            <w:vAlign w:val="bottom"/>
            <w:vMerge w:val="restart"/>
          </w:tcPr>
          <w:p>
            <w:pPr>
              <w:ind w:left="280"/>
              <w:spacing w:after="0"/>
              <w:rPr>
                <w:sz w:val="20"/>
                <w:szCs w:val="20"/>
                <w:color w:val="auto"/>
              </w:rPr>
            </w:pPr>
            <w:r>
              <w:rPr>
                <w:rFonts w:ascii="Arial" w:cs="Arial" w:eastAsia="Arial" w:hAnsi="Arial"/>
                <w:sz w:val="14"/>
                <w:szCs w:val="14"/>
                <w:b w:val="1"/>
                <w:bCs w:val="1"/>
                <w:color w:val="706F6F"/>
              </w:rPr>
              <w:t>Compliance</w:t>
            </w:r>
          </w:p>
        </w:tc>
        <w:tc>
          <w:tcPr>
            <w:tcW w:w="0" w:type="dxa"/>
            <w:vAlign w:val="bottom"/>
          </w:tcPr>
          <w:p>
            <w:pPr>
              <w:spacing w:after="0"/>
              <w:rPr>
                <w:sz w:val="1"/>
                <w:szCs w:val="1"/>
                <w:color w:val="auto"/>
              </w:rPr>
            </w:pPr>
          </w:p>
        </w:tc>
      </w:tr>
      <w:tr>
        <w:trPr>
          <w:trHeight w:val="45"/>
        </w:trPr>
        <w:tc>
          <w:tcPr>
            <w:tcW w:w="2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706F6F"/>
              </w:rPr>
              <w:t>Current</w:t>
            </w: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3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706F6F"/>
              </w:rPr>
              <w:t>Target Ownership</w:t>
            </w:r>
          </w:p>
        </w:tc>
        <w:tc>
          <w:tcPr>
            <w:tcW w:w="1020" w:type="dxa"/>
            <w:vAlign w:val="bottom"/>
            <w:vMerge w:val="continue"/>
          </w:tcPr>
          <w:p>
            <w:pPr>
              <w:spacing w:after="0"/>
              <w:rPr>
                <w:sz w:val="12"/>
                <w:szCs w:val="12"/>
                <w:color w:val="auto"/>
              </w:rPr>
            </w:pPr>
          </w:p>
        </w:tc>
        <w:tc>
          <w:tcPr>
            <w:tcW w:w="1100" w:type="dxa"/>
            <w:vAlign w:val="bottom"/>
          </w:tcPr>
          <w:p>
            <w:pPr>
              <w:ind w:left="840"/>
              <w:spacing w:after="0" w:line="145" w:lineRule="exact"/>
              <w:rPr>
                <w:sz w:val="20"/>
                <w:szCs w:val="20"/>
                <w:color w:val="auto"/>
              </w:rPr>
            </w:pPr>
            <w:r>
              <w:rPr>
                <w:rFonts w:ascii="Arial" w:cs="Arial" w:eastAsia="Arial" w:hAnsi="Arial"/>
                <w:sz w:val="14"/>
                <w:szCs w:val="14"/>
                <w:b w:val="1"/>
                <w:bCs w:val="1"/>
                <w:color w:val="706F6F"/>
              </w:rPr>
              <w:t>Y/N</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006DB6"/>
            </w:tcBorders>
            <w:vMerge w:val="continue"/>
          </w:tcPr>
          <w:p>
            <w:pPr>
              <w:spacing w:after="0"/>
              <w:rPr>
                <w:sz w:val="19"/>
                <w:szCs w:val="19"/>
                <w:color w:val="auto"/>
              </w:rPr>
            </w:pPr>
          </w:p>
        </w:tc>
        <w:tc>
          <w:tcPr>
            <w:tcW w:w="1380" w:type="dxa"/>
            <w:vAlign w:val="bottom"/>
            <w:tcBorders>
              <w:bottom w:val="single" w:sz="8" w:color="006DB6"/>
            </w:tcBorders>
            <w:vMerge w:val="continue"/>
          </w:tcPr>
          <w:p>
            <w:pPr>
              <w:spacing w:after="0"/>
              <w:rPr>
                <w:sz w:val="19"/>
                <w:szCs w:val="19"/>
                <w:color w:val="auto"/>
              </w:rPr>
            </w:pPr>
          </w:p>
        </w:tc>
        <w:tc>
          <w:tcPr>
            <w:tcW w:w="1020" w:type="dxa"/>
            <w:vAlign w:val="bottom"/>
            <w:tcBorders>
              <w:bottom w:val="single" w:sz="8" w:color="006DB6"/>
            </w:tcBorders>
          </w:tcPr>
          <w:p>
            <w:pPr>
              <w:jc w:val="right"/>
              <w:ind w:right="182"/>
              <w:spacing w:after="0"/>
              <w:rPr>
                <w:sz w:val="20"/>
                <w:szCs w:val="20"/>
                <w:color w:val="auto"/>
              </w:rPr>
            </w:pPr>
            <w:r>
              <w:rPr>
                <w:rFonts w:ascii="Arial" w:cs="Arial" w:eastAsia="Arial" w:hAnsi="Arial"/>
                <w:sz w:val="14"/>
                <w:szCs w:val="14"/>
                <w:b w:val="1"/>
                <w:bCs w:val="1"/>
                <w:color w:val="706F6F"/>
              </w:rPr>
              <w:t>Holdings</w:t>
            </w:r>
          </w:p>
        </w:tc>
        <w:tc>
          <w:tcPr>
            <w:tcW w:w="110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21,552</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66,703</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21,552</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50,822</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17,084</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27,508</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21,552</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66,178</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17,084</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27,508</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Within grace period for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109220</wp:posOffset>
            </wp:positionV>
            <wp:extent cx="394335"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080" w:type="dxa"/>
            <w:vAlign w:val="bottom"/>
          </w:tcPr>
          <w:p>
            <w:pPr>
              <w:spacing w:after="0"/>
              <w:rPr>
                <w:sz w:val="19"/>
                <w:szCs w:val="19"/>
                <w:color w:val="auto"/>
              </w:rPr>
            </w:pPr>
          </w:p>
        </w:tc>
        <w:tc>
          <w:tcPr>
            <w:tcW w:w="2240" w:type="dxa"/>
            <w:vAlign w:val="bottom"/>
            <w:tcBorders>
              <w:bottom w:val="single" w:sz="8" w:color="006DB6"/>
            </w:tcBorders>
            <w:gridSpan w:val="2"/>
          </w:tcPr>
          <w:p>
            <w:pPr>
              <w:jc w:val="right"/>
              <w:ind w:right="322"/>
              <w:spacing w:after="0"/>
              <w:rPr>
                <w:sz w:val="20"/>
                <w:szCs w:val="20"/>
                <w:color w:val="auto"/>
              </w:rPr>
            </w:pPr>
            <w:r>
              <w:rPr>
                <w:rFonts w:ascii="Arial" w:cs="Arial" w:eastAsia="Arial" w:hAnsi="Arial"/>
                <w:sz w:val="14"/>
                <w:szCs w:val="14"/>
                <w:b w:val="1"/>
                <w:bCs w:val="1"/>
                <w:color w:val="706F6F"/>
              </w:rPr>
              <w:t>Ownership in Shares</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Compliance</w:t>
            </w: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12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706F6F"/>
              </w:rPr>
              <w:t>Target</w:t>
            </w:r>
          </w:p>
        </w:tc>
        <w:tc>
          <w:tcPr>
            <w:tcW w:w="10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706F6F"/>
              </w:rPr>
              <w:t>Current</w:t>
            </w: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2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60" w:type="dxa"/>
            <w:vAlign w:val="bottom"/>
          </w:tcPr>
          <w:p>
            <w:pPr>
              <w:jc w:val="right"/>
              <w:spacing w:after="0" w:line="145" w:lineRule="exact"/>
              <w:rPr>
                <w:sz w:val="20"/>
                <w:szCs w:val="20"/>
                <w:color w:val="auto"/>
              </w:rPr>
            </w:pPr>
            <w:r>
              <w:rPr>
                <w:rFonts w:ascii="Arial" w:cs="Arial" w:eastAsia="Arial" w:hAnsi="Arial"/>
                <w:sz w:val="14"/>
                <w:szCs w:val="14"/>
                <w:b w:val="1"/>
                <w:bCs w:val="1"/>
                <w:color w:val="706F6F"/>
              </w:rPr>
              <w:t>Y/N</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006DB6"/>
            </w:tcBorders>
            <w:vMerge w:val="continue"/>
          </w:tcPr>
          <w:p>
            <w:pPr>
              <w:spacing w:after="0"/>
              <w:rPr>
                <w:sz w:val="19"/>
                <w:szCs w:val="19"/>
                <w:color w:val="auto"/>
              </w:rPr>
            </w:pPr>
          </w:p>
        </w:tc>
        <w:tc>
          <w:tcPr>
            <w:tcW w:w="1240" w:type="dxa"/>
            <w:vAlign w:val="bottom"/>
            <w:tcBorders>
              <w:bottom w:val="single" w:sz="8" w:color="006DB6"/>
            </w:tcBorders>
          </w:tcPr>
          <w:p>
            <w:pPr>
              <w:jc w:val="right"/>
              <w:ind w:right="202"/>
              <w:spacing w:after="0"/>
              <w:rPr>
                <w:sz w:val="20"/>
                <w:szCs w:val="20"/>
                <w:color w:val="auto"/>
              </w:rPr>
            </w:pPr>
            <w:r>
              <w:rPr>
                <w:rFonts w:ascii="Arial" w:cs="Arial" w:eastAsia="Arial" w:hAnsi="Arial"/>
                <w:sz w:val="14"/>
                <w:szCs w:val="14"/>
                <w:b w:val="1"/>
                <w:bCs w:val="1"/>
                <w:color w:val="706F6F"/>
              </w:rPr>
              <w:t>Ownership</w:t>
            </w:r>
          </w:p>
        </w:tc>
        <w:tc>
          <w:tcPr>
            <w:tcW w:w="1000" w:type="dxa"/>
            <w:vAlign w:val="bottom"/>
            <w:tcBorders>
              <w:bottom w:val="single" w:sz="8" w:color="006DB6"/>
            </w:tcBorders>
          </w:tcPr>
          <w:p>
            <w:pPr>
              <w:jc w:val="right"/>
              <w:ind w:right="162"/>
              <w:spacing w:after="0"/>
              <w:rPr>
                <w:sz w:val="20"/>
                <w:szCs w:val="20"/>
                <w:color w:val="auto"/>
              </w:rPr>
            </w:pPr>
            <w:r>
              <w:rPr>
                <w:rFonts w:ascii="Arial" w:cs="Arial" w:eastAsia="Arial" w:hAnsi="Arial"/>
                <w:sz w:val="14"/>
                <w:szCs w:val="14"/>
                <w:b w:val="1"/>
                <w:bCs w:val="1"/>
                <w:color w:val="706F6F"/>
              </w:rPr>
              <w:t>Holdings</w:t>
            </w:r>
          </w:p>
        </w:tc>
        <w:tc>
          <w:tcPr>
            <w:tcW w:w="116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21,552</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46,359</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Jeffrey B. Scofield</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16,505</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5,618</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Yes *</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Daniel B. Silvers</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16,505</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11,634</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Yes *</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21,552</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50,863</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14,205</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42,880</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bl>
    <w:p>
      <w:pPr>
        <w:spacing w:after="0" w:line="432" w:lineRule="exact"/>
        <w:rPr>
          <w:sz w:val="20"/>
          <w:szCs w:val="20"/>
          <w:color w:val="auto"/>
        </w:rPr>
      </w:pPr>
    </w:p>
    <w:p>
      <w:pPr>
        <w:sectPr>
          <w:pgSz w:w="11900" w:h="16838" w:orient="portrait"/>
          <w:cols w:equalWidth="0" w:num="2">
            <w:col w:w="5660" w:space="100"/>
            <w:col w:w="5480"/>
          </w:cols>
          <w:pgMar w:left="320" w:top="125" w:right="339" w:bottom="1440" w:gutter="0" w:footer="0" w:header="0"/>
          <w:type w:val="continuous"/>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5"/>
          <w:szCs w:val="45"/>
          <w:b w:val="1"/>
          <w:bCs w:val="1"/>
          <w:color w:val="006DB6"/>
        </w:rPr>
        <w:t>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leadership team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7123430" cy="1045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23430" cy="1045845"/>
                    </a:xfrm>
                    <a:prstGeom prst="rect">
                      <a:avLst/>
                    </a:prstGeom>
                    <a:noFill/>
                  </pic:spPr>
                </pic:pic>
              </a:graphicData>
            </a:graphic>
          </wp:anchor>
        </w:drawing>
      </w:r>
    </w:p>
    <w:p>
      <w:pPr>
        <w:spacing w:after="0" w:line="292" w:lineRule="exact"/>
        <w:rPr>
          <w:sz w:val="20"/>
          <w:szCs w:val="20"/>
          <w:color w:val="auto"/>
        </w:rPr>
      </w:pPr>
    </w:p>
    <w:p>
      <w:pPr>
        <w:ind w:left="1940"/>
        <w:spacing w:after="0"/>
        <w:rPr>
          <w:sz w:val="20"/>
          <w:szCs w:val="20"/>
          <w:color w:val="auto"/>
        </w:rPr>
      </w:pPr>
      <w:r>
        <w:rPr>
          <w:rFonts w:ascii="Arial" w:cs="Arial" w:eastAsia="Arial" w:hAnsi="Arial"/>
          <w:sz w:val="25"/>
          <w:szCs w:val="25"/>
          <w:b w:val="1"/>
          <w:bCs w:val="1"/>
          <w:color w:val="006DB6"/>
        </w:rPr>
        <w:t xml:space="preserve">Bradley J. Dodson, </w:t>
      </w:r>
      <w:r>
        <w:rPr>
          <w:rFonts w:ascii="Arial" w:cs="Arial" w:eastAsia="Arial" w:hAnsi="Arial"/>
          <w:sz w:val="25"/>
          <w:szCs w:val="25"/>
          <w:color w:val="006DB6"/>
        </w:rPr>
        <w:t>52</w:t>
      </w:r>
    </w:p>
    <w:p>
      <w:pPr>
        <w:spacing w:after="0" w:line="49" w:lineRule="exact"/>
        <w:rPr>
          <w:sz w:val="20"/>
          <w:szCs w:val="20"/>
          <w:color w:val="auto"/>
        </w:rPr>
      </w:pPr>
    </w:p>
    <w:p>
      <w:pPr>
        <w:ind w:left="1940"/>
        <w:spacing w:after="0"/>
        <w:rPr>
          <w:sz w:val="20"/>
          <w:szCs w:val="20"/>
          <w:color w:val="auto"/>
        </w:rPr>
      </w:pPr>
      <w:r>
        <w:rPr>
          <w:rFonts w:ascii="Arial" w:cs="Arial" w:eastAsia="Arial" w:hAnsi="Arial"/>
          <w:sz w:val="16"/>
          <w:szCs w:val="16"/>
          <w:color w:val="706F6F"/>
        </w:rPr>
        <w:t>President, Chief Executive Officer and Director</w:t>
      </w:r>
    </w:p>
    <w:p>
      <w:pPr>
        <w:spacing w:after="0" w:line="36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left="1940"/>
        <w:spacing w:after="0" w:line="256" w:lineRule="auto"/>
        <w:rPr>
          <w:sz w:val="20"/>
          <w:szCs w:val="20"/>
          <w:color w:val="auto"/>
        </w:rPr>
      </w:pPr>
      <w:r>
        <w:rPr>
          <w:rFonts w:ascii="Arial" w:cs="Arial" w:eastAsia="Arial" w:hAnsi="Arial"/>
          <w:sz w:val="16"/>
          <w:szCs w:val="16"/>
          <w:color w:val="auto"/>
        </w:rPr>
        <w:t>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1055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06DB6"/>
        </w:rPr>
        <w:t xml:space="preserve">E. Collin Gerry, </w:t>
      </w:r>
      <w:r>
        <w:rPr>
          <w:rFonts w:ascii="Arial" w:cs="Arial" w:eastAsia="Arial" w:hAnsi="Arial"/>
          <w:sz w:val="25"/>
          <w:szCs w:val="25"/>
          <w:color w:val="006DB6"/>
        </w:rPr>
        <w:t>44</w:t>
      </w:r>
    </w:p>
    <w:p>
      <w:pPr>
        <w:spacing w:after="0" w:line="36" w:lineRule="exact"/>
        <w:rPr>
          <w:sz w:val="20"/>
          <w:szCs w:val="20"/>
          <w:color w:val="auto"/>
        </w:rPr>
      </w:pPr>
    </w:p>
    <w:p>
      <w:pPr>
        <w:ind w:left="1860"/>
        <w:spacing w:after="0"/>
        <w:rPr>
          <w:sz w:val="20"/>
          <w:szCs w:val="20"/>
          <w:color w:val="auto"/>
        </w:rPr>
      </w:pPr>
      <w:r>
        <w:rPr>
          <w:rFonts w:ascii="Arial" w:cs="Arial" w:eastAsia="Arial" w:hAnsi="Arial"/>
          <w:sz w:val="16"/>
          <w:szCs w:val="16"/>
          <w:color w:val="706F6F"/>
        </w:rPr>
        <w:t>Senior Vice President, Chief Financial Officer and Treasurer</w:t>
      </w:r>
    </w:p>
    <w:p>
      <w:pPr>
        <w:spacing w:after="0" w:line="381"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1860" w:right="100"/>
        <w:spacing w:after="0" w:line="253" w:lineRule="auto"/>
        <w:rPr>
          <w:sz w:val="20"/>
          <w:szCs w:val="20"/>
          <w:color w:val="auto"/>
        </w:rPr>
      </w:pPr>
      <w:r>
        <w:rPr>
          <w:rFonts w:ascii="Arial" w:cs="Arial" w:eastAsia="Arial" w:hAnsi="Arial"/>
          <w:sz w:val="16"/>
          <w:szCs w:val="16"/>
          <w:color w:val="auto"/>
        </w:rPr>
        <w:t>E. Collin Gerry has served as the Senior Vice President, Chief Financial Officer, and Treasurer since August 2024. Prior to this appointment, Mr. Gerry held several executive positions with Civeo since May 2014, including serving as Senior Vice President of Canadian Operations from May 2020 to July 2024, and Vice President of Corporate and Business Development from September 2016 to May 2020. Prior to joining Civeo, Mr. Gerry served as Senior Vice President within the equity research department of Raymond James.</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Mr. Gerry holds a Bachelor of Business Administration degree from The University of Texas at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942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6DB6"/>
        </w:rPr>
        <w:t xml:space="preserve">Andrew S. Fraser, </w:t>
      </w:r>
      <w:r>
        <w:rPr>
          <w:rFonts w:ascii="Arial" w:cs="Arial" w:eastAsia="Arial" w:hAnsi="Arial"/>
          <w:sz w:val="25"/>
          <w:szCs w:val="25"/>
          <w:color w:val="006DB6"/>
        </w:rPr>
        <w:t>65</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6"/>
          <w:szCs w:val="16"/>
          <w:color w:val="706F6F"/>
        </w:rPr>
        <w:t>Senior Vice President, Canada</w:t>
      </w:r>
    </w:p>
    <w:p>
      <w:pPr>
        <w:spacing w:after="0" w:line="381"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1900" w:right="40"/>
        <w:spacing w:after="0" w:line="255" w:lineRule="auto"/>
        <w:rPr>
          <w:sz w:val="20"/>
          <w:szCs w:val="20"/>
          <w:color w:val="auto"/>
        </w:rPr>
      </w:pPr>
      <w:r>
        <w:rPr>
          <w:rFonts w:ascii="Arial" w:cs="Arial" w:eastAsia="Arial" w:hAnsi="Arial"/>
          <w:sz w:val="16"/>
          <w:szCs w:val="16"/>
          <w:color w:val="auto"/>
        </w:rPr>
        <w:t>Andrew S. Fraser has served as the Senior Vice President, Canada since August 2024. Prior to his appointment, Mr. Fraser was CEO and Executive Chair of NCSG Crane and Heavy Haul from November 2020 to March 2022, after serving as President and CEO from January 2019 to November 2020. Mr. Fraser previously served as the CEO of Camex Equipment Sales and Rentals from October 2016 to November 2018. Prior to joining Camex Equipment Sales and Rentals, Mr. Fraser spent 30 years at Finning International, where he held a variety of executive roles across the company’s Canadian and International operations. Over the past 15 years, Mr. Fraser has also served as a director on various boards, both locally and internationally, in energy, manufacturing and distribution.</w:t>
      </w:r>
    </w:p>
    <w:p>
      <w:pPr>
        <w:spacing w:after="0" w:line="87" w:lineRule="exact"/>
        <w:rPr>
          <w:sz w:val="20"/>
          <w:szCs w:val="20"/>
          <w:color w:val="auto"/>
        </w:rPr>
      </w:pPr>
    </w:p>
    <w:p>
      <w:pPr>
        <w:ind w:left="1900" w:right="20"/>
        <w:spacing w:after="0" w:line="275" w:lineRule="auto"/>
        <w:rPr>
          <w:sz w:val="20"/>
          <w:szCs w:val="20"/>
          <w:color w:val="auto"/>
        </w:rPr>
      </w:pPr>
      <w:r>
        <w:rPr>
          <w:rFonts w:ascii="Arial" w:cs="Arial" w:eastAsia="Arial" w:hAnsi="Arial"/>
          <w:sz w:val="16"/>
          <w:szCs w:val="16"/>
          <w:color w:val="auto"/>
        </w:rPr>
        <w:t>Mr. Fraser holds an M.B.A. with a major in Project Research in Culture Change during Mergers and Acquisitions from Royal Roads University in Victoria, BC and a B.A. in economics from Wilfrid Laurier University in Waterloo, Ontario, where he majored in International Trade Theory.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9690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920"/>
        <w:spacing w:after="0"/>
        <w:rPr>
          <w:sz w:val="20"/>
          <w:szCs w:val="20"/>
          <w:color w:val="auto"/>
        </w:rPr>
      </w:pPr>
      <w:r>
        <w:rPr>
          <w:rFonts w:ascii="Arial" w:cs="Arial" w:eastAsia="Arial" w:hAnsi="Arial"/>
          <w:sz w:val="25"/>
          <w:szCs w:val="25"/>
          <w:b w:val="1"/>
          <w:bCs w:val="1"/>
          <w:color w:val="006DB6"/>
        </w:rPr>
        <w:t xml:space="preserve">Peter L. McCann, </w:t>
      </w:r>
      <w:r>
        <w:rPr>
          <w:rFonts w:ascii="Arial" w:cs="Arial" w:eastAsia="Arial" w:hAnsi="Arial"/>
          <w:sz w:val="25"/>
          <w:szCs w:val="25"/>
          <w:color w:val="006DB6"/>
        </w:rPr>
        <w:t>59</w:t>
      </w:r>
    </w:p>
    <w:p>
      <w:pPr>
        <w:spacing w:after="0" w:line="49" w:lineRule="exact"/>
        <w:rPr>
          <w:sz w:val="20"/>
          <w:szCs w:val="20"/>
          <w:color w:val="auto"/>
        </w:rPr>
      </w:pPr>
    </w:p>
    <w:p>
      <w:pPr>
        <w:ind w:left="1920"/>
        <w:spacing w:after="0"/>
        <w:rPr>
          <w:sz w:val="20"/>
          <w:szCs w:val="20"/>
          <w:color w:val="auto"/>
        </w:rPr>
      </w:pPr>
      <w:r>
        <w:rPr>
          <w:rFonts w:ascii="Arial" w:cs="Arial" w:eastAsia="Arial" w:hAnsi="Arial"/>
          <w:sz w:val="16"/>
          <w:szCs w:val="16"/>
          <w:color w:val="706F6F"/>
        </w:rPr>
        <w:t>Senior Vice President, Australia</w:t>
      </w:r>
    </w:p>
    <w:p>
      <w:pPr>
        <w:spacing w:after="0" w:line="36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left="1920" w:right="80"/>
        <w:spacing w:after="0" w:line="258" w:lineRule="auto"/>
        <w:rPr>
          <w:sz w:val="20"/>
          <w:szCs w:val="20"/>
          <w:color w:val="auto"/>
        </w:rPr>
      </w:pPr>
      <w:r>
        <w:rPr>
          <w:rFonts w:ascii="Arial" w:cs="Arial" w:eastAsia="Arial" w:hAnsi="Arial"/>
          <w:sz w:val="16"/>
          <w:szCs w:val="16"/>
          <w:color w:val="auto"/>
        </w:rPr>
        <w:t>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w:t>
      </w:r>
    </w:p>
    <w:p>
      <w:pPr>
        <w:spacing w:after="0" w:line="7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Mr. McCann holds a Bachelor of Commerce degree in Accountancy from the University of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0980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9060"/>
        <w:spacing w:after="0"/>
        <w:tabs>
          <w:tab w:leader="none" w:pos="108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45"/>
          <w:szCs w:val="45"/>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2</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2021 annual general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2027 annual general meeting of shareholders.</w:t>
      </w:r>
    </w:p>
    <w:p>
      <w:pPr>
        <w:spacing w:after="0" w:line="6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are requesting your nonbinding vote on the following resolution:</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“RESOLVED, that the shareholders approve, on a non-binding, advisory basis, the compensation of Civeo’s named executive officers as disclosed in Civeo’s proxy statement for its 2026 annual general meeting of shareholders, pursuant to Item 402 of Regulation S-K, including the Compensation Discussion and Analysis, the executive compensation tables and the accompanying narrative discussion.”</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an advisory resolution, our shareholders’ vote on this proposal is not binding on the board of directors or us. Decisions regarding the compensation and benefits of our named executive officers remain with our board of directors and the Compensation Committee. The Compensation Committee values the opinions of our shareholders, however, and therefore, the Compensation Committee will review the voting results on this proposal and consider the outcome when making future decisions regarding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676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328" w:lineRule="exact"/>
        <w:rPr>
          <w:sz w:val="20"/>
          <w:szCs w:val="20"/>
          <w:color w:val="auto"/>
        </w:rPr>
      </w:pPr>
    </w:p>
    <w:p>
      <w:pPr>
        <w:jc w:val="both"/>
        <w:ind w:left="160" w:right="140"/>
        <w:spacing w:after="0" w:line="266" w:lineRule="auto"/>
        <w:rPr>
          <w:sz w:val="20"/>
          <w:szCs w:val="20"/>
          <w:color w:val="auto"/>
        </w:rPr>
      </w:pPr>
      <w:r>
        <w:rPr>
          <w:rFonts w:ascii="Arial" w:cs="Arial" w:eastAsia="Arial" w:hAnsi="Arial"/>
          <w:sz w:val="16"/>
          <w:szCs w:val="16"/>
          <w:color w:val="auto"/>
        </w:rPr>
        <w:t>Civeo’s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589280</wp:posOffset>
            </wp:positionV>
            <wp:extent cx="394335" cy="19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48"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("NEOs") for</w:t>
      </w:r>
    </w:p>
    <w:p>
      <w:pPr>
        <w:spacing w:after="0"/>
        <w:rPr>
          <w:sz w:val="20"/>
          <w:szCs w:val="20"/>
          <w:color w:val="auto"/>
        </w:rPr>
      </w:pPr>
      <w:r>
        <w:rPr>
          <w:rFonts w:ascii="Arial" w:cs="Arial" w:eastAsia="Arial" w:hAnsi="Arial"/>
          <w:sz w:val="16"/>
          <w:szCs w:val="16"/>
          <w:color w:val="auto"/>
        </w:rPr>
        <w:t>2025. Our NEOs for 2025 were:</w:t>
      </w:r>
    </w:p>
    <w:p>
      <w:pPr>
        <w:spacing w:after="0" w:line="236"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Bradley J. Dodson, President and Chief Executive Officer;</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 Collin Gerry, Senior Vice President, Chief Financial Officer and Treasurer;</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Peter L. McCann, Senior Vice President, Australia;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Andrew "Andy" S. Fraser, Senior Vice President, Canada</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2025 Performance Highlights</w:t>
      </w:r>
    </w:p>
    <w:p>
      <w:pPr>
        <w:spacing w:after="0" w:line="25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2025 was a year of meaningful transition for Civeo across several key dimensions of our business, including capital allocation, the continued right-sizing of our Canadian operations, strong growth in Australia, and an unwavering focus on our core values.</w:t>
      </w:r>
    </w:p>
    <w:p>
      <w:pPr>
        <w:spacing w:after="0" w:line="4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capital allocation strategy in 2025 reflected both discipline and conviction. We deployed capital in a deliberate manner—returning significant capital to shareholders through share repurchases, driven by our belief that Civeo’s shares were undervalued, while also investing in growth through a strategic acquisition in Australia. These actions underscore our commitment to balancing near-term returns with long-term value creation.</w:t>
      </w:r>
    </w:p>
    <w:p>
      <w:pPr>
        <w:spacing w:after="0" w:line="5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Canada, we continued to proactively right-size our business in response to ongoing structural headwinds in the oil sands region. While the operating environment remains challenged, we have taken decisive actions to better align our cost structure and asset base with current demand levels. These efforts position our Canadian operations to generate sustainable returns in a lower-activity environment.</w:t>
      </w:r>
    </w:p>
    <w:p>
      <w:pPr>
        <w:spacing w:after="0" w:line="5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At the same time, we are increasingly optimistic about the medium-term outlook in North America. A growing pipeline of infrastructure and resource development projects is creating new opportunities to deploy our mobile accommodation fleet. We believe this positions us well to participate in a broader set of end markets and drive incremental growth over time.</w:t>
      </w:r>
    </w:p>
    <w:p>
      <w:pPr>
        <w:spacing w:after="0" w:line="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contrast, Australia was a clear driver of growth in 2025. Building on strong momentum, the division delivered another year of strong performance, supported by increased customer activity and continued demand for high-quality accommodation and integrated services. Our ability to execute and expand in this region reinforces the strength of our operating model and highlights the benefits of our diversified portfolio.</w:t>
      </w:r>
    </w:p>
    <w:p>
      <w:pPr>
        <w:spacing w:after="0" w:line="7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Across all regions, our commitment to our core values—safety, respect, care, integrity, and excellence—remained central to how we operate. Safety is our top priority and foundational to every decision we make. We foster a culture of respect and care for our employees, guests, and communities, while holding ourselves to the highest standards of integrity. Our focus on excellence drives consistent execution and high-quality service delivery across our operations. As we navigate change and pursue growth, these values continue to guide our actions and ensure we deliver strong, reliable outcomes for our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06285" cy="5657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6285" cy="5657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ind w:left="20"/>
        <w:spacing w:after="0" w:line="266" w:lineRule="auto"/>
        <w:rPr>
          <w:sz w:val="20"/>
          <w:szCs w:val="20"/>
          <w:color w:val="auto"/>
        </w:rPr>
      </w:pPr>
      <w:r>
        <w:rPr>
          <w:rFonts w:ascii="Arial" w:cs="Arial" w:eastAsia="Arial" w:hAnsi="Arial"/>
          <w:sz w:val="16"/>
          <w:szCs w:val="16"/>
          <w:color w:val="auto"/>
        </w:rPr>
        <w:t>Delivered record Australian segment annual revenues of $460 million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Acquired four villages in the Australian Bowen Basin for approximately $67 million to expand our village portfolio into a new region of the Bowen Basin and strengthen customer relationships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Increased Adjusted EBITDA 10% year-over-year to $88 million, reflecting margin improvement in Canada and growth in Australia</w:t>
      </w:r>
    </w:p>
    <w:p>
      <w:pPr>
        <w:spacing w:after="0" w:line="246" w:lineRule="exact"/>
        <w:rPr>
          <w:sz w:val="20"/>
          <w:szCs w:val="20"/>
          <w:color w:val="auto"/>
        </w:rPr>
      </w:pPr>
    </w:p>
    <w:p>
      <w:pPr>
        <w:sectPr>
          <w:pgSz w:w="11900" w:h="16838" w:orient="portrait"/>
          <w:cols w:equalWidth="0" w:num="3">
            <w:col w:w="2480" w:space="300"/>
            <w:col w:w="4300" w:space="280"/>
            <w:col w:w="38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480" w:type="dxa"/>
            <w:vAlign w:val="bottom"/>
            <w:tcBorders>
              <w:top w:val="single" w:sz="8" w:color="E8EEF7"/>
            </w:tcBorders>
            <w:shd w:val="clear" w:color="auto" w:fill="E8EEF7"/>
          </w:tcPr>
          <w:p>
            <w:pPr>
              <w:ind w:left="20"/>
              <w:spacing w:after="0"/>
              <w:rPr>
                <w:sz w:val="20"/>
                <w:szCs w:val="20"/>
                <w:color w:val="auto"/>
              </w:rPr>
            </w:pPr>
            <w:r>
              <w:rPr>
                <w:rFonts w:ascii="Arial" w:cs="Arial" w:eastAsia="Arial" w:hAnsi="Arial"/>
                <w:sz w:val="16"/>
                <w:szCs w:val="16"/>
                <w:color w:val="auto"/>
              </w:rPr>
              <w:t>Maintained a solid balance sheet with a net leverage ratio of</w:t>
            </w:r>
          </w:p>
        </w:tc>
        <w:tc>
          <w:tcPr>
            <w:tcW w:w="100" w:type="dxa"/>
            <w:vAlign w:val="bottom"/>
            <w:tcBorders>
              <w:top w:val="single" w:sz="8" w:color="E8EEF7"/>
            </w:tcBorders>
          </w:tcPr>
          <w:p>
            <w:pPr>
              <w:spacing w:after="0"/>
              <w:rPr>
                <w:sz w:val="22"/>
                <w:szCs w:val="22"/>
                <w:color w:val="auto"/>
              </w:rPr>
            </w:pPr>
          </w:p>
        </w:tc>
        <w:tc>
          <w:tcPr>
            <w:tcW w:w="6620" w:type="dxa"/>
            <w:vAlign w:val="bottom"/>
            <w:tcBorders>
              <w:top w:val="single" w:sz="8" w:color="E8EEF7"/>
            </w:tcBorders>
            <w:shd w:val="clear" w:color="auto" w:fill="E8EEF7"/>
          </w:tcPr>
          <w:p>
            <w:pPr>
              <w:ind w:left="20"/>
              <w:spacing w:after="0"/>
              <w:rPr>
                <w:sz w:val="20"/>
                <w:szCs w:val="20"/>
                <w:color w:val="auto"/>
              </w:rPr>
            </w:pPr>
            <w:r>
              <w:rPr>
                <w:rFonts w:ascii="Arial" w:cs="Arial" w:eastAsia="Arial" w:hAnsi="Arial"/>
                <w:sz w:val="16"/>
                <w:szCs w:val="16"/>
                <w:color w:val="auto"/>
              </w:rPr>
              <w:t>Repurchased 2.3 million common shares for approximately $54 million during 2025,</w:t>
            </w:r>
          </w:p>
        </w:tc>
      </w:tr>
      <w:tr>
        <w:trPr>
          <w:trHeight w:val="189"/>
        </w:trPr>
        <w:tc>
          <w:tcPr>
            <w:tcW w:w="4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1.9x at December 31, 2025, versus 0.5x at</w:t>
            </w:r>
          </w:p>
        </w:tc>
        <w:tc>
          <w:tcPr>
            <w:tcW w:w="100" w:type="dxa"/>
            <w:vAlign w:val="bottom"/>
          </w:tcPr>
          <w:p>
            <w:pPr>
              <w:spacing w:after="0"/>
              <w:rPr>
                <w:sz w:val="16"/>
                <w:szCs w:val="16"/>
                <w:color w:val="auto"/>
              </w:rPr>
            </w:pPr>
          </w:p>
        </w:tc>
        <w:tc>
          <w:tcPr>
            <w:tcW w:w="662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representing approximately 17% of the Civeo common shares outstanding as of December</w:t>
            </w:r>
          </w:p>
        </w:tc>
      </w:tr>
      <w:tr>
        <w:trPr>
          <w:trHeight w:val="203"/>
        </w:trPr>
        <w:tc>
          <w:tcPr>
            <w:tcW w:w="4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December 31, 2024 as we deployed $72 million in growth</w:t>
            </w:r>
          </w:p>
        </w:tc>
        <w:tc>
          <w:tcPr>
            <w:tcW w:w="100" w:type="dxa"/>
            <w:vAlign w:val="bottom"/>
          </w:tcPr>
          <w:p>
            <w:pPr>
              <w:spacing w:after="0"/>
              <w:rPr>
                <w:sz w:val="17"/>
                <w:szCs w:val="17"/>
                <w:color w:val="auto"/>
              </w:rPr>
            </w:pPr>
          </w:p>
        </w:tc>
        <w:tc>
          <w:tcPr>
            <w:tcW w:w="6620" w:type="dxa"/>
            <w:vAlign w:val="bottom"/>
            <w:shd w:val="clear" w:color="auto" w:fill="E8EEF7"/>
          </w:tcPr>
          <w:p>
            <w:pPr>
              <w:ind w:left="20"/>
              <w:spacing w:after="0"/>
              <w:rPr>
                <w:sz w:val="20"/>
                <w:szCs w:val="20"/>
                <w:color w:val="auto"/>
              </w:rPr>
            </w:pPr>
            <w:r>
              <w:rPr>
                <w:rFonts w:ascii="Arial" w:cs="Arial" w:eastAsia="Arial" w:hAnsi="Arial"/>
                <w:sz w:val="16"/>
                <w:szCs w:val="16"/>
                <w:color w:val="auto"/>
              </w:rPr>
              <w:t>31, 2024. In total, the Company has repurchased 37% of its common shares since the</w:t>
            </w:r>
          </w:p>
        </w:tc>
      </w:tr>
      <w:tr>
        <w:trPr>
          <w:trHeight w:val="189"/>
        </w:trPr>
        <w:tc>
          <w:tcPr>
            <w:tcW w:w="4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capital to our Australian business and returned $57 million to</w:t>
            </w:r>
          </w:p>
        </w:tc>
        <w:tc>
          <w:tcPr>
            <w:tcW w:w="100" w:type="dxa"/>
            <w:vAlign w:val="bottom"/>
          </w:tcPr>
          <w:p>
            <w:pPr>
              <w:spacing w:after="0"/>
              <w:rPr>
                <w:sz w:val="16"/>
                <w:szCs w:val="16"/>
                <w:color w:val="auto"/>
              </w:rPr>
            </w:pPr>
          </w:p>
        </w:tc>
        <w:tc>
          <w:tcPr>
            <w:tcW w:w="6620" w:type="dxa"/>
            <w:vAlign w:val="bottom"/>
            <w:shd w:val="clear" w:color="auto" w:fill="E8EEF7"/>
          </w:tcPr>
          <w:p>
            <w:pPr>
              <w:ind w:left="20"/>
              <w:spacing w:after="0"/>
              <w:rPr>
                <w:sz w:val="20"/>
                <w:szCs w:val="20"/>
                <w:color w:val="auto"/>
              </w:rPr>
            </w:pPr>
            <w:r>
              <w:rPr>
                <w:rFonts w:ascii="Arial" w:cs="Arial" w:eastAsia="Arial" w:hAnsi="Arial"/>
                <w:sz w:val="16"/>
                <w:szCs w:val="16"/>
                <w:color w:val="auto"/>
              </w:rPr>
              <w:t>inception of the share repurchase program in August 2021</w:t>
            </w:r>
          </w:p>
        </w:tc>
      </w:tr>
      <w:tr>
        <w:trPr>
          <w:trHeight w:val="215"/>
        </w:trPr>
        <w:tc>
          <w:tcPr>
            <w:tcW w:w="4480" w:type="dxa"/>
            <w:vAlign w:val="bottom"/>
            <w:shd w:val="clear" w:color="auto" w:fill="E8EEF7"/>
          </w:tcPr>
          <w:p>
            <w:pPr>
              <w:ind w:left="20"/>
              <w:spacing w:after="0"/>
              <w:rPr>
                <w:sz w:val="20"/>
                <w:szCs w:val="20"/>
                <w:color w:val="auto"/>
              </w:rPr>
            </w:pPr>
            <w:r>
              <w:rPr>
                <w:rFonts w:ascii="Arial" w:cs="Arial" w:eastAsia="Arial" w:hAnsi="Arial"/>
                <w:sz w:val="16"/>
                <w:szCs w:val="16"/>
                <w:color w:val="auto"/>
              </w:rPr>
              <w:t>shareholders</w:t>
            </w:r>
          </w:p>
        </w:tc>
        <w:tc>
          <w:tcPr>
            <w:tcW w:w="100" w:type="dxa"/>
            <w:vAlign w:val="bottom"/>
          </w:tcPr>
          <w:p>
            <w:pPr>
              <w:spacing w:after="0"/>
              <w:rPr>
                <w:sz w:val="18"/>
                <w:szCs w:val="18"/>
                <w:color w:val="auto"/>
              </w:rPr>
            </w:pPr>
          </w:p>
        </w:tc>
        <w:tc>
          <w:tcPr>
            <w:tcW w:w="6620" w:type="dxa"/>
            <w:vAlign w:val="bottom"/>
            <w:shd w:val="clear" w:color="auto" w:fill="E8EEF7"/>
          </w:tcPr>
          <w:p>
            <w:pPr>
              <w:spacing w:after="0"/>
              <w:rPr>
                <w:sz w:val="18"/>
                <w:szCs w:val="18"/>
                <w:color w:val="auto"/>
              </w:rPr>
            </w:pPr>
          </w:p>
        </w:tc>
      </w:tr>
      <w:tr>
        <w:trPr>
          <w:trHeight w:val="29"/>
        </w:trPr>
        <w:tc>
          <w:tcPr>
            <w:tcW w:w="4480" w:type="dxa"/>
            <w:vAlign w:val="bottom"/>
            <w:shd w:val="clear" w:color="auto" w:fill="E8EEF7"/>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shd w:val="clear" w:color="auto" w:fill="E8EEF7"/>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058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35" w:lineRule="exact"/>
        <w:rPr>
          <w:sz w:val="20"/>
          <w:szCs w:val="20"/>
          <w:color w:val="auto"/>
        </w:rPr>
      </w:pPr>
    </w:p>
    <w:p>
      <w:pPr>
        <w:ind w:left="20"/>
        <w:spacing w:after="0" w:line="260" w:lineRule="auto"/>
        <w:rPr>
          <w:sz w:val="20"/>
          <w:szCs w:val="20"/>
          <w:color w:val="auto"/>
        </w:rPr>
      </w:pPr>
      <w:r>
        <w:rPr>
          <w:rFonts w:ascii="Arial" w:cs="Arial" w:eastAsia="Arial" w:hAnsi="Arial"/>
          <w:sz w:val="16"/>
          <w:szCs w:val="16"/>
          <w:color w:val="auto"/>
        </w:rPr>
        <w:t>Generated 60% of Civeo’s revenue and 72% of Civeo’s gross profit from customers exposed to steel-making commodities, highlighting our continued diversification away from legacy oil sands markets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Delivered strong safety performance across all regions, resulting in a 2025 Global TRIR of 0.27, the sixth consecutive year under 0.50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Significant contract wins in Australia including: 1) A$1.4 billion integrated services contract, 2) A$250 million, 4-year Civeo-owned village "COV" contract renewal , and</w:t>
      </w:r>
    </w:p>
    <w:p>
      <w:pPr>
        <w:spacing w:after="0" w:line="2" w:lineRule="exact"/>
        <w:rPr>
          <w:sz w:val="20"/>
          <w:szCs w:val="20"/>
          <w:color w:val="auto"/>
        </w:rPr>
      </w:pPr>
    </w:p>
    <w:p>
      <w:pPr>
        <w:ind w:left="200" w:hanging="194"/>
        <w:spacing w:after="0"/>
        <w:tabs>
          <w:tab w:leader="none" w:pos="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3-year integrated services contract in the Bowen</w:t>
      </w:r>
    </w:p>
    <w:p>
      <w:pPr>
        <w:spacing w:after="0" w:line="8" w:lineRule="exact"/>
        <w:rPr>
          <w:rFonts w:ascii="Arial" w:cs="Arial" w:eastAsia="Arial" w:hAnsi="Arial"/>
          <w:sz w:val="16"/>
          <w:szCs w:val="16"/>
          <w:color w:val="auto"/>
        </w:rPr>
      </w:pPr>
    </w:p>
    <w:p>
      <w:pPr>
        <w:ind w:right="180"/>
        <w:spacing w:after="0" w:line="283" w:lineRule="auto"/>
        <w:rPr>
          <w:rFonts w:ascii="Arial" w:cs="Arial" w:eastAsia="Arial" w:hAnsi="Arial"/>
          <w:sz w:val="16"/>
          <w:szCs w:val="16"/>
          <w:color w:val="auto"/>
        </w:rPr>
      </w:pPr>
      <w:r>
        <w:rPr>
          <w:rFonts w:ascii="Arial" w:cs="Arial" w:eastAsia="Arial" w:hAnsi="Arial"/>
          <w:sz w:val="16"/>
          <w:szCs w:val="16"/>
          <w:color w:val="auto"/>
        </w:rPr>
        <w:t>Basin, Civeo’s first contract integrated services contract in eastern Australia.</w:t>
      </w:r>
    </w:p>
    <w:p>
      <w:pPr>
        <w:spacing w:after="0" w:line="200" w:lineRule="exact"/>
        <w:rPr>
          <w:sz w:val="20"/>
          <w:szCs w:val="20"/>
          <w:color w:val="auto"/>
        </w:rPr>
      </w:pPr>
    </w:p>
    <w:p>
      <w:pPr>
        <w:sectPr>
          <w:pgSz w:w="11900" w:h="16838" w:orient="portrait"/>
          <w:cols w:equalWidth="0" w:num="3">
            <w:col w:w="3400" w:space="400"/>
            <w:col w:w="3120" w:space="160"/>
            <w:col w:w="4160"/>
          </w:cols>
          <w:pgMar w:left="320" w:top="125" w:right="339" w:bottom="1440" w:gutter="0" w:footer="0" w:header="0"/>
          <w:type w:val="continuous"/>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spacing w:after="0"/>
        <w:tabs>
          <w:tab w:leader="none" w:pos="4800" w:val="left"/>
          <w:tab w:leader="none" w:pos="7660" w:val="left"/>
        </w:tabs>
        <w:rPr>
          <w:sz w:val="20"/>
          <w:szCs w:val="20"/>
          <w:color w:val="auto"/>
        </w:rPr>
      </w:pPr>
      <w:r>
        <w:rPr>
          <w:rFonts w:ascii="Arial" w:cs="Arial" w:eastAsia="Arial" w:hAnsi="Arial"/>
          <w:sz w:val="16"/>
          <w:szCs w:val="16"/>
          <w:b w:val="1"/>
          <w:bCs w:val="1"/>
          <w:color w:val="auto"/>
        </w:rPr>
        <w:t>TOTAL RECORDABLE</w:t>
      </w:r>
      <w:r>
        <w:rPr>
          <w:sz w:val="20"/>
          <w:szCs w:val="20"/>
          <w:color w:val="auto"/>
        </w:rPr>
        <w:tab/>
      </w:r>
      <w:r>
        <w:rPr>
          <w:rFonts w:ascii="Arial" w:cs="Arial" w:eastAsia="Arial" w:hAnsi="Arial"/>
          <w:sz w:val="16"/>
          <w:szCs w:val="16"/>
          <w:b w:val="1"/>
          <w:bCs w:val="1"/>
          <w:color w:val="auto"/>
        </w:rPr>
        <w:t>AICP EBITDA</w:t>
      </w:r>
      <w:r>
        <w:rPr>
          <w:sz w:val="20"/>
          <w:szCs w:val="20"/>
          <w:color w:val="auto"/>
        </w:rPr>
        <w:tab/>
      </w:r>
      <w:r>
        <w:rPr>
          <w:rFonts w:ascii="Arial" w:cs="Arial" w:eastAsia="Arial" w:hAnsi="Arial"/>
          <w:sz w:val="16"/>
          <w:szCs w:val="16"/>
          <w:b w:val="1"/>
          <w:bCs w:val="1"/>
          <w:color w:val="auto"/>
        </w:rPr>
        <w:t>RETURN OF CAPITAL TO</w:t>
      </w:r>
    </w:p>
    <w:p>
      <w:pPr>
        <w:spacing w:after="0" w:line="21" w:lineRule="exact"/>
        <w:rPr>
          <w:sz w:val="20"/>
          <w:szCs w:val="20"/>
          <w:color w:val="auto"/>
        </w:rPr>
      </w:pPr>
    </w:p>
    <w:p>
      <w:pPr>
        <w:ind w:left="1700"/>
        <w:spacing w:after="0"/>
        <w:tabs>
          <w:tab w:leader="none" w:pos="4920" w:val="left"/>
          <w:tab w:leader="none" w:pos="7960" w:val="left"/>
        </w:tabs>
        <w:rPr>
          <w:sz w:val="20"/>
          <w:szCs w:val="20"/>
          <w:color w:val="auto"/>
        </w:rPr>
      </w:pPr>
      <w:r>
        <w:rPr>
          <w:rFonts w:ascii="Arial" w:cs="Arial" w:eastAsia="Arial" w:hAnsi="Arial"/>
          <w:sz w:val="16"/>
          <w:szCs w:val="16"/>
          <w:b w:val="1"/>
          <w:bCs w:val="1"/>
          <w:color w:val="auto"/>
        </w:rPr>
        <w:t>INCIDENT RATE</w:t>
      </w:r>
      <w:r>
        <w:rPr>
          <w:sz w:val="20"/>
          <w:szCs w:val="20"/>
          <w:color w:val="auto"/>
        </w:rPr>
        <w:tab/>
      </w:r>
      <w:r>
        <w:rPr>
          <w:rFonts w:ascii="Arial" w:cs="Arial" w:eastAsia="Arial" w:hAnsi="Arial"/>
          <w:sz w:val="16"/>
          <w:szCs w:val="16"/>
          <w:color w:val="auto"/>
        </w:rPr>
        <w:t>(in millions)</w:t>
      </w:r>
      <w:r>
        <w:rPr>
          <w:sz w:val="20"/>
          <w:szCs w:val="20"/>
          <w:color w:val="auto"/>
        </w:rPr>
        <w:tab/>
      </w:r>
      <w:r>
        <w:rPr>
          <w:rFonts w:ascii="Arial" w:cs="Arial" w:eastAsia="Arial" w:hAnsi="Arial"/>
          <w:sz w:val="16"/>
          <w:szCs w:val="16"/>
          <w:b w:val="1"/>
          <w:bCs w:val="1"/>
          <w:color w:val="auto"/>
        </w:rPr>
        <w:t>SHAREHOLDERS</w:t>
      </w:r>
    </w:p>
    <w:p>
      <w:pPr>
        <w:spacing w:after="0" w:line="19"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19050</wp:posOffset>
            </wp:positionV>
            <wp:extent cx="5511800" cy="15005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118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Note: AICP EBITDA and net leverage ratio are non-GAAP financial measures. See Appendix A for the definition and a reconciliation of each measure to the most directly comparable measures of financial performance calculated under GAAP.</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Approach to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Governance</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keeping with our commitment to strong governance standards across our business, our executive compensation governance framework is built around the following:</w:t>
      </w:r>
    </w:p>
    <w:p>
      <w:pPr>
        <w:spacing w:after="0" w:line="61" w:lineRule="exact"/>
        <w:rPr>
          <w:sz w:val="20"/>
          <w:szCs w:val="20"/>
          <w:color w:val="auto"/>
        </w:rPr>
      </w:pPr>
    </w:p>
    <w:p>
      <w:pPr>
        <w:jc w:val="both"/>
        <w:ind w:left="200" w:right="200" w:hanging="192"/>
        <w:spacing w:after="0" w:line="266" w:lineRule="auto"/>
        <w:tabs>
          <w:tab w:leader="none" w:pos="17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 Compensation Committee comprised of individuals with deep relevant business experience, most of whom have served as chief executive officers or executives, generally including of energy, real estate or hospitality related companies. All members of the Compensation Committee are independent in accordance with NYSE listing standards;</w:t>
      </w:r>
    </w:p>
    <w:p>
      <w:pPr>
        <w:spacing w:after="0" w:line="36" w:lineRule="exact"/>
        <w:rPr>
          <w:rFonts w:ascii="Arial" w:cs="Arial" w:eastAsia="Arial" w:hAnsi="Arial"/>
          <w:sz w:val="16"/>
          <w:szCs w:val="16"/>
          <w:color w:val="006DB6"/>
        </w:rPr>
      </w:pPr>
    </w:p>
    <w:p>
      <w:pPr>
        <w:ind w:left="200" w:right="240" w:hanging="192"/>
        <w:spacing w:after="0" w:line="275" w:lineRule="auto"/>
        <w:tabs>
          <w:tab w:leader="none" w:pos="17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 clearly defined decision-making framework and delegation of authority that ensures all material compensation decisions for section 16 officers (which includes our NEOs), are made solely by the Compensation Committee, whose priority is to design and implement policies and procedures that allow Civeo to attract, reward and retain executives who are focused on delivering long-term results for shareholders; and</w:t>
      </w:r>
    </w:p>
    <w:p>
      <w:pPr>
        <w:spacing w:after="0" w:line="29" w:lineRule="exact"/>
        <w:rPr>
          <w:rFonts w:ascii="Arial" w:cs="Arial" w:eastAsia="Arial" w:hAnsi="Arial"/>
          <w:sz w:val="16"/>
          <w:szCs w:val="16"/>
          <w:color w:val="006DB6"/>
        </w:rPr>
      </w:pPr>
    </w:p>
    <w:p>
      <w:pPr>
        <w:ind w:left="180" w:hanging="172"/>
        <w:spacing w:after="0"/>
        <w:tabs>
          <w:tab w:leader="none" w:pos="18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Clearly defined compensation policies structured to accommodate circumstances that are characteristic of a cyclical industry.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NEO Compensation Mix</w:t>
      </w:r>
    </w:p>
    <w:p>
      <w:pPr>
        <w:spacing w:after="0" w:line="99" w:lineRule="exact"/>
        <w:rPr>
          <w:sz w:val="20"/>
          <w:szCs w:val="20"/>
          <w:color w:val="auto"/>
        </w:rPr>
      </w:pPr>
    </w:p>
    <w:p>
      <w:pPr>
        <w:jc w:val="both"/>
        <w:ind w:right="140"/>
        <w:spacing w:after="0" w:line="268" w:lineRule="auto"/>
        <w:rPr>
          <w:sz w:val="20"/>
          <w:szCs w:val="20"/>
          <w:color w:val="auto"/>
        </w:rPr>
      </w:pPr>
      <w:r>
        <w:rPr>
          <w:rFonts w:ascii="Arial" w:cs="Arial" w:eastAsia="Arial" w:hAnsi="Arial"/>
          <w:sz w:val="16"/>
          <w:szCs w:val="16"/>
          <w:color w:val="auto"/>
        </w:rPr>
        <w:t>This section outlines each component of our compensation program. Compensation decisions specific to our NEOs for 2025 for each of these components are discussed in greater detail below.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4120" w:val="left"/>
          <w:tab w:leader="none" w:pos="732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4"/>
          <w:szCs w:val="14"/>
          <w:b w:val="1"/>
          <w:bCs w:val="1"/>
          <w:color w:val="FFC03C"/>
        </w:rPr>
        <w:t>Long-Term</w:t>
      </w:r>
    </w:p>
    <w:p>
      <w:pPr>
        <w:spacing w:after="0" w:line="29" w:lineRule="exact"/>
        <w:rPr>
          <w:sz w:val="20"/>
          <w:szCs w:val="20"/>
          <w:color w:val="auto"/>
        </w:rPr>
      </w:pPr>
    </w:p>
    <w:p>
      <w:pPr>
        <w:ind w:left="20"/>
        <w:spacing w:after="0"/>
        <w:tabs>
          <w:tab w:leader="none" w:pos="4120" w:val="left"/>
          <w:tab w:leader="none" w:pos="732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4"/>
          <w:szCs w:val="14"/>
          <w:b w:val="1"/>
          <w:bCs w:val="1"/>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66" w:lineRule="exact"/>
        <w:rPr>
          <w:sz w:val="20"/>
          <w:szCs w:val="20"/>
          <w:color w:val="auto"/>
        </w:rPr>
      </w:pPr>
    </w:p>
    <w:p>
      <w:pPr>
        <w:ind w:left="20"/>
        <w:spacing w:after="0" w:line="259" w:lineRule="auto"/>
        <w:rPr>
          <w:sz w:val="20"/>
          <w:szCs w:val="20"/>
          <w:color w:val="auto"/>
        </w:rPr>
      </w:pPr>
      <w:r>
        <w:rPr>
          <w:rFonts w:ascii="Arial" w:cs="Arial" w:eastAsia="Arial" w:hAnsi="Arial"/>
          <w:sz w:val="16"/>
          <w:szCs w:val="16"/>
          <w:color w:val="auto"/>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457835</wp:posOffset>
            </wp:positionV>
            <wp:extent cx="394335"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key objectives of Civeo’s AICP are to reward the achievement of defined annual financial and safety objectives and to incentivize employee activities that will continually improve Civeo, both on a business unit and company-wide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249555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Civeo’s LTIP, established under the Equity Participation Plan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3">
            <w:col w:w="4060" w:space="80"/>
            <w:col w:w="3000" w:space="200"/>
            <w:col w:w="38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ind w:left="9320"/>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Our Variable Compensation Performance Metrics and Their Relation to Our Strategy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ind w:left="20"/>
              <w:spacing w:after="0"/>
              <w:rPr>
                <w:sz w:val="20"/>
                <w:szCs w:val="20"/>
                <w:color w:val="auto"/>
              </w:rPr>
            </w:pPr>
            <w:r>
              <w:rPr>
                <w:rFonts w:ascii="Arial" w:cs="Arial" w:eastAsia="Arial" w:hAnsi="Arial"/>
                <w:sz w:val="14"/>
                <w:szCs w:val="14"/>
                <w:b w:val="1"/>
                <w:bCs w:val="1"/>
                <w:color w:val="706F6F"/>
              </w:rPr>
              <w:t>Performance Metrics</w:t>
            </w:r>
          </w:p>
        </w:tc>
        <w:tc>
          <w:tcPr>
            <w:tcW w:w="8980" w:type="dxa"/>
            <w:vAlign w:val="bottom"/>
          </w:tcPr>
          <w:p>
            <w:pPr>
              <w:ind w:left="20"/>
              <w:spacing w:after="0"/>
              <w:rPr>
                <w:sz w:val="20"/>
                <w:szCs w:val="20"/>
                <w:color w:val="auto"/>
              </w:rPr>
            </w:pPr>
            <w:r>
              <w:rPr>
                <w:rFonts w:ascii="Arial" w:cs="Arial" w:eastAsia="Arial" w:hAnsi="Arial"/>
                <w:sz w:val="14"/>
                <w:szCs w:val="14"/>
                <w:b w:val="1"/>
                <w:bCs w:val="1"/>
                <w:color w:val="706F6F"/>
              </w:rPr>
              <w:t>How The Performance Metrics Tie to Our Strategy</w:t>
            </w: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Arial" w:cs="Arial" w:eastAsia="Arial" w:hAnsi="Arial"/>
                <w:sz w:val="16"/>
                <w:szCs w:val="16"/>
                <w:color w:val="auto"/>
              </w:rPr>
              <w:t>Relative Total Shareholder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Relative TSR is a valuable metric to assess performance against our peer group over a longer-term period. The intent is to</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Return ("TSR")</w:t>
            </w: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better align executive pay with shareholder interests.</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6"/>
                <w:szCs w:val="16"/>
                <w:color w:val="auto"/>
              </w:rPr>
              <w:t>Divisional EBITDA</w:t>
            </w:r>
          </w:p>
        </w:tc>
        <w:tc>
          <w:tcPr>
            <w:tcW w:w="898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EBITDA is widely recognized as a primary valuation and comparable financial metric and, for this reason continued to be</w:t>
            </w:r>
          </w:p>
        </w:tc>
        <w:tc>
          <w:tcPr>
            <w:tcW w:w="0" w:type="dxa"/>
            <w:vAlign w:val="bottom"/>
          </w:tcPr>
          <w:p>
            <w:pPr>
              <w:spacing w:after="0"/>
              <w:rPr>
                <w:sz w:val="1"/>
                <w:szCs w:val="1"/>
                <w:color w:val="auto"/>
              </w:rPr>
            </w:pPr>
          </w:p>
        </w:tc>
      </w:tr>
      <w:tr>
        <w:trPr>
          <w:trHeight w:val="96"/>
        </w:trPr>
        <w:tc>
          <w:tcPr>
            <w:tcW w:w="2260" w:type="dxa"/>
            <w:vAlign w:val="bottom"/>
          </w:tcPr>
          <w:p>
            <w:pPr>
              <w:spacing w:after="0"/>
              <w:rPr>
                <w:sz w:val="8"/>
                <w:szCs w:val="8"/>
                <w:color w:val="auto"/>
              </w:rPr>
            </w:pPr>
          </w:p>
        </w:tc>
        <w:tc>
          <w:tcPr>
            <w:tcW w:w="8980" w:type="dxa"/>
            <w:vAlign w:val="bottom"/>
            <w:vMerge w:val="continue"/>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selected as an appropriate financial metric for 2025.</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TRIR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TRIR is a globally recognized measure of safety performance. Safety is one of Civeo's core values and therefore it is an</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important measure of Company performance.</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Consolidated cash flows</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The Company included consolidated cash flows provided by operating activities as a performance metric, under the LTIP for</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provided by operating</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grants for 2023, as the Company continued its focus on generating cash flow.</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activities</w:t>
            </w:r>
          </w:p>
        </w:tc>
        <w:tc>
          <w:tcPr>
            <w:tcW w:w="8980" w:type="dxa"/>
            <w:vAlign w:val="bottom"/>
            <w:tcBorders>
              <w:bottom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Three-year growth in EBITDA</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Commencing with 2024 LTIP awards, Civeo moved to a three-year EBITDA growth metric measured over the performance</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period relative to a preset EBITDA target in an effort to drive sustainable earnings 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0026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00266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AICP EBITDA</w:t>
      </w:r>
    </w:p>
    <w:p>
      <w:pPr>
        <w:spacing w:after="0" w:line="100" w:lineRule="exact"/>
        <w:rPr>
          <w:sz w:val="20"/>
          <w:szCs w:val="20"/>
          <w:color w:val="auto"/>
        </w:rPr>
      </w:pPr>
    </w:p>
    <w:p>
      <w:pPr>
        <w:ind w:left="20" w:right="200"/>
        <w:spacing w:after="0" w:line="253" w:lineRule="auto"/>
        <w:rPr>
          <w:sz w:val="20"/>
          <w:szCs w:val="20"/>
          <w:color w:val="auto"/>
        </w:rPr>
      </w:pPr>
      <w:r>
        <w:rPr>
          <w:rFonts w:ascii="Arial" w:cs="Arial" w:eastAsia="Arial" w:hAnsi="Arial"/>
          <w:sz w:val="16"/>
          <w:szCs w:val="16"/>
          <w:b w:val="1"/>
          <w:bCs w:val="1"/>
          <w:color w:val="auto"/>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See Appendix A for a reconciliation of EBITDA to GAAP. Adjustments to EBITDA under the AICP (all approved by the Compensation Committee) also reflect one-time, unanticipated financial events incurred following approval of the 2025 budget, including unbudgeted variability in stock-based compensation expense, changes in foreign exchange rates and certain other unbudgeted costs (including activist related costs). The AICP adjustments to EBITDA in 2025 were consistent with past practices.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Shareholder Engagement</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Throughout the year, we meet with our shareholders to solicit their feedback on our performance, capital allocation and pay programs as well as to share our perspective. The Company’s management maintains routine dialogue with our shareholders regarding operations, strategy, total leverage and financial results. Throughout 2025, management engaged with shareholders representing over 52% of our outstanding shares.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Say-On-Pay Vote</w:t>
      </w:r>
    </w:p>
    <w:p>
      <w:pPr>
        <w:spacing w:after="0" w:line="11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At our 2025 annual general meeting, we obtained 95.7% approval by our shareholders casting votes on our Say-on-Pay proposal (excluding abstentions). Our Compensation Committee considered this high level of support in making its compensation-related decisions in 2025, and did not make any specific changes to our compensation program as a result of the say-on-pay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Best Practices</w:t>
      </w:r>
    </w:p>
    <w:p>
      <w:pPr>
        <w:spacing w:after="0" w:line="12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lists key policies and practices of our executive compensation program, which we believe align the interests of management with those of our shareholders and are best practices in compensation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81915</wp:posOffset>
            </wp:positionV>
            <wp:extent cx="480060" cy="4629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0060" cy="4629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22"/>
          <w:szCs w:val="22"/>
          <w:b w:val="1"/>
          <w:bCs w:val="1"/>
          <w:color w:val="006DB6"/>
        </w:rPr>
        <w:t>What We Do</w:t>
      </w:r>
      <w:r>
        <w:rPr>
          <w:sz w:val="20"/>
          <w:szCs w:val="20"/>
          <w:color w:val="auto"/>
        </w:rPr>
        <w:tab/>
      </w:r>
      <w:r>
        <w:rPr>
          <w:rFonts w:ascii="Arial" w:cs="Arial" w:eastAsia="Arial" w:hAnsi="Arial"/>
          <w:sz w:val="21"/>
          <w:szCs w:val="2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443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01" w:lineRule="exact"/>
        <w:rPr>
          <w:sz w:val="20"/>
          <w:szCs w:val="20"/>
          <w:color w:val="auto"/>
        </w:rPr>
      </w:pPr>
    </w:p>
    <w:p>
      <w:pPr>
        <w:ind w:left="320" w:right="60" w:hanging="221"/>
        <w:spacing w:after="0"/>
        <w:rPr>
          <w:sz w:val="20"/>
          <w:szCs w:val="20"/>
          <w:color w:val="auto"/>
        </w:rPr>
      </w:pPr>
      <w:r>
        <w:rPr>
          <w:sz w:val="1"/>
          <w:szCs w:val="1"/>
          <w:color w:val="auto"/>
        </w:rPr>
        <w:drawing>
          <wp:inline distT="0" distB="0" distL="0" distR="0">
            <wp:extent cx="68580" cy="6032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Use an independent consultant to ensure overall executive compensation is market competitive</w:t>
      </w:r>
    </w:p>
    <w:p>
      <w:pPr>
        <w:spacing w:after="0" w:line="55" w:lineRule="exact"/>
        <w:rPr>
          <w:sz w:val="20"/>
          <w:szCs w:val="20"/>
          <w:color w:val="auto"/>
        </w:rPr>
      </w:pPr>
    </w:p>
    <w:p>
      <w:pPr>
        <w:ind w:left="320" w:right="200" w:hanging="221"/>
        <w:spacing w:after="0"/>
        <w:rPr>
          <w:sz w:val="20"/>
          <w:szCs w:val="20"/>
          <w:color w:val="auto"/>
        </w:rPr>
      </w:pPr>
      <w:r>
        <w:rPr>
          <w:sz w:val="1"/>
          <w:szCs w:val="1"/>
          <w:color w:val="auto"/>
        </w:rPr>
        <w:drawing>
          <wp:inline distT="0" distB="0" distL="0" distR="0">
            <wp:extent cx="68580" cy="5969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Provide a balanced executive pay mix including long-term incentives, at least 50% of which are generally performance-based for NEOs and provide at-risk compensation tied directly to financial and share price performance</w:t>
      </w:r>
    </w:p>
    <w:p>
      <w:pPr>
        <w:spacing w:after="0" w:line="55" w:lineRule="exact"/>
        <w:rPr>
          <w:sz w:val="20"/>
          <w:szCs w:val="20"/>
          <w:color w:val="auto"/>
        </w:rPr>
      </w:pPr>
    </w:p>
    <w:p>
      <w:pPr>
        <w:ind w:left="320" w:right="160" w:hanging="221"/>
        <w:spacing w:after="0"/>
        <w:rPr>
          <w:sz w:val="20"/>
          <w:szCs w:val="20"/>
          <w:color w:val="auto"/>
        </w:rPr>
      </w:pPr>
      <w:r>
        <w:rPr>
          <w:sz w:val="1"/>
          <w:szCs w:val="1"/>
          <w:color w:val="auto"/>
        </w:rPr>
        <w:drawing>
          <wp:inline distT="0" distB="0" distL="0" distR="0">
            <wp:extent cx="68580" cy="5969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Apply rigorous performance measures for executive compensation each year, whether absolute or relative, and set performance goals that we believe are reasonable in light of market conditions</w:t>
      </w:r>
    </w:p>
    <w:p>
      <w:pPr>
        <w:spacing w:after="0" w:line="55" w:lineRule="exact"/>
        <w:rPr>
          <w:sz w:val="20"/>
          <w:szCs w:val="20"/>
          <w:color w:val="auto"/>
        </w:rPr>
      </w:pPr>
    </w:p>
    <w:p>
      <w:pPr>
        <w:ind w:left="320" w:right="160" w:hanging="221"/>
        <w:spacing w:after="0"/>
        <w:rPr>
          <w:sz w:val="20"/>
          <w:szCs w:val="20"/>
          <w:color w:val="auto"/>
        </w:rPr>
      </w:pPr>
      <w:r>
        <w:rPr>
          <w:sz w:val="1"/>
          <w:szCs w:val="1"/>
          <w:color w:val="auto"/>
        </w:rPr>
        <w:drawing>
          <wp:inline distT="0" distB="0" distL="0" distR="0">
            <wp:extent cx="68580" cy="6032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Cap payouts under all performance incentives. In addition, Performance share awards are capped at 100% payout (Target), if Civeo's absolute TSR over the performance period is negative, irrespective of relative performance</w:t>
      </w:r>
    </w:p>
    <w:p>
      <w:pPr>
        <w:spacing w:after="0" w:line="55" w:lineRule="exact"/>
        <w:rPr>
          <w:sz w:val="20"/>
          <w:szCs w:val="20"/>
          <w:color w:val="auto"/>
        </w:rPr>
      </w:pPr>
    </w:p>
    <w:p>
      <w:pPr>
        <w:ind w:left="320" w:hanging="221"/>
        <w:spacing w:after="0"/>
        <w:rPr>
          <w:sz w:val="20"/>
          <w:szCs w:val="20"/>
          <w:color w:val="auto"/>
        </w:rPr>
      </w:pPr>
      <w:r>
        <w:rPr>
          <w:sz w:val="1"/>
          <w:szCs w:val="1"/>
          <w:color w:val="auto"/>
        </w:rPr>
        <w:drawing>
          <wp:inline distT="0" distB="0" distL="0" distR="0">
            <wp:extent cx="68580" cy="5969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Maintain a share ownership policy which, in addition to minimum NEO share ownership requirements, requires NEOs to hold at least 50% Civeo shares (after tax withholding) acquired under awards for 12 months after the date of vesting</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43180" cy="4318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Permit directors or officers to buy or sell puts, calls or options in respect of our securities, or pledge shares (including holding shares in a margin account)</w:t>
      </w:r>
    </w:p>
    <w:p>
      <w:pPr>
        <w:spacing w:after="0" w:line="55" w:lineRule="exact"/>
        <w:rPr>
          <w:sz w:val="20"/>
          <w:szCs w:val="20"/>
          <w:color w:val="auto"/>
        </w:rPr>
      </w:pPr>
    </w:p>
    <w:p>
      <w:pPr>
        <w:ind w:left="200" w:right="320" w:hanging="195"/>
        <w:spacing w:after="0"/>
        <w:rPr>
          <w:sz w:val="20"/>
          <w:szCs w:val="20"/>
          <w:color w:val="auto"/>
        </w:rPr>
      </w:pPr>
      <w:r>
        <w:rPr>
          <w:sz w:val="1"/>
          <w:szCs w:val="1"/>
          <w:color w:val="auto"/>
        </w:rPr>
        <w:drawing>
          <wp:inline distT="0" distB="0" distL="0" distR="0">
            <wp:extent cx="43180" cy="4318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excise tax gross-ups in any executive agreements entered into following our spin-off from Oil States International in May 2014</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Apply severance multipliers in excess of 3x</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Utilize liberal share recycling in our long-term incentive plan</w:t>
      </w:r>
    </w:p>
    <w:p>
      <w:pPr>
        <w:spacing w:after="0" w:line="86" w:lineRule="exact"/>
        <w:rPr>
          <w:sz w:val="20"/>
          <w:szCs w:val="20"/>
          <w:color w:val="auto"/>
        </w:rPr>
      </w:pPr>
    </w:p>
    <w:p>
      <w:pPr>
        <w:ind w:left="200" w:right="420" w:hanging="195"/>
        <w:spacing w:after="0"/>
        <w:rPr>
          <w:sz w:val="20"/>
          <w:szCs w:val="20"/>
          <w:color w:val="auto"/>
        </w:rPr>
      </w:pPr>
      <w:r>
        <w:rPr>
          <w:sz w:val="1"/>
          <w:szCs w:val="1"/>
          <w:color w:val="auto"/>
        </w:rPr>
        <w:drawing>
          <wp:inline distT="0" distB="0" distL="0" distR="0">
            <wp:extent cx="43180" cy="4318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Reprice stock options or stock appreciation rights without shareholder approval</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single-trigger vesting of equity awards upon a change of control</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unreasonably long terms for options</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Pay dividends or dividend equivalents on unvested awards</w:t>
      </w:r>
    </w:p>
    <w:p>
      <w:pPr>
        <w:spacing w:after="0" w:line="986" w:lineRule="exact"/>
        <w:rPr>
          <w:sz w:val="20"/>
          <w:szCs w:val="20"/>
          <w:color w:val="auto"/>
        </w:rPr>
      </w:pPr>
    </w:p>
    <w:p>
      <w:pPr>
        <w:sectPr>
          <w:pgSz w:w="11900" w:h="16838" w:orient="portrait"/>
          <w:cols w:equalWidth="0" w:num="2">
            <w:col w:w="5560" w:space="160"/>
            <w:col w:w="5520"/>
          </w:cols>
          <w:pgMar w:left="320" w:top="125" w:right="339" w:bottom="1440" w:gutter="0" w:footer="0" w:header="0"/>
          <w:type w:val="continuous"/>
        </w:sectPr>
      </w:pP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expect that over time, the governance landscape will continue to evolve and require both refinement of existing policies and adoption of new ones. Our Compensation Committee is committed to staying current with evolving governance standards and, where it believes that changes are warranted, to respond accordingly.</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Design and Structure of Executive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Business and Our Compensation Philosophy</w:t>
      </w:r>
    </w:p>
    <w:p>
      <w:pPr>
        <w:spacing w:after="0" w:line="12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Civeo’s philosophy regarding its executive compensation programs for its NEOs is to provide a comprehensive and competitive total compensation program with the following objectives: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attract, motivate, reward and retain</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reinforce the linkage</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align the interests of</w:t>
            </w:r>
          </w:p>
        </w:tc>
        <w:tc>
          <w:tcPr>
            <w:tcW w:w="200" w:type="dxa"/>
            <w:vAlign w:val="bottom"/>
          </w:tcPr>
          <w:p>
            <w:pPr>
              <w:spacing w:after="0"/>
              <w:rPr>
                <w:sz w:val="24"/>
                <w:szCs w:val="24"/>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design compensation that does</w:t>
            </w:r>
          </w:p>
        </w:tc>
      </w:tr>
      <w:tr>
        <w:trPr>
          <w:trHeight w:val="203"/>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experience and talent to</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between individual</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long-</w:t>
            </w:r>
          </w:p>
        </w:tc>
        <w:tc>
          <w:tcPr>
            <w:tcW w:w="200" w:type="dxa"/>
            <w:vAlign w:val="bottom"/>
          </w:tcPr>
          <w:p>
            <w:pPr>
              <w:spacing w:after="0"/>
              <w:rPr>
                <w:sz w:val="17"/>
                <w:szCs w:val="17"/>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not encourage overly</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achieve our short-term goals and objectives and</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performance of executives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term interests of our</w:t>
            </w:r>
          </w:p>
        </w:tc>
        <w:tc>
          <w:tcPr>
            <w:tcW w:w="200" w:type="dxa"/>
            <w:vAlign w:val="bottom"/>
          </w:tcPr>
          <w:p>
            <w:pPr>
              <w:spacing w:after="0"/>
              <w:rPr>
                <w:sz w:val="16"/>
                <w:szCs w:val="16"/>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conservative actions nor</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successfully execute our longer-term strategic</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and business results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shareholders</w:t>
            </w:r>
          </w:p>
        </w:tc>
        <w:tc>
          <w:tcPr>
            <w:tcW w:w="200" w:type="dxa"/>
            <w:vAlign w:val="bottom"/>
          </w:tcPr>
          <w:p>
            <w:pPr>
              <w:spacing w:after="0"/>
              <w:rPr>
                <w:sz w:val="16"/>
                <w:szCs w:val="16"/>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excessive risk taking</w:t>
            </w:r>
          </w:p>
        </w:tc>
      </w:tr>
      <w:tr>
        <w:trPr>
          <w:trHeight w:val="215"/>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plans</w:t>
            </w: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shd w:val="clear" w:color="auto" w:fill="E8EEF7"/>
          </w:tcPr>
          <w:p>
            <w:pPr>
              <w:spacing w:after="0"/>
              <w:rPr>
                <w:sz w:val="18"/>
                <w:szCs w:val="18"/>
                <w:color w:val="auto"/>
              </w:rPr>
            </w:pPr>
          </w:p>
        </w:tc>
      </w:tr>
      <w:tr>
        <w:trPr>
          <w:trHeight w:val="137"/>
        </w:trPr>
        <w:tc>
          <w:tcPr>
            <w:tcW w:w="370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660" w:type="dxa"/>
            <w:vAlign w:val="bottom"/>
            <w:shd w:val="clear" w:color="auto" w:fill="E8EEF7"/>
          </w:tcPr>
          <w:p>
            <w:pPr>
              <w:spacing w:after="0"/>
              <w:rPr>
                <w:sz w:val="11"/>
                <w:szCs w:val="11"/>
                <w:color w:val="auto"/>
              </w:rPr>
            </w:pPr>
          </w:p>
        </w:tc>
      </w:tr>
    </w:tbl>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as determined in the discretion of the Compensation Committee, compensation above or below median levels of our peer group may be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815975</wp:posOffset>
            </wp:positionV>
            <wp:extent cx="394335" cy="196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Peer Group and Benchmarking</w:t>
      </w:r>
    </w:p>
    <w:p>
      <w:pPr>
        <w:spacing w:after="0" w:line="12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Compensation Committee engages Mercer as its independent compensation consultant, who provides the Committee with data on a peer group of companies with similar customers, operations and activity drivers to Civeo to benchmark executive compensation. The peer group includes companies in oil and gas services, construction and engineering services and similar, diversified support services companies. These peers typically will be exposed to the cyclical nature of the natural resources market that impacts Civeo’s business and financial results.</w:t>
      </w:r>
    </w:p>
    <w:p>
      <w:pPr>
        <w:spacing w:after="0" w:line="195"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The primary review and selection criteria for the peer group include revenue, market capitalization, business/operational characteristics and geographic footprint. Most notably, the majority of the peer group falls within 0.5x to 2x Civeo's 2025 revenue of $639M positioning Civeo at 84% of the peer group median $760M.</w:t>
      </w:r>
    </w:p>
    <w:p>
      <w:pPr>
        <w:spacing w:after="0" w:line="5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Each year, Mercer reviews Civeo’s peer group of companies used for benchmarking purposes to assess the ongoing competitiveness and suitability of Civeo’s compensation programs and practices. Following the review in late 2025, Mercer recommended that the current peer group remain unchanged, as the screening process did not identify any existing peers that should be added or removed. The Compensation Committee approved the recommendation to keep the current peer group and used the following peer group for determining target compensation levels for 2026.</w:t>
      </w:r>
    </w:p>
    <w:p>
      <w:pPr>
        <w:spacing w:after="0" w:line="200" w:lineRule="exact"/>
        <w:rPr>
          <w:sz w:val="20"/>
          <w:szCs w:val="20"/>
          <w:color w:val="auto"/>
        </w:rPr>
      </w:pP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443"/>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Badger Infrastructure Solutions Ltd.</w:t>
            </w:r>
          </w:p>
        </w:tc>
        <w:tc>
          <w:tcPr>
            <w:tcW w:w="3580" w:type="dxa"/>
            <w:vAlign w:val="bottom"/>
            <w:shd w:val="clear" w:color="auto" w:fill="E8EEF7"/>
          </w:tcPr>
          <w:p>
            <w:pPr>
              <w:ind w:left="140"/>
              <w:spacing w:after="0"/>
              <w:rPr>
                <w:sz w:val="20"/>
                <w:szCs w:val="20"/>
                <w:color w:val="auto"/>
              </w:rPr>
            </w:pPr>
            <w:r>
              <w:rPr>
                <w:rFonts w:ascii="Arial" w:cs="Arial" w:eastAsia="Arial" w:hAnsi="Arial"/>
                <w:sz w:val="16"/>
                <w:szCs w:val="16"/>
                <w:color w:val="auto"/>
              </w:rPr>
              <w:t>McGrath RentCorp</w:t>
            </w:r>
          </w:p>
        </w:tc>
        <w:tc>
          <w:tcPr>
            <w:tcW w:w="3560" w:type="dxa"/>
            <w:vAlign w:val="bottom"/>
            <w:shd w:val="clear" w:color="auto" w:fill="E8EEF7"/>
          </w:tcPr>
          <w:p>
            <w:pPr>
              <w:ind w:left="560"/>
              <w:spacing w:after="0"/>
              <w:rPr>
                <w:sz w:val="20"/>
                <w:szCs w:val="20"/>
                <w:color w:val="auto"/>
              </w:rPr>
            </w:pPr>
            <w:r>
              <w:rPr>
                <w:rFonts w:ascii="Arial" w:cs="Arial" w:eastAsia="Arial" w:hAnsi="Arial"/>
                <w:sz w:val="16"/>
                <w:szCs w:val="16"/>
                <w:color w:val="auto"/>
              </w:rPr>
              <w:t>Precision Drilling Corporation</w:t>
            </w:r>
          </w:p>
        </w:tc>
      </w:tr>
      <w:tr>
        <w:trPr>
          <w:trHeight w:val="270"/>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Black Diamond Group Limited</w:t>
            </w:r>
          </w:p>
        </w:tc>
        <w:tc>
          <w:tcPr>
            <w:tcW w:w="3580" w:type="dxa"/>
            <w:vAlign w:val="bottom"/>
            <w:shd w:val="clear" w:color="auto" w:fill="E8EEF7"/>
          </w:tcPr>
          <w:p>
            <w:pPr>
              <w:ind w:left="140"/>
              <w:spacing w:after="0"/>
              <w:rPr>
                <w:sz w:val="20"/>
                <w:szCs w:val="20"/>
                <w:color w:val="auto"/>
              </w:rPr>
            </w:pPr>
            <w:r>
              <w:rPr>
                <w:rFonts w:ascii="Arial" w:cs="Arial" w:eastAsia="Arial" w:hAnsi="Arial"/>
                <w:sz w:val="16"/>
                <w:szCs w:val="16"/>
                <w:color w:val="auto"/>
              </w:rPr>
              <w:t>NPK International Inc.</w:t>
            </w:r>
          </w:p>
        </w:tc>
        <w:tc>
          <w:tcPr>
            <w:tcW w:w="3560" w:type="dxa"/>
            <w:vAlign w:val="bottom"/>
            <w:shd w:val="clear" w:color="auto" w:fill="E8EEF7"/>
          </w:tcPr>
          <w:p>
            <w:pPr>
              <w:ind w:left="560"/>
              <w:spacing w:after="0"/>
              <w:rPr>
                <w:sz w:val="20"/>
                <w:szCs w:val="20"/>
                <w:color w:val="auto"/>
              </w:rPr>
            </w:pPr>
            <w:r>
              <w:rPr>
                <w:rFonts w:ascii="Arial" w:cs="Arial" w:eastAsia="Arial" w:hAnsi="Arial"/>
                <w:sz w:val="16"/>
                <w:szCs w:val="16"/>
                <w:color w:val="auto"/>
              </w:rPr>
              <w:t>Select Water Solutions, Inc.</w:t>
            </w:r>
          </w:p>
        </w:tc>
      </w:tr>
      <w:tr>
        <w:trPr>
          <w:trHeight w:val="297"/>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Dexterra Group Inc.</w:t>
            </w:r>
          </w:p>
        </w:tc>
        <w:tc>
          <w:tcPr>
            <w:tcW w:w="3580" w:type="dxa"/>
            <w:vAlign w:val="bottom"/>
            <w:shd w:val="clear" w:color="auto" w:fill="E8EEF7"/>
          </w:tcPr>
          <w:p>
            <w:pPr>
              <w:ind w:left="140"/>
              <w:spacing w:after="0"/>
              <w:rPr>
                <w:sz w:val="20"/>
                <w:szCs w:val="20"/>
                <w:color w:val="auto"/>
              </w:rPr>
            </w:pPr>
            <w:r>
              <w:rPr>
                <w:rFonts w:ascii="Arial" w:cs="Arial" w:eastAsia="Arial" w:hAnsi="Arial"/>
                <w:sz w:val="16"/>
                <w:szCs w:val="16"/>
                <w:color w:val="auto"/>
              </w:rPr>
              <w:t>Nine Energy Service, Inc.</w:t>
            </w:r>
          </w:p>
        </w:tc>
        <w:tc>
          <w:tcPr>
            <w:tcW w:w="3560" w:type="dxa"/>
            <w:vAlign w:val="bottom"/>
            <w:shd w:val="clear" w:color="auto" w:fill="E8EEF7"/>
          </w:tcPr>
          <w:p>
            <w:pPr>
              <w:ind w:left="560"/>
              <w:spacing w:after="0"/>
              <w:rPr>
                <w:sz w:val="20"/>
                <w:szCs w:val="20"/>
                <w:color w:val="auto"/>
              </w:rPr>
            </w:pPr>
            <w:r>
              <w:rPr>
                <w:rFonts w:ascii="Arial" w:cs="Arial" w:eastAsia="Arial" w:hAnsi="Arial"/>
                <w:sz w:val="16"/>
                <w:szCs w:val="16"/>
                <w:color w:val="auto"/>
              </w:rPr>
              <w:t>Target Hospitality Corp.</w:t>
            </w:r>
          </w:p>
        </w:tc>
      </w:tr>
      <w:tr>
        <w:trPr>
          <w:trHeight w:val="311"/>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Enerflex Ltd.</w:t>
            </w:r>
          </w:p>
        </w:tc>
        <w:tc>
          <w:tcPr>
            <w:tcW w:w="3580" w:type="dxa"/>
            <w:vAlign w:val="bottom"/>
            <w:shd w:val="clear" w:color="auto" w:fill="E8EEF7"/>
          </w:tcPr>
          <w:p>
            <w:pPr>
              <w:ind w:left="140"/>
              <w:spacing w:after="0"/>
              <w:rPr>
                <w:sz w:val="20"/>
                <w:szCs w:val="20"/>
                <w:color w:val="auto"/>
              </w:rPr>
            </w:pPr>
            <w:r>
              <w:rPr>
                <w:rFonts w:ascii="Arial" w:cs="Arial" w:eastAsia="Arial" w:hAnsi="Arial"/>
                <w:sz w:val="16"/>
                <w:szCs w:val="16"/>
                <w:color w:val="auto"/>
              </w:rPr>
              <w:t>North American Construction Group Ltd.</w:t>
            </w:r>
          </w:p>
        </w:tc>
        <w:tc>
          <w:tcPr>
            <w:tcW w:w="3560" w:type="dxa"/>
            <w:vAlign w:val="bottom"/>
            <w:shd w:val="clear" w:color="auto" w:fill="E8EEF7"/>
          </w:tcPr>
          <w:p>
            <w:pPr>
              <w:ind w:left="560"/>
              <w:spacing w:after="0"/>
              <w:rPr>
                <w:sz w:val="20"/>
                <w:szCs w:val="20"/>
                <w:color w:val="auto"/>
              </w:rPr>
            </w:pPr>
            <w:r>
              <w:rPr>
                <w:rFonts w:ascii="Arial" w:cs="Arial" w:eastAsia="Arial" w:hAnsi="Arial"/>
                <w:sz w:val="16"/>
                <w:szCs w:val="16"/>
                <w:color w:val="auto"/>
              </w:rPr>
              <w:t>TETRA Technologies, Inc.</w:t>
            </w:r>
          </w:p>
        </w:tc>
      </w:tr>
      <w:tr>
        <w:trPr>
          <w:trHeight w:val="297"/>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Forum Energy Technologies, Inc.</w:t>
            </w:r>
          </w:p>
        </w:tc>
        <w:tc>
          <w:tcPr>
            <w:tcW w:w="3580" w:type="dxa"/>
            <w:vAlign w:val="bottom"/>
            <w:shd w:val="clear" w:color="auto" w:fill="E8EEF7"/>
          </w:tcPr>
          <w:p>
            <w:pPr>
              <w:ind w:left="140"/>
              <w:spacing w:after="0"/>
              <w:rPr>
                <w:sz w:val="20"/>
                <w:szCs w:val="20"/>
                <w:color w:val="auto"/>
              </w:rPr>
            </w:pPr>
            <w:r>
              <w:rPr>
                <w:rFonts w:ascii="Arial" w:cs="Arial" w:eastAsia="Arial" w:hAnsi="Arial"/>
                <w:sz w:val="16"/>
                <w:szCs w:val="16"/>
                <w:color w:val="auto"/>
              </w:rPr>
              <w:t>Oil States International, Inc.</w:t>
            </w:r>
          </w:p>
        </w:tc>
        <w:tc>
          <w:tcPr>
            <w:tcW w:w="3560" w:type="dxa"/>
            <w:vAlign w:val="bottom"/>
            <w:shd w:val="clear" w:color="auto" w:fill="E8EEF7"/>
          </w:tcPr>
          <w:p>
            <w:pPr>
              <w:ind w:left="560"/>
              <w:spacing w:after="0"/>
              <w:rPr>
                <w:sz w:val="20"/>
                <w:szCs w:val="20"/>
                <w:color w:val="auto"/>
              </w:rPr>
            </w:pPr>
            <w:r>
              <w:rPr>
                <w:rFonts w:ascii="Arial" w:cs="Arial" w:eastAsia="Arial" w:hAnsi="Arial"/>
                <w:sz w:val="16"/>
                <w:szCs w:val="16"/>
                <w:color w:val="auto"/>
              </w:rPr>
              <w:t>Total Energy Services Inc.</w:t>
            </w:r>
          </w:p>
        </w:tc>
      </w:tr>
      <w:tr>
        <w:trPr>
          <w:trHeight w:val="270"/>
        </w:trPr>
        <w:tc>
          <w:tcPr>
            <w:tcW w:w="3520" w:type="dxa"/>
            <w:vAlign w:val="bottom"/>
            <w:shd w:val="clear" w:color="auto" w:fill="E8EEF7"/>
          </w:tcPr>
          <w:p>
            <w:pPr>
              <w:ind w:left="140"/>
              <w:spacing w:after="0"/>
              <w:rPr>
                <w:sz w:val="20"/>
                <w:szCs w:val="20"/>
                <w:color w:val="auto"/>
              </w:rPr>
            </w:pPr>
            <w:r>
              <w:rPr>
                <w:rFonts w:ascii="Arial" w:cs="Arial" w:eastAsia="Arial" w:hAnsi="Arial"/>
                <w:sz w:val="16"/>
                <w:szCs w:val="16"/>
                <w:color w:val="auto"/>
              </w:rPr>
              <w:t>Matrix Service Company</w:t>
            </w:r>
          </w:p>
        </w:tc>
        <w:tc>
          <w:tcPr>
            <w:tcW w:w="3580" w:type="dxa"/>
            <w:vAlign w:val="bottom"/>
            <w:shd w:val="clear" w:color="auto" w:fill="E8EEF7"/>
          </w:tcPr>
          <w:p>
            <w:pPr>
              <w:spacing w:after="0"/>
              <w:rPr>
                <w:sz w:val="23"/>
                <w:szCs w:val="23"/>
                <w:color w:val="auto"/>
              </w:rPr>
            </w:pPr>
          </w:p>
        </w:tc>
        <w:tc>
          <w:tcPr>
            <w:tcW w:w="3560" w:type="dxa"/>
            <w:vAlign w:val="bottom"/>
            <w:shd w:val="clear" w:color="auto" w:fill="E8EEF7"/>
          </w:tcPr>
          <w:p>
            <w:pPr>
              <w:spacing w:after="0"/>
              <w:rPr>
                <w:sz w:val="23"/>
                <w:szCs w:val="23"/>
                <w:color w:val="auto"/>
              </w:rPr>
            </w:pPr>
          </w:p>
        </w:tc>
      </w:tr>
      <w:tr>
        <w:trPr>
          <w:trHeight w:val="110"/>
        </w:trPr>
        <w:tc>
          <w:tcPr>
            <w:tcW w:w="3520" w:type="dxa"/>
            <w:vAlign w:val="bottom"/>
            <w:shd w:val="clear" w:color="auto" w:fill="E8EEF7"/>
          </w:tcPr>
          <w:p>
            <w:pPr>
              <w:spacing w:after="0"/>
              <w:rPr>
                <w:sz w:val="9"/>
                <w:szCs w:val="9"/>
                <w:color w:val="auto"/>
              </w:rPr>
            </w:pPr>
          </w:p>
        </w:tc>
        <w:tc>
          <w:tcPr>
            <w:tcW w:w="3580" w:type="dxa"/>
            <w:vAlign w:val="bottom"/>
            <w:shd w:val="clear" w:color="auto" w:fill="E8EEF7"/>
          </w:tcPr>
          <w:p>
            <w:pPr>
              <w:spacing w:after="0"/>
              <w:rPr>
                <w:sz w:val="9"/>
                <w:szCs w:val="9"/>
                <w:color w:val="auto"/>
              </w:rPr>
            </w:pPr>
          </w:p>
        </w:tc>
        <w:tc>
          <w:tcPr>
            <w:tcW w:w="3560" w:type="dxa"/>
            <w:vAlign w:val="bottom"/>
            <w:shd w:val="clear" w:color="auto" w:fill="E8EEF7"/>
          </w:tcPr>
          <w:p>
            <w:pPr>
              <w:spacing w:after="0"/>
              <w:rPr>
                <w:sz w:val="9"/>
                <w:szCs w:val="9"/>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and Risk Management</w:t>
      </w:r>
    </w:p>
    <w:p>
      <w:pPr>
        <w:spacing w:after="0" w:line="12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Civeo’s compensation programs have been designed to (i) promote financial, operational and organizational growth, while giving due consideration to broader enterprise risk management issues and (ii) maintain a balance between short and long-term incentive compensation, shareholder returns, company growth and risk. The Compensation Committee, in its sole discretion, retains full authority to adjust any aspect of Civeo’s compensation programs.</w:t>
      </w:r>
    </w:p>
    <w:p>
      <w:pPr>
        <w:spacing w:after="0" w:line="77"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7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consistent in design and operation with those of our peer companies in the markets where we operate. These compensation policies and practices are centrally designed and administered by the Compensation Committee. The following specific factors, in particular, reduce the likelihood of excessive risk-taking:</w:t>
      </w:r>
    </w:p>
    <w:p>
      <w:pPr>
        <w:spacing w:after="0" w:line="65" w:lineRule="exact"/>
        <w:rPr>
          <w:sz w:val="20"/>
          <w:szCs w:val="20"/>
          <w:color w:val="auto"/>
        </w:rPr>
      </w:pPr>
    </w:p>
    <w:p>
      <w:pPr>
        <w:ind w:left="200" w:right="120" w:hanging="192"/>
        <w:spacing w:after="0" w:line="304" w:lineRule="auto"/>
        <w:tabs>
          <w:tab w:leader="none" w:pos="17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Our overall executive compensation levels are competitive with the market, based on information provided by Mercer and reviewed by the Compensation Committee;</w:t>
      </w:r>
    </w:p>
    <w:p>
      <w:pPr>
        <w:spacing w:after="0" w:line="6" w:lineRule="exact"/>
        <w:rPr>
          <w:rFonts w:ascii="Arial" w:cs="Arial" w:eastAsia="Arial" w:hAnsi="Arial"/>
          <w:sz w:val="16"/>
          <w:szCs w:val="16"/>
          <w:color w:val="006DB6"/>
        </w:rPr>
      </w:pPr>
    </w:p>
    <w:p>
      <w:pPr>
        <w:jc w:val="both"/>
        <w:ind w:left="200" w:right="440" w:hanging="192"/>
        <w:spacing w:after="0" w:line="266" w:lineRule="auto"/>
        <w:tabs>
          <w:tab w:leader="none" w:pos="17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Our executive compensation mix is balanced among (i) fixed components including salary and benefits, (ii) capped annual incentives that reward our overall financial and operating performance and (iii) long-term incentives, at least 50% of which are generally performance-based for NEOs, to more closely align executive compensation with shareholder interests and to provide for a substantial portion of at-risk compensation;</w:t>
      </w:r>
    </w:p>
    <w:p>
      <w:pPr>
        <w:spacing w:after="0" w:line="36" w:lineRule="exact"/>
        <w:rPr>
          <w:rFonts w:ascii="Arial" w:cs="Arial" w:eastAsia="Arial" w:hAnsi="Arial"/>
          <w:sz w:val="16"/>
          <w:szCs w:val="16"/>
          <w:color w:val="006DB6"/>
        </w:rPr>
      </w:pPr>
    </w:p>
    <w:p>
      <w:pPr>
        <w:ind w:left="200" w:right="640" w:hanging="192"/>
        <w:spacing w:after="0" w:line="286" w:lineRule="auto"/>
        <w:tabs>
          <w:tab w:leader="none" w:pos="17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20" w:lineRule="exact"/>
        <w:rPr>
          <w:rFonts w:ascii="Arial" w:cs="Arial" w:eastAsia="Arial" w:hAnsi="Arial"/>
          <w:sz w:val="16"/>
          <w:szCs w:val="16"/>
          <w:color w:val="006DB6"/>
        </w:rPr>
      </w:pPr>
    </w:p>
    <w:p>
      <w:pPr>
        <w:ind w:left="200" w:right="200" w:hanging="192"/>
        <w:spacing w:after="0" w:line="304" w:lineRule="auto"/>
        <w:tabs>
          <w:tab w:leader="none" w:pos="170" w:val="left"/>
        </w:tabs>
        <w:numPr>
          <w:ilvl w:val="0"/>
          <w:numId w:val="38"/>
        </w:numPr>
        <w:rPr>
          <w:rFonts w:ascii="Arial" w:cs="Arial" w:eastAsia="Arial" w:hAnsi="Arial"/>
          <w:sz w:val="16"/>
          <w:szCs w:val="16"/>
          <w:color w:val="006DB6"/>
        </w:rPr>
      </w:pPr>
      <w:r>
        <w:rPr>
          <w:rFonts w:ascii="Arial" w:cs="Arial" w:eastAsia="Arial" w:hAnsi="Arial"/>
          <w:sz w:val="16"/>
          <w:szCs w:val="16"/>
          <w:color w:val="auto"/>
        </w:rPr>
        <w:t>We have established maximum award levels as a cap on performance incentives. The Compensation Committee caps performance shares at 100% payout (Target), for this portion of the long-term incentives, if Civeo’s TSR over the performance period is negative, irrespective of relative performance.</w:t>
      </w:r>
    </w:p>
    <w:p>
      <w:pPr>
        <w:spacing w:after="0" w:line="3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summary, although a portion of the compensation provided to our NEOs is based on our overall performance or division performance, we believe our compensation programs do not encourage excessive or unnecessary risk-taking by our NEOs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Compensation Program Components</w:t>
      </w:r>
    </w:p>
    <w:p>
      <w:pPr>
        <w:spacing w:after="0" w:line="128" w:lineRule="exact"/>
        <w:rPr>
          <w:sz w:val="20"/>
          <w:szCs w:val="20"/>
          <w:color w:val="auto"/>
        </w:rPr>
      </w:pPr>
    </w:p>
    <w:p>
      <w:pPr>
        <w:ind w:right="104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for each of our NEOs for 2025. The primary components of overall compensation consists of base salary, annual performance incentive awards and long-term incentive awards.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Base Salary</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fixed to avoid fluctuations in compensation that could distract our executives from the performance of their responsibilities. Base salaries for NEOs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our peer group but vary from this reference point when and where deemed appropriate by the Compensation Committee.</w:t>
      </w:r>
    </w:p>
    <w:p>
      <w:pPr>
        <w:spacing w:after="0" w:line="5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Base salaries, as in effect at year end December 31, 2025 and December 31, 2024 are set forth below for each named executive officer. Adjustments to NEO compensation are considered by the Compensation Committee in consultation with Mercer. The Compensation Committee considers market data, executive tenure in the role, performance and other internal equity factors when recommending changes to NEO compensation. No adjustments were made to NEO base salaries in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320" w:type="dxa"/>
            <w:vAlign w:val="bottom"/>
            <w:gridSpan w:val="2"/>
          </w:tcPr>
          <w:p>
            <w:pPr>
              <w:jc w:val="right"/>
              <w:ind w:right="61"/>
              <w:spacing w:after="0"/>
              <w:rPr>
                <w:sz w:val="20"/>
                <w:szCs w:val="20"/>
                <w:color w:val="auto"/>
              </w:rPr>
            </w:pPr>
            <w:r>
              <w:rPr>
                <w:rFonts w:ascii="Arial" w:cs="Arial" w:eastAsia="Arial" w:hAnsi="Arial"/>
                <w:sz w:val="14"/>
                <w:szCs w:val="14"/>
                <w:b w:val="1"/>
                <w:bCs w:val="1"/>
                <w:color w:val="70706F"/>
              </w:rPr>
              <w:t>2025 Base Salary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70706F"/>
              </w:rPr>
              <w:t>2024 Base Salary</w:t>
            </w:r>
          </w:p>
        </w:tc>
      </w:tr>
      <w:tr>
        <w:trPr>
          <w:trHeight w:val="219"/>
        </w:trPr>
        <w:tc>
          <w:tcPr>
            <w:tcW w:w="17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520" w:type="dxa"/>
            <w:vAlign w:val="bottom"/>
            <w:tcBorders>
              <w:bottom w:val="single" w:sz="8" w:color="006DB6"/>
            </w:tcBorders>
          </w:tcPr>
          <w:p>
            <w:pPr>
              <w:ind w:left="300"/>
              <w:spacing w:after="0"/>
              <w:rPr>
                <w:sz w:val="20"/>
                <w:szCs w:val="20"/>
                <w:color w:val="auto"/>
              </w:rPr>
            </w:pPr>
            <w:r>
              <w:rPr>
                <w:rFonts w:ascii="Arial" w:cs="Arial" w:eastAsia="Arial" w:hAnsi="Arial"/>
                <w:sz w:val="14"/>
                <w:szCs w:val="14"/>
                <w:b w:val="1"/>
                <w:bCs w:val="1"/>
                <w:color w:val="70706F"/>
              </w:rPr>
              <w:t>Position</w:t>
            </w:r>
          </w:p>
        </w:tc>
        <w:tc>
          <w:tcPr>
            <w:tcW w:w="1280" w:type="dxa"/>
            <w:vAlign w:val="bottom"/>
            <w:tcBorders>
              <w:bottom w:val="single" w:sz="8" w:color="006DB6"/>
            </w:tcBorders>
          </w:tcPr>
          <w:p>
            <w:pPr>
              <w:spacing w:after="0"/>
              <w:rPr>
                <w:sz w:val="19"/>
                <w:szCs w:val="19"/>
                <w:color w:val="auto"/>
              </w:rPr>
            </w:pPr>
          </w:p>
        </w:tc>
        <w:tc>
          <w:tcPr>
            <w:tcW w:w="1040" w:type="dxa"/>
            <w:vAlign w:val="bottom"/>
            <w:tcBorders>
              <w:bottom w:val="single" w:sz="8" w:color="006DB6"/>
            </w:tcBorders>
          </w:tcPr>
          <w:p>
            <w:pPr>
              <w:jc w:val="right"/>
              <w:ind w:right="61"/>
              <w:spacing w:after="0"/>
              <w:rPr>
                <w:sz w:val="20"/>
                <w:szCs w:val="20"/>
                <w:color w:val="auto"/>
              </w:rPr>
            </w:pPr>
            <w:r>
              <w:rPr>
                <w:rFonts w:ascii="Arial" w:cs="Arial" w:eastAsia="Arial" w:hAnsi="Arial"/>
                <w:sz w:val="14"/>
                <w:szCs w:val="14"/>
                <w:b w:val="1"/>
                <w:bCs w:val="1"/>
                <w:color w:val="70706F"/>
              </w:rPr>
              <w:t xml:space="preserve">(USD) </w:t>
            </w:r>
            <w:r>
              <w:rPr>
                <w:rFonts w:ascii="Arial" w:cs="Arial" w:eastAsia="Arial" w:hAnsi="Arial"/>
                <w:sz w:val="10"/>
                <w:szCs w:val="10"/>
                <w:b w:val="1"/>
                <w:bCs w:val="1"/>
                <w:color w:val="70706F"/>
              </w:rPr>
              <w:t>(1)</w:t>
            </w:r>
          </w:p>
        </w:tc>
        <w:tc>
          <w:tcPr>
            <w:tcW w:w="240" w:type="dxa"/>
            <w:vAlign w:val="bottom"/>
            <w:tcBorders>
              <w:bottom w:val="single" w:sz="8" w:color="006DB6"/>
            </w:tcBorders>
          </w:tcPr>
          <w:p>
            <w:pPr>
              <w:spacing w:after="0"/>
              <w:rPr>
                <w:sz w:val="19"/>
                <w:szCs w:val="19"/>
                <w:color w:val="auto"/>
              </w:rPr>
            </w:pPr>
          </w:p>
        </w:tc>
        <w:tc>
          <w:tcPr>
            <w:tcW w:w="12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 xml:space="preserve">(USD) </w:t>
            </w:r>
            <w:r>
              <w:rPr>
                <w:rFonts w:ascii="Arial" w:cs="Arial" w:eastAsia="Arial" w:hAnsi="Arial"/>
                <w:sz w:val="10"/>
                <w:szCs w:val="10"/>
                <w:b w:val="1"/>
                <w:bCs w:val="1"/>
                <w:color w:val="70706F"/>
              </w:rPr>
              <w:t>(1)</w:t>
            </w:r>
          </w:p>
        </w:tc>
      </w:tr>
      <w:tr>
        <w:trPr>
          <w:trHeight w:val="23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President and Chief Executive Officer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750,000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750,000</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5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Senior Vice President, Chief Financial Officer and Treasurer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380,000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380,000</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5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Senior Vice President, Canada</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357,800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365,050</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Senior Vice President, Australia</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322,400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329,850</w:t>
            </w:r>
          </w:p>
        </w:tc>
      </w:tr>
    </w:tbl>
    <w:p>
      <w:pPr>
        <w:spacing w:after="0" w:line="85" w:lineRule="exact"/>
        <w:rPr>
          <w:sz w:val="20"/>
          <w:szCs w:val="20"/>
          <w:color w:val="auto"/>
        </w:rPr>
      </w:pPr>
    </w:p>
    <w:p>
      <w:pPr>
        <w:ind w:right="80" w:firstLine="8"/>
        <w:spacing w:after="0" w:line="421" w:lineRule="auto"/>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2"/>
          <w:szCs w:val="12"/>
          <w:color w:val="auto"/>
        </w:rPr>
        <w:t>Mr. McCann is paid in Australian dollars and Mr. Fraser is paid in Canadian dollars. Their respective base salaries have been converted to U.S. dollars at an exchange rate of $0.6448 U.S. dollar per Australian dollar and $0.7156 U.S. dollar per Canadian dollar, respectively, which reflect the average exchange rates for each currency for 2025. The lower 2025 base salaries shown for Messrs. Fraser and McCann are a result of fluctuations in the applicable average exchange rate from 2024 to 2025; no adjustments were made in 2025 to their respective base salaries.</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Annual Incentive Compensation Plan</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NEOs.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the Compensation Committee’s review of publicly available competitive compensation data for each position, level of responsibility and ability to impact or influence business results.</w:t>
      </w:r>
    </w:p>
    <w:p>
      <w:pPr>
        <w:spacing w:after="0" w:line="128" w:lineRule="exact"/>
        <w:rPr>
          <w:sz w:val="20"/>
          <w:szCs w:val="20"/>
          <w:color w:val="auto"/>
        </w:rPr>
      </w:pPr>
    </w:p>
    <w:tbl>
      <w:tblPr>
        <w:tblLayout w:type="fixed"/>
        <w:tblInd w:w="370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940" w:type="dxa"/>
            <w:vAlign w:val="bottom"/>
          </w:tcPr>
          <w:p>
            <w:pPr>
              <w:jc w:val="center"/>
              <w:ind w:left="82"/>
              <w:spacing w:after="0"/>
              <w:rPr>
                <w:sz w:val="20"/>
                <w:szCs w:val="20"/>
                <w:color w:val="auto"/>
              </w:rPr>
            </w:pPr>
            <w:r>
              <w:rPr>
                <w:rFonts w:ascii="Arial" w:cs="Arial" w:eastAsia="Arial" w:hAnsi="Arial"/>
                <w:sz w:val="14"/>
                <w:szCs w:val="14"/>
                <w:b w:val="1"/>
                <w:bCs w:val="1"/>
                <w:color w:val="70706F"/>
              </w:rPr>
              <w:t>Target AICP</w:t>
            </w:r>
          </w:p>
        </w:tc>
      </w:tr>
      <w:tr>
        <w:trPr>
          <w:trHeight w:val="232"/>
        </w:trPr>
        <w:tc>
          <w:tcPr>
            <w:tcW w:w="1900" w:type="dxa"/>
            <w:vAlign w:val="bottom"/>
            <w:tcBorders>
              <w:bottom w:val="single" w:sz="8" w:color="006DB6"/>
            </w:tcBorders>
          </w:tcPr>
          <w:p>
            <w:pPr>
              <w:ind w:left="840"/>
              <w:spacing w:after="0"/>
              <w:rPr>
                <w:sz w:val="20"/>
                <w:szCs w:val="20"/>
                <w:color w:val="auto"/>
              </w:rPr>
            </w:pPr>
            <w:r>
              <w:rPr>
                <w:rFonts w:ascii="Arial" w:cs="Arial" w:eastAsia="Arial" w:hAnsi="Arial"/>
                <w:sz w:val="14"/>
                <w:szCs w:val="14"/>
                <w:b w:val="1"/>
                <w:bCs w:val="1"/>
                <w:color w:val="70706F"/>
              </w:rPr>
              <w:t>Name</w:t>
            </w:r>
          </w:p>
        </w:tc>
        <w:tc>
          <w:tcPr>
            <w:tcW w:w="1940" w:type="dxa"/>
            <w:vAlign w:val="bottom"/>
            <w:tcBorders>
              <w:bottom w:val="single" w:sz="8" w:color="006DB6"/>
            </w:tcBorders>
          </w:tcPr>
          <w:p>
            <w:pPr>
              <w:jc w:val="center"/>
              <w:ind w:left="82"/>
              <w:spacing w:after="0"/>
              <w:rPr>
                <w:sz w:val="20"/>
                <w:szCs w:val="20"/>
                <w:color w:val="auto"/>
              </w:rPr>
            </w:pPr>
            <w:r>
              <w:rPr>
                <w:rFonts w:ascii="Arial" w:cs="Arial" w:eastAsia="Arial" w:hAnsi="Arial"/>
                <w:sz w:val="14"/>
                <w:szCs w:val="14"/>
                <w:b w:val="1"/>
                <w:bCs w:val="1"/>
                <w:color w:val="70706F"/>
              </w:rPr>
              <w:t>(% of base salary)</w:t>
            </w:r>
          </w:p>
        </w:tc>
      </w:tr>
      <w:tr>
        <w:trPr>
          <w:trHeight w:val="239"/>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9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100%</w:t>
            </w:r>
          </w:p>
        </w:tc>
      </w:tr>
      <w:tr>
        <w:trPr>
          <w:trHeight w:val="236"/>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19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65%</w:t>
            </w:r>
          </w:p>
        </w:tc>
      </w:tr>
      <w:tr>
        <w:trPr>
          <w:trHeight w:val="237"/>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19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70%</w:t>
            </w:r>
          </w:p>
        </w:tc>
      </w:tr>
      <w:tr>
        <w:trPr>
          <w:trHeight w:val="237"/>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9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70%</w:t>
            </w:r>
          </w:p>
        </w:tc>
      </w:tr>
    </w:tbl>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Achieving results which exceed a minimum, or threshold, level of performance trigger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of 85% or less of the related AICP performance objective) results in no AICP award. A target award is earned when an executive achieves 100% of his or her safety and financial performance objectives. Overachievement of financial performance objectives is measured against the greater of (1) 120% of the current year's budgeted EBITDA or (2) the prior year's actual AICP EBITDA performance. Overachievement of safety objectives is earned when safety performance results are above 100% of budgeted safety, with the maximum being 120%. Where performance results fall between the threshold and target level, a pro rata percentage of the target amount is paid out. Where performance results fall between the target and maximum level, 100-200% of the target amount is paid out proportionately.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813435</wp:posOffset>
            </wp:positionV>
            <wp:extent cx="394335" cy="1968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ind w:left="3500"/>
              <w:spacing w:after="0"/>
              <w:rPr>
                <w:sz w:val="20"/>
                <w:szCs w:val="20"/>
                <w:color w:val="auto"/>
              </w:rPr>
            </w:pPr>
            <w:r>
              <w:rPr>
                <w:rFonts w:ascii="Arial" w:cs="Arial" w:eastAsia="Arial" w:hAnsi="Arial"/>
                <w:sz w:val="16"/>
                <w:szCs w:val="16"/>
                <w:b w:val="1"/>
                <w:bCs w:val="1"/>
                <w:color w:val="006DB6"/>
                <w:w w:val="99"/>
              </w:rPr>
              <w:t>Executive Compensation</w:t>
            </w:r>
          </w:p>
        </w:tc>
        <w:tc>
          <w:tcPr>
            <w:tcW w:w="0" w:type="dxa"/>
            <w:vAlign w:val="bottom"/>
          </w:tcPr>
          <w:p>
            <w:pPr>
              <w:spacing w:after="0"/>
              <w:rPr>
                <w:sz w:val="1"/>
                <w:szCs w:val="1"/>
                <w:color w:val="auto"/>
              </w:rPr>
            </w:pPr>
          </w:p>
        </w:tc>
      </w:tr>
      <w:tr>
        <w:trPr>
          <w:trHeight w:val="756"/>
        </w:trPr>
        <w:tc>
          <w:tcPr>
            <w:tcW w:w="11240" w:type="dxa"/>
            <w:vAlign w:val="bottom"/>
            <w:gridSpan w:val="4"/>
          </w:tcPr>
          <w:p>
            <w:pPr>
              <w:spacing w:after="0"/>
              <w:rPr>
                <w:sz w:val="20"/>
                <w:szCs w:val="20"/>
                <w:color w:val="auto"/>
              </w:rPr>
            </w:pPr>
            <w:r>
              <w:rPr>
                <w:rFonts w:ascii="Arial" w:cs="Arial" w:eastAsia="Arial" w:hAnsi="Arial"/>
                <w:sz w:val="16"/>
                <w:szCs w:val="16"/>
                <w:b w:val="1"/>
                <w:bCs w:val="1"/>
                <w:color w:val="auto"/>
              </w:rPr>
              <w:t>THRESHOLD AICP, TARGET AICP AND MAXIMUM AICP AWARD OPPORTUNITIES</w:t>
            </w:r>
          </w:p>
        </w:tc>
        <w:tc>
          <w:tcPr>
            <w:tcW w:w="0" w:type="dxa"/>
            <w:vAlign w:val="bottom"/>
          </w:tcPr>
          <w:p>
            <w:pPr>
              <w:spacing w:after="0"/>
              <w:rPr>
                <w:sz w:val="1"/>
                <w:szCs w:val="1"/>
                <w:color w:val="auto"/>
              </w:rPr>
            </w:pPr>
          </w:p>
        </w:tc>
      </w:tr>
      <w:tr>
        <w:trPr>
          <w:trHeight w:val="352"/>
        </w:trPr>
        <w:tc>
          <w:tcPr>
            <w:tcW w:w="26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Threshold</w:t>
            </w:r>
          </w:p>
        </w:tc>
        <w:tc>
          <w:tcPr>
            <w:tcW w:w="3140" w:type="dxa"/>
            <w:vAlign w:val="bottom"/>
            <w:tcBorders>
              <w:bottom w:val="single" w:sz="8" w:color="006DB6"/>
            </w:tcBorders>
          </w:tcPr>
          <w:p>
            <w:pPr>
              <w:ind w:left="320"/>
              <w:spacing w:after="0"/>
              <w:rPr>
                <w:sz w:val="20"/>
                <w:szCs w:val="20"/>
                <w:color w:val="auto"/>
              </w:rPr>
            </w:pPr>
            <w:r>
              <w:rPr>
                <w:rFonts w:ascii="Arial" w:cs="Arial" w:eastAsia="Arial" w:hAnsi="Arial"/>
                <w:sz w:val="14"/>
                <w:szCs w:val="14"/>
                <w:b w:val="1"/>
                <w:bCs w:val="1"/>
                <w:color w:val="70706F"/>
              </w:rPr>
              <w:t>Target</w:t>
            </w:r>
          </w:p>
        </w:tc>
        <w:tc>
          <w:tcPr>
            <w:tcW w:w="5340" w:type="dxa"/>
            <w:vAlign w:val="bottom"/>
            <w:tcBorders>
              <w:bottom w:val="single" w:sz="8" w:color="006DB6"/>
            </w:tcBorders>
          </w:tcPr>
          <w:p>
            <w:pPr>
              <w:ind w:left="2360"/>
              <w:spacing w:after="0"/>
              <w:rPr>
                <w:sz w:val="20"/>
                <w:szCs w:val="20"/>
                <w:color w:val="auto"/>
              </w:rPr>
            </w:pPr>
            <w:r>
              <w:rPr>
                <w:rFonts w:ascii="Arial" w:cs="Arial" w:eastAsia="Arial" w:hAnsi="Arial"/>
                <w:sz w:val="14"/>
                <w:szCs w:val="14"/>
                <w:b w:val="1"/>
                <w:bCs w:val="1"/>
                <w:color w:val="70706F"/>
              </w:rPr>
              <w:t>Maximum</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No AICP award is achieved until</w:t>
            </w:r>
          </w:p>
        </w:tc>
        <w:tc>
          <w:tcPr>
            <w:tcW w:w="3140" w:type="dxa"/>
            <w:vAlign w:val="bottom"/>
          </w:tcPr>
          <w:p>
            <w:pPr>
              <w:ind w:left="320"/>
              <w:spacing w:after="0"/>
              <w:rPr>
                <w:sz w:val="20"/>
                <w:szCs w:val="20"/>
                <w:color w:val="auto"/>
              </w:rPr>
            </w:pPr>
            <w:r>
              <w:rPr>
                <w:rFonts w:ascii="Arial" w:cs="Arial" w:eastAsia="Arial" w:hAnsi="Arial"/>
                <w:sz w:val="16"/>
                <w:szCs w:val="16"/>
                <w:color w:val="auto"/>
              </w:rPr>
              <w:t>Earned when an executive achieves</w:t>
            </w:r>
          </w:p>
        </w:tc>
        <w:tc>
          <w:tcPr>
            <w:tcW w:w="5420" w:type="dxa"/>
            <w:vAlign w:val="bottom"/>
            <w:gridSpan w:val="2"/>
          </w:tcPr>
          <w:p>
            <w:pPr>
              <w:ind w:left="80"/>
              <w:spacing w:after="0"/>
              <w:rPr>
                <w:sz w:val="20"/>
                <w:szCs w:val="20"/>
                <w:color w:val="auto"/>
              </w:rPr>
            </w:pPr>
            <w:r>
              <w:rPr>
                <w:rFonts w:ascii="Arial" w:cs="Arial" w:eastAsia="Arial" w:hAnsi="Arial"/>
                <w:sz w:val="16"/>
                <w:szCs w:val="16"/>
                <w:color w:val="auto"/>
              </w:rPr>
              <w:t>Earned when performance of financial objectives is the greater of 120%</w:t>
            </w: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3140" w:type="dxa"/>
            <w:vAlign w:val="bottom"/>
            <w:vMerge w:val="restart"/>
          </w:tcPr>
          <w:p>
            <w:pPr>
              <w:ind w:left="320"/>
              <w:spacing w:after="0"/>
              <w:rPr>
                <w:sz w:val="20"/>
                <w:szCs w:val="20"/>
                <w:color w:val="auto"/>
              </w:rPr>
            </w:pPr>
            <w:r>
              <w:rPr>
                <w:rFonts w:ascii="Arial" w:cs="Arial" w:eastAsia="Arial" w:hAnsi="Arial"/>
                <w:sz w:val="16"/>
                <w:szCs w:val="16"/>
                <w:color w:val="auto"/>
              </w:rPr>
              <w:t>100% of his or her safety and financial</w:t>
            </w:r>
          </w:p>
        </w:tc>
        <w:tc>
          <w:tcPr>
            <w:tcW w:w="5420" w:type="dxa"/>
            <w:vAlign w:val="bottom"/>
            <w:gridSpan w:val="2"/>
            <w:vMerge w:val="restart"/>
          </w:tcPr>
          <w:p>
            <w:pPr>
              <w:ind w:left="80"/>
              <w:spacing w:after="0"/>
              <w:rPr>
                <w:sz w:val="20"/>
                <w:szCs w:val="20"/>
                <w:color w:val="auto"/>
              </w:rPr>
            </w:pPr>
            <w:r>
              <w:rPr>
                <w:rFonts w:ascii="Arial" w:cs="Arial" w:eastAsia="Arial" w:hAnsi="Arial"/>
                <w:sz w:val="16"/>
                <w:szCs w:val="16"/>
                <w:color w:val="auto"/>
              </w:rPr>
              <w:t>of target or last year's financial objective. The maximum being 120%,</w:t>
            </w:r>
          </w:p>
        </w:tc>
        <w:tc>
          <w:tcPr>
            <w:tcW w:w="0" w:type="dxa"/>
            <w:vAlign w:val="bottom"/>
          </w:tcPr>
          <w:p>
            <w:pPr>
              <w:spacing w:after="0"/>
              <w:rPr>
                <w:sz w:val="1"/>
                <w:szCs w:val="1"/>
                <w:color w:val="auto"/>
              </w:rPr>
            </w:pPr>
          </w:p>
        </w:tc>
      </w:tr>
      <w:tr>
        <w:trPr>
          <w:trHeight w:val="94"/>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threshold is exceeded</w:t>
            </w:r>
          </w:p>
        </w:tc>
        <w:tc>
          <w:tcPr>
            <w:tcW w:w="3140" w:type="dxa"/>
            <w:vAlign w:val="bottom"/>
            <w:vMerge w:val="continue"/>
          </w:tcPr>
          <w:p>
            <w:pPr>
              <w:spacing w:after="0"/>
              <w:rPr>
                <w:sz w:val="8"/>
                <w:szCs w:val="8"/>
                <w:color w:val="auto"/>
              </w:rPr>
            </w:pPr>
          </w:p>
        </w:tc>
        <w:tc>
          <w:tcPr>
            <w:tcW w:w="5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3140" w:type="dxa"/>
            <w:vAlign w:val="bottom"/>
            <w:vMerge w:val="restart"/>
          </w:tcPr>
          <w:p>
            <w:pPr>
              <w:ind w:left="320"/>
              <w:spacing w:after="0"/>
              <w:rPr>
                <w:sz w:val="20"/>
                <w:szCs w:val="20"/>
                <w:color w:val="auto"/>
              </w:rPr>
            </w:pPr>
            <w:r>
              <w:rPr>
                <w:rFonts w:ascii="Arial" w:cs="Arial" w:eastAsia="Arial" w:hAnsi="Arial"/>
                <w:sz w:val="16"/>
                <w:szCs w:val="16"/>
                <w:color w:val="auto"/>
              </w:rPr>
              <w:t>performance objectives</w:t>
            </w:r>
          </w:p>
        </w:tc>
        <w:tc>
          <w:tcPr>
            <w:tcW w:w="5420" w:type="dxa"/>
            <w:vAlign w:val="bottom"/>
            <w:gridSpan w:val="2"/>
            <w:vMerge w:val="restart"/>
          </w:tcPr>
          <w:p>
            <w:pPr>
              <w:ind w:left="80"/>
              <w:spacing w:after="0"/>
              <w:rPr>
                <w:sz w:val="20"/>
                <w:szCs w:val="20"/>
                <w:color w:val="auto"/>
              </w:rPr>
            </w:pPr>
            <w:r>
              <w:rPr>
                <w:rFonts w:ascii="Arial" w:cs="Arial" w:eastAsia="Arial" w:hAnsi="Arial"/>
                <w:sz w:val="16"/>
                <w:szCs w:val="16"/>
                <w:color w:val="auto"/>
              </w:rPr>
              <w:t>which would result in a payout capped at 200% of target</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3140" w:type="dxa"/>
            <w:vAlign w:val="bottom"/>
            <w:vMerge w:val="continue"/>
          </w:tcPr>
          <w:p>
            <w:pPr>
              <w:spacing w:after="0"/>
              <w:rPr>
                <w:sz w:val="8"/>
                <w:szCs w:val="8"/>
                <w:color w:val="auto"/>
              </w:rPr>
            </w:pPr>
          </w:p>
        </w:tc>
        <w:tc>
          <w:tcPr>
            <w:tcW w:w="5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maximum AICP percentage permitted under the AICP is capped at two times the target level to mitigate the potential for excessive risk taking.</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AICP awards to be paid to each NEO and, in aggregate, to all AICP participants. In its sole discretion, the Compensation Committee interprets all provisions of the AICP and has authority to make positive or negative adjustments in individual, business unit or Civeo’s consolidated results.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performance metrics formed the basis for AICP award determinations for our NEOs for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860" w:type="dxa"/>
            <w:vAlign w:val="bottom"/>
            <w:tcBorders>
              <w:bottom w:val="single" w:sz="8" w:color="006DB6"/>
            </w:tcBorders>
            <w:gridSpan w:val="2"/>
          </w:tcPr>
          <w:p>
            <w:pPr>
              <w:jc w:val="right"/>
              <w:ind w:right="582"/>
              <w:spacing w:after="0"/>
              <w:rPr>
                <w:sz w:val="20"/>
                <w:szCs w:val="20"/>
                <w:color w:val="auto"/>
              </w:rPr>
            </w:pPr>
            <w:r>
              <w:rPr>
                <w:rFonts w:ascii="Arial" w:cs="Arial" w:eastAsia="Arial" w:hAnsi="Arial"/>
                <w:sz w:val="14"/>
                <w:szCs w:val="14"/>
                <w:b w:val="1"/>
                <w:bCs w:val="1"/>
                <w:color w:val="70706F"/>
              </w:rPr>
              <w:t>Financial Performance</w:t>
            </w:r>
          </w:p>
        </w:tc>
        <w:tc>
          <w:tcPr>
            <w:tcW w:w="1220" w:type="dxa"/>
            <w:vAlign w:val="bottom"/>
          </w:tcPr>
          <w:p>
            <w:pPr>
              <w:spacing w:after="0"/>
              <w:rPr>
                <w:sz w:val="19"/>
                <w:szCs w:val="19"/>
                <w:color w:val="auto"/>
              </w:rPr>
            </w:pPr>
          </w:p>
        </w:tc>
      </w:tr>
      <w:tr>
        <w:trPr>
          <w:trHeight w:val="234"/>
        </w:trPr>
        <w:tc>
          <w:tcPr>
            <w:tcW w:w="17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720" w:type="dxa"/>
            <w:vAlign w:val="bottom"/>
          </w:tcPr>
          <w:p>
            <w:pPr>
              <w:jc w:val="right"/>
              <w:ind w:right="83"/>
              <w:spacing w:after="0"/>
              <w:rPr>
                <w:sz w:val="20"/>
                <w:szCs w:val="20"/>
                <w:color w:val="auto"/>
              </w:rPr>
            </w:pPr>
            <w:r>
              <w:rPr>
                <w:rFonts w:ascii="Arial" w:cs="Arial" w:eastAsia="Arial" w:hAnsi="Arial"/>
                <w:sz w:val="14"/>
                <w:szCs w:val="14"/>
                <w:b w:val="1"/>
                <w:bCs w:val="1"/>
                <w:color w:val="70706F"/>
              </w:rPr>
              <w:t>Consolidated AICP</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70706F"/>
              </w:rPr>
              <w:t>Division AICP</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70706F"/>
              </w:rPr>
              <w:t>Safety</w:t>
            </w:r>
          </w:p>
        </w:tc>
      </w:tr>
      <w:tr>
        <w:trPr>
          <w:trHeight w:val="219"/>
        </w:trPr>
        <w:tc>
          <w:tcPr>
            <w:tcW w:w="1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460" w:type="dxa"/>
            <w:vAlign w:val="bottom"/>
            <w:tcBorders>
              <w:bottom w:val="single" w:sz="8" w:color="006DB6"/>
            </w:tcBorders>
          </w:tcPr>
          <w:p>
            <w:pPr>
              <w:ind w:left="240"/>
              <w:spacing w:after="0"/>
              <w:rPr>
                <w:sz w:val="20"/>
                <w:szCs w:val="20"/>
                <w:color w:val="auto"/>
              </w:rPr>
            </w:pPr>
            <w:r>
              <w:rPr>
                <w:rFonts w:ascii="Arial" w:cs="Arial" w:eastAsia="Arial" w:hAnsi="Arial"/>
                <w:sz w:val="14"/>
                <w:szCs w:val="14"/>
                <w:b w:val="1"/>
                <w:bCs w:val="1"/>
                <w:color w:val="70706F"/>
              </w:rPr>
              <w:t>Position</w:t>
            </w:r>
          </w:p>
        </w:tc>
        <w:tc>
          <w:tcPr>
            <w:tcW w:w="1720" w:type="dxa"/>
            <w:vAlign w:val="bottom"/>
            <w:tcBorders>
              <w:bottom w:val="single" w:sz="8" w:color="006DB6"/>
            </w:tcBorders>
          </w:tcPr>
          <w:p>
            <w:pPr>
              <w:jc w:val="right"/>
              <w:ind w:right="83"/>
              <w:spacing w:after="0"/>
              <w:rPr>
                <w:sz w:val="20"/>
                <w:szCs w:val="20"/>
                <w:color w:val="auto"/>
              </w:rPr>
            </w:pPr>
            <w:r>
              <w:rPr>
                <w:rFonts w:ascii="Arial" w:cs="Arial" w:eastAsia="Arial" w:hAnsi="Arial"/>
                <w:sz w:val="14"/>
                <w:szCs w:val="14"/>
                <w:b w:val="1"/>
                <w:bCs w:val="1"/>
                <w:color w:val="70706F"/>
              </w:rPr>
              <w:t>EBITDA</w:t>
            </w:r>
          </w:p>
        </w:tc>
        <w:tc>
          <w:tcPr>
            <w:tcW w:w="11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EBITDA</w:t>
            </w:r>
          </w:p>
        </w:tc>
        <w:tc>
          <w:tcPr>
            <w:tcW w:w="12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Performance</w:t>
            </w:r>
          </w:p>
        </w:tc>
      </w:tr>
      <w:tr>
        <w:trPr>
          <w:trHeight w:val="239"/>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5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Senior Vice President, Chief Financial Officer and Treasurer</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5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Senior Vice President, Canada</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Senior Vice President, Australia</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bl>
    <w:p>
      <w:pPr>
        <w:spacing w:after="0" w:line="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AICP purposes in 2025, performance metrics consisted of two financial metrics, budgeted Consolidated AICP EBITDA and for NEOs responsible for a division, budgeted Divisional AICP EBITDA and one metric based on safety performance as measured by TRIR. Consistent with industry and regulatory standards, the calculation of TRIR is based on the number of recordable safety incidents per 200,000 hours worked. For 2025, our Compensation Committee increased the weighting of Consolidated AICP EBITDA for Mr. Dodson and Mr. Gerry and the weighting of Divisional AICP EBITDA for Mr. Fraser and Mr. McCann by 5 percentage points to increase focus on financial performance with a corresponding reduction in the safety performance weighting for each NEO.</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threshold, target, and maximum performance goals were used for determining payouts for our NEOs under the 2025 AICP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706F6F"/>
              </w:rPr>
              <w:t>Actual</w:t>
            </w:r>
          </w:p>
        </w:tc>
      </w:tr>
      <w:tr>
        <w:trPr>
          <w:trHeight w:val="219"/>
        </w:trPr>
        <w:tc>
          <w:tcPr>
            <w:tcW w:w="4080" w:type="dxa"/>
            <w:vAlign w:val="bottom"/>
            <w:tcBorders>
              <w:bottom w:val="single" w:sz="8" w:color="006DB6"/>
            </w:tcBorders>
          </w:tcPr>
          <w:p>
            <w:pPr>
              <w:spacing w:after="0"/>
              <w:rPr>
                <w:sz w:val="19"/>
                <w:szCs w:val="19"/>
                <w:color w:val="auto"/>
              </w:rPr>
            </w:pPr>
          </w:p>
        </w:tc>
        <w:tc>
          <w:tcPr>
            <w:tcW w:w="1680" w:type="dxa"/>
            <w:vAlign w:val="bottom"/>
            <w:tcBorders>
              <w:bottom w:val="single" w:sz="8" w:color="006DB6"/>
            </w:tcBorders>
          </w:tcPr>
          <w:p>
            <w:pPr>
              <w:spacing w:after="0"/>
              <w:rPr>
                <w:sz w:val="19"/>
                <w:szCs w:val="19"/>
                <w:color w:val="auto"/>
              </w:rPr>
            </w:pPr>
          </w:p>
        </w:tc>
        <w:tc>
          <w:tcPr>
            <w:tcW w:w="1040" w:type="dxa"/>
            <w:vAlign w:val="bottom"/>
            <w:tcBorders>
              <w:bottom w:val="single" w:sz="8" w:color="006DB6"/>
            </w:tcBorders>
          </w:tcPr>
          <w:p>
            <w:pPr>
              <w:jc w:val="right"/>
              <w:ind w:right="60"/>
              <w:spacing w:after="0"/>
              <w:rPr>
                <w:sz w:val="20"/>
                <w:szCs w:val="20"/>
                <w:color w:val="auto"/>
              </w:rPr>
            </w:pPr>
            <w:r>
              <w:rPr>
                <w:rFonts w:ascii="Arial" w:cs="Arial" w:eastAsia="Arial" w:hAnsi="Arial"/>
                <w:sz w:val="14"/>
                <w:szCs w:val="14"/>
                <w:b w:val="1"/>
                <w:bCs w:val="1"/>
                <w:color w:val="706F6F"/>
              </w:rPr>
              <w:t>Threshold</w:t>
            </w:r>
          </w:p>
        </w:tc>
        <w:tc>
          <w:tcPr>
            <w:tcW w:w="460" w:type="dxa"/>
            <w:vAlign w:val="bottom"/>
            <w:tcBorders>
              <w:bottom w:val="single" w:sz="8" w:color="006DB6"/>
            </w:tcBorders>
          </w:tcPr>
          <w:p>
            <w:pPr>
              <w:spacing w:after="0"/>
              <w:rPr>
                <w:sz w:val="19"/>
                <w:szCs w:val="19"/>
                <w:color w:val="auto"/>
              </w:rPr>
            </w:pPr>
          </w:p>
        </w:tc>
        <w:tc>
          <w:tcPr>
            <w:tcW w:w="880" w:type="dxa"/>
            <w:vAlign w:val="bottom"/>
            <w:tcBorders>
              <w:bottom w:val="single" w:sz="8" w:color="006DB6"/>
            </w:tcBorders>
          </w:tcPr>
          <w:p>
            <w:pPr>
              <w:jc w:val="right"/>
              <w:ind w:right="120"/>
              <w:spacing w:after="0"/>
              <w:rPr>
                <w:sz w:val="20"/>
                <w:szCs w:val="20"/>
                <w:color w:val="auto"/>
              </w:rPr>
            </w:pPr>
            <w:r>
              <w:rPr>
                <w:rFonts w:ascii="Arial" w:cs="Arial" w:eastAsia="Arial" w:hAnsi="Arial"/>
                <w:sz w:val="14"/>
                <w:szCs w:val="14"/>
                <w:b w:val="1"/>
                <w:bCs w:val="1"/>
                <w:color w:val="706F6F"/>
              </w:rPr>
              <w:t>Target</w:t>
            </w:r>
          </w:p>
        </w:tc>
        <w:tc>
          <w:tcPr>
            <w:tcW w:w="540" w:type="dxa"/>
            <w:vAlign w:val="bottom"/>
            <w:tcBorders>
              <w:bottom w:val="single" w:sz="8" w:color="006DB6"/>
            </w:tcBorders>
          </w:tcPr>
          <w:p>
            <w:pPr>
              <w:spacing w:after="0"/>
              <w:rPr>
                <w:sz w:val="19"/>
                <w:szCs w:val="19"/>
                <w:color w:val="auto"/>
              </w:rPr>
            </w:pPr>
          </w:p>
        </w:tc>
        <w:tc>
          <w:tcPr>
            <w:tcW w:w="1100" w:type="dxa"/>
            <w:vAlign w:val="bottom"/>
            <w:tcBorders>
              <w:bottom w:val="single" w:sz="8" w:color="006DB6"/>
            </w:tcBorders>
          </w:tcPr>
          <w:p>
            <w:pPr>
              <w:jc w:val="right"/>
              <w:ind w:right="80"/>
              <w:spacing w:after="0"/>
              <w:rPr>
                <w:sz w:val="20"/>
                <w:szCs w:val="20"/>
                <w:color w:val="auto"/>
              </w:rPr>
            </w:pPr>
            <w:r>
              <w:rPr>
                <w:rFonts w:ascii="Arial" w:cs="Arial" w:eastAsia="Arial" w:hAnsi="Arial"/>
                <w:sz w:val="14"/>
                <w:szCs w:val="14"/>
                <w:b w:val="1"/>
                <w:bCs w:val="1"/>
                <w:color w:val="706F6F"/>
              </w:rPr>
              <w:t>Maximum</w:t>
            </w:r>
          </w:p>
        </w:tc>
        <w:tc>
          <w:tcPr>
            <w:tcW w:w="380" w:type="dxa"/>
            <w:vAlign w:val="bottom"/>
            <w:tcBorders>
              <w:bottom w:val="single" w:sz="8" w:color="006DB6"/>
            </w:tcBorders>
          </w:tcPr>
          <w:p>
            <w:pPr>
              <w:spacing w:after="0"/>
              <w:rPr>
                <w:sz w:val="19"/>
                <w:szCs w:val="19"/>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Achievement</w:t>
            </w: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AICP EBITDA (in USD)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82.1</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96.6</w:t>
            </w: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115.9</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86.9</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Division EBITDA Targets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080" w:type="dxa"/>
            <w:vAlign w:val="bottom"/>
          </w:tcPr>
          <w:p>
            <w:pPr>
              <w:ind w:left="160"/>
              <w:spacing w:after="0"/>
              <w:rPr>
                <w:sz w:val="20"/>
                <w:szCs w:val="20"/>
                <w:color w:val="auto"/>
              </w:rPr>
            </w:pPr>
            <w:r>
              <w:rPr>
                <w:rFonts w:ascii="Arial" w:cs="Arial" w:eastAsia="Arial" w:hAnsi="Arial"/>
                <w:sz w:val="16"/>
                <w:szCs w:val="16"/>
                <w:color w:val="auto"/>
              </w:rPr>
              <w:t>Canada (in CAD)</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33.5</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39.5</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47.4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26.1</w:t>
            </w:r>
          </w:p>
        </w:tc>
      </w:tr>
      <w:tr>
        <w:trPr>
          <w:trHeight w:val="252"/>
        </w:trPr>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Australia (in AUD)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124.8</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146.8</w:t>
            </w: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176.2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146.2</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Global TRIR Targets</w:t>
            </w:r>
          </w:p>
        </w:tc>
        <w:tc>
          <w:tcPr>
            <w:tcW w:w="16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19"/>
                <w:szCs w:val="19"/>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0.63</w:t>
            </w:r>
          </w:p>
        </w:tc>
        <w:tc>
          <w:tcPr>
            <w:tcW w:w="5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0.27</w:t>
            </w:r>
          </w:p>
        </w:tc>
      </w:tr>
      <w:tr>
        <w:trPr>
          <w:trHeight w:val="243"/>
        </w:trPr>
        <w:tc>
          <w:tcPr>
            <w:tcW w:w="4080" w:type="dxa"/>
            <w:vAlign w:val="bottom"/>
          </w:tcPr>
          <w:p>
            <w:pPr>
              <w:ind w:left="200"/>
              <w:spacing w:after="0"/>
              <w:rPr>
                <w:sz w:val="20"/>
                <w:szCs w:val="20"/>
                <w:color w:val="auto"/>
              </w:rPr>
            </w:pPr>
            <w:r>
              <w:rPr>
                <w:rFonts w:ascii="Arial" w:cs="Arial" w:eastAsia="Arial" w:hAnsi="Arial"/>
                <w:sz w:val="16"/>
                <w:szCs w:val="16"/>
                <w:color w:val="auto"/>
              </w:rPr>
              <w:t>Canada TRIR</w:t>
            </w:r>
          </w:p>
        </w:tc>
        <w:tc>
          <w:tcPr>
            <w:tcW w:w="168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0.63</w:t>
            </w:r>
          </w:p>
        </w:tc>
        <w:tc>
          <w:tcPr>
            <w:tcW w:w="5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43"/>
        </w:trPr>
        <w:tc>
          <w:tcPr>
            <w:tcW w:w="4080" w:type="dxa"/>
            <w:vAlign w:val="bottom"/>
          </w:tcPr>
          <w:p>
            <w:pPr>
              <w:ind w:left="200"/>
              <w:spacing w:after="0"/>
              <w:rPr>
                <w:sz w:val="20"/>
                <w:szCs w:val="20"/>
                <w:color w:val="auto"/>
              </w:rPr>
            </w:pPr>
            <w:r>
              <w:rPr>
                <w:rFonts w:ascii="Arial" w:cs="Arial" w:eastAsia="Arial" w:hAnsi="Arial"/>
                <w:sz w:val="16"/>
                <w:szCs w:val="16"/>
                <w:color w:val="auto"/>
              </w:rPr>
              <w:t>Australia TRIR</w:t>
            </w:r>
          </w:p>
        </w:tc>
        <w:tc>
          <w:tcPr>
            <w:tcW w:w="168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0.63</w:t>
            </w:r>
          </w:p>
        </w:tc>
        <w:tc>
          <w:tcPr>
            <w:tcW w:w="5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0.25</w:t>
            </w:r>
          </w:p>
        </w:tc>
      </w:tr>
    </w:tbl>
    <w:p>
      <w:pPr>
        <w:spacing w:after="0" w:line="82"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For 2025, specific adjustments to EBITDA included shareholder activist costs, expenses related to unbudgeted variability in stock-based compensation expense, changes in foreign exchange rates, implementation costs (primarily severance costs and real estate expense rationalization) incurred as part of cost savings initiatives and transaction costs associated with strategic initiatives. In 2025, the Australian division EBITDA target and consolidated AICP EBITDA targets were adjusted for the Australian acquisition completed in May 2025 based on the acquisition economics approved by the Board. The adjustments to EBITDA in 2025 were consistent with past practices.</w:t>
      </w:r>
    </w:p>
    <w:p>
      <w:pPr>
        <w:spacing w:after="0" w:line="8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2025 global safety TRIR target was set at a target of 0.63 which was lower than the 2024 target of .70. The global safety target is a consolidation of the various region specific TRIR goals from Australia and North America.</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In 2025, the following performance results under the AICP were considered for award determination purposes:</w:t>
      </w:r>
    </w:p>
    <w:p>
      <w:pPr>
        <w:spacing w:after="0" w:line="113"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Consolidated AICP EBITDA of USD $86.9 million (90.0% of budget);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AICP EBITDA for our Canadian division of CAD $26.1 million (66.1% of budget);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AICP EBITDA for our Australian division of AUD $146.2 million (99.6% of budget); and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left="200" w:right="680" w:hanging="192"/>
        <w:spacing w:after="0" w:line="286" w:lineRule="auto"/>
        <w:tabs>
          <w:tab w:leader="none" w:pos="17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TRIR safety performance achievement resulting in a 200% payout for the Consolidated Company; 194% payout for Canada and 200% payout for Australia.</w:t>
      </w:r>
    </w:p>
    <w:p>
      <w:pPr>
        <w:spacing w:after="0" w:line="6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Based on these results, the following AICP payouts were approved by the Compensation Committee. These payouts are stated in U.S. dollars. Mr. McCann’s bonus, which is paid out in Australian dollars, has been converted to U.S. dollars below at an exchange rate of $0.6448 U.S. dollar per Australian dollar, the average exchange rate for 2025. Mr. Fraser's bonus, which is paid out in Canadian dollars, has been converted to U.S. dollars below at an exchange rate of $0.7156 U.S. dollar per Canadian dollar, the average exchange rate for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Borders>
              <w:bottom w:val="single" w:sz="8" w:color="006DB6"/>
            </w:tcBorders>
          </w:tcPr>
          <w:p>
            <w:pPr>
              <w:spacing w:after="0"/>
              <w:rPr>
                <w:sz w:val="19"/>
                <w:szCs w:val="19"/>
                <w:color w:val="auto"/>
              </w:rPr>
            </w:pPr>
          </w:p>
        </w:tc>
        <w:tc>
          <w:tcPr>
            <w:tcW w:w="2160" w:type="dxa"/>
            <w:vAlign w:val="bottom"/>
            <w:tcBorders>
              <w:bottom w:val="single" w:sz="8" w:color="006DB6"/>
            </w:tcBorders>
            <w:gridSpan w:val="3"/>
          </w:tcPr>
          <w:p>
            <w:pPr>
              <w:jc w:val="right"/>
              <w:ind w:right="341"/>
              <w:spacing w:after="0"/>
              <w:rPr>
                <w:sz w:val="20"/>
                <w:szCs w:val="20"/>
                <w:color w:val="auto"/>
              </w:rPr>
            </w:pPr>
            <w:r>
              <w:rPr>
                <w:rFonts w:ascii="Arial" w:cs="Arial" w:eastAsia="Arial" w:hAnsi="Arial"/>
                <w:sz w:val="14"/>
                <w:szCs w:val="14"/>
                <w:b w:val="1"/>
                <w:bCs w:val="1"/>
                <w:color w:val="706F6F"/>
              </w:rPr>
              <w:t>Business Performance</w:t>
            </w:r>
          </w:p>
        </w:tc>
        <w:tc>
          <w:tcPr>
            <w:tcW w:w="140" w:type="dxa"/>
            <w:vAlign w:val="bottom"/>
          </w:tcPr>
          <w:p>
            <w:pPr>
              <w:spacing w:after="0"/>
              <w:rPr>
                <w:sz w:val="19"/>
                <w:szCs w:val="19"/>
                <w:color w:val="auto"/>
              </w:rPr>
            </w:pPr>
          </w:p>
        </w:tc>
        <w:tc>
          <w:tcPr>
            <w:tcW w:w="400" w:type="dxa"/>
            <w:vAlign w:val="bottom"/>
            <w:tcBorders>
              <w:bottom w:val="single" w:sz="8" w:color="006DB6"/>
            </w:tcBorders>
          </w:tcPr>
          <w:p>
            <w:pPr>
              <w:spacing w:after="0"/>
              <w:rPr>
                <w:sz w:val="19"/>
                <w:szCs w:val="19"/>
                <w:color w:val="auto"/>
              </w:rPr>
            </w:pPr>
          </w:p>
        </w:tc>
        <w:tc>
          <w:tcPr>
            <w:tcW w:w="2180" w:type="dxa"/>
            <w:vAlign w:val="bottom"/>
            <w:tcBorders>
              <w:bottom w:val="single" w:sz="8" w:color="006DB6"/>
            </w:tcBorders>
            <w:gridSpan w:val="2"/>
          </w:tcPr>
          <w:p>
            <w:pPr>
              <w:ind w:left="280"/>
              <w:spacing w:after="0"/>
              <w:rPr>
                <w:sz w:val="20"/>
                <w:szCs w:val="20"/>
                <w:color w:val="auto"/>
              </w:rPr>
            </w:pPr>
            <w:r>
              <w:rPr>
                <w:rFonts w:ascii="Arial" w:cs="Arial" w:eastAsia="Arial" w:hAnsi="Arial"/>
                <w:sz w:val="14"/>
                <w:szCs w:val="14"/>
                <w:b w:val="1"/>
                <w:bCs w:val="1"/>
                <w:color w:val="706F6F"/>
              </w:rPr>
              <w:t>Total AICP Payout</w:t>
            </w:r>
          </w:p>
        </w:tc>
      </w:tr>
      <w:tr>
        <w:trPr>
          <w:trHeight w:val="237"/>
        </w:trPr>
        <w:tc>
          <w:tcPr>
            <w:tcW w:w="16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340" w:type="dxa"/>
            <w:vAlign w:val="bottom"/>
            <w:tcBorders>
              <w:bottom w:val="single" w:sz="8" w:color="006DB6"/>
            </w:tcBorders>
          </w:tcPr>
          <w:p>
            <w:pPr>
              <w:ind w:left="180"/>
              <w:spacing w:after="0"/>
              <w:rPr>
                <w:sz w:val="20"/>
                <w:szCs w:val="20"/>
                <w:color w:val="auto"/>
              </w:rPr>
            </w:pPr>
            <w:r>
              <w:rPr>
                <w:rFonts w:ascii="Arial" w:cs="Arial" w:eastAsia="Arial" w:hAnsi="Arial"/>
                <w:sz w:val="14"/>
                <w:szCs w:val="14"/>
                <w:b w:val="1"/>
                <w:bCs w:val="1"/>
                <w:color w:val="706F6F"/>
              </w:rPr>
              <w:t>Position</w:t>
            </w:r>
          </w:p>
        </w:tc>
        <w:tc>
          <w:tcPr>
            <w:tcW w:w="240" w:type="dxa"/>
            <w:vAlign w:val="bottom"/>
            <w:tcBorders>
              <w:bottom w:val="single" w:sz="8" w:color="006DB6"/>
            </w:tcBorders>
          </w:tcPr>
          <w:p>
            <w:pPr>
              <w:spacing w:after="0"/>
              <w:rPr>
                <w:sz w:val="20"/>
                <w:szCs w:val="20"/>
                <w:color w:val="auto"/>
              </w:rPr>
            </w:pPr>
          </w:p>
        </w:tc>
        <w:tc>
          <w:tcPr>
            <w:tcW w:w="1060" w:type="dxa"/>
            <w:vAlign w:val="bottom"/>
            <w:tcBorders>
              <w:bottom w:val="single" w:sz="8" w:color="006DB6"/>
            </w:tcBorders>
          </w:tcPr>
          <w:p>
            <w:pPr>
              <w:jc w:val="right"/>
              <w:ind w:right="302"/>
              <w:spacing w:after="0"/>
              <w:rPr>
                <w:sz w:val="20"/>
                <w:szCs w:val="20"/>
                <w:color w:val="auto"/>
              </w:rPr>
            </w:pPr>
            <w:r>
              <w:rPr>
                <w:rFonts w:ascii="Arial" w:cs="Arial" w:eastAsia="Arial" w:hAnsi="Arial"/>
                <w:sz w:val="14"/>
                <w:szCs w:val="14"/>
                <w:b w:val="1"/>
                <w:bCs w:val="1"/>
                <w:color w:val="706F6F"/>
              </w:rPr>
              <w:t>Financial</w:t>
            </w:r>
          </w:p>
        </w:tc>
        <w:tc>
          <w:tcPr>
            <w:tcW w:w="26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gridSpan w:val="2"/>
          </w:tcPr>
          <w:p>
            <w:pPr>
              <w:ind w:left="20"/>
              <w:spacing w:after="0"/>
              <w:rPr>
                <w:sz w:val="20"/>
                <w:szCs w:val="20"/>
                <w:color w:val="auto"/>
              </w:rPr>
            </w:pPr>
            <w:r>
              <w:rPr>
                <w:rFonts w:ascii="Arial" w:cs="Arial" w:eastAsia="Arial" w:hAnsi="Arial"/>
                <w:sz w:val="14"/>
                <w:szCs w:val="14"/>
                <w:b w:val="1"/>
                <w:bCs w:val="1"/>
                <w:color w:val="706F6F"/>
              </w:rPr>
              <w:t>Safety</w:t>
            </w:r>
          </w:p>
        </w:tc>
        <w:tc>
          <w:tcPr>
            <w:tcW w:w="40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 of Target</w:t>
            </w:r>
          </w:p>
        </w:tc>
      </w:tr>
      <w:tr>
        <w:trPr>
          <w:trHeight w:val="23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President and Chief Executive Officer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210,375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225,000</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435,375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r>
      <w:tr>
        <w:trPr>
          <w:trHeight w:val="213"/>
        </w:trPr>
        <w:tc>
          <w:tcPr>
            <w:tcW w:w="164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4340" w:type="dxa"/>
            <w:vAlign w:val="bottom"/>
          </w:tcPr>
          <w:p>
            <w:pPr>
              <w:ind w:left="180"/>
              <w:spacing w:after="0"/>
              <w:rPr>
                <w:sz w:val="20"/>
                <w:szCs w:val="20"/>
                <w:color w:val="auto"/>
              </w:rPr>
            </w:pPr>
            <w:r>
              <w:rPr>
                <w:rFonts w:ascii="Arial" w:cs="Arial" w:eastAsia="Arial" w:hAnsi="Arial"/>
                <w:sz w:val="16"/>
                <w:szCs w:val="16"/>
                <w:color w:val="auto"/>
              </w:rPr>
              <w:t>Senior Vice President, Chief Financial Officer and</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69,283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74,100</w:t>
            </w:r>
          </w:p>
        </w:tc>
        <w:tc>
          <w:tcPr>
            <w:tcW w:w="140" w:type="dxa"/>
            <w:vAlign w:val="bottom"/>
          </w:tcPr>
          <w:p>
            <w:pPr>
              <w:spacing w:after="0"/>
              <w:rPr>
                <w:sz w:val="18"/>
                <w:szCs w:val="18"/>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ind w:left="160"/>
              <w:spacing w:after="0"/>
              <w:rPr>
                <w:sz w:val="20"/>
                <w:szCs w:val="20"/>
                <w:color w:val="auto"/>
              </w:rPr>
            </w:pPr>
            <w:r>
              <w:rPr>
                <w:rFonts w:ascii="Arial" w:cs="Arial" w:eastAsia="Arial" w:hAnsi="Arial"/>
                <w:sz w:val="16"/>
                <w:szCs w:val="16"/>
                <w:color w:val="auto"/>
              </w:rPr>
              <w:t>143,383</w:t>
            </w:r>
          </w:p>
        </w:tc>
        <w:tc>
          <w:tcPr>
            <w:tcW w:w="126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24"/>
        </w:trPr>
        <w:tc>
          <w:tcPr>
            <w:tcW w:w="164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Treasurer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3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Senior Vice President, Canada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33,061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72,884</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105,945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r>
      <w:tr>
        <w:trPr>
          <w:trHeight w:val="237"/>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Senior Vice President, Australia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128,287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67,704</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195,991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Long-Term Incentive Plan</w:t>
      </w:r>
    </w:p>
    <w:p>
      <w:pPr>
        <w:spacing w:after="0" w:line="8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w:t>
      </w:r>
    </w:p>
    <w:p>
      <w:pPr>
        <w:spacing w:after="0" w:line="6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Broadly speaking, we award two types of long-term incentives to balance liquidity and dilution considerations and to ensure we deliver tax effective incentives to plan participants. These awards may be cash or share settled, depending on their type. For 2025, each of our NEOs received equity awards made up of 30% time-based phantom share units and 70% cliff-vested performance share awards. All long-term incentive awards are generally subject to a three-year vesting period, with time-based awards vesting in equal installments on each of the first three anniversaries of the date of grant and performance-based awards vesting on the third anniversary of the date of grant, based on achievement with respect to the applicable performance goals. All awards are overseen by the Compensation Committee which recommends approval by the full Board.</w:t>
      </w:r>
    </w:p>
    <w:p>
      <w:pPr>
        <w:spacing w:after="0" w:line="68"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In determining the value of awards granted,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For 2025, Civeo granted a combination of phantom share units and performance-based share awards as long-term incentive awards to its NEOs and other key employees. The value of awards made to individuals in this group took into consideration the following factors:</w:t>
      </w:r>
    </w:p>
    <w:p>
      <w:pPr>
        <w:spacing w:after="0" w:line="48"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Corporate, business unit and individual performance;</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Competitive market practice;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Executive retention;</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Impact of awards and quantum of awards on dilution and liquidity; and</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Tax considerations in the U.S., Canada and Australia.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LTIP awards recommended by the Compensation Committee and approved by the full Board were made at levels consistent with past practices.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80" w:type="dxa"/>
            <w:vAlign w:val="bottom"/>
          </w:tcPr>
          <w:p>
            <w:pPr>
              <w:ind w:left="360"/>
              <w:spacing w:after="0"/>
              <w:rPr>
                <w:sz w:val="20"/>
                <w:szCs w:val="20"/>
                <w:color w:val="auto"/>
              </w:rPr>
            </w:pPr>
            <w:r>
              <w:rPr>
                <w:rFonts w:ascii="Arial" w:cs="Arial" w:eastAsia="Arial" w:hAnsi="Arial"/>
                <w:sz w:val="14"/>
                <w:szCs w:val="14"/>
                <w:b w:val="1"/>
                <w:bCs w:val="1"/>
                <w:color w:val="706F6F"/>
              </w:rPr>
              <w:t>Phantom</w:t>
            </w:r>
          </w:p>
        </w:tc>
        <w:tc>
          <w:tcPr>
            <w:tcW w:w="1480" w:type="dxa"/>
            <w:vAlign w:val="bottom"/>
          </w:tcPr>
          <w:p>
            <w:pPr>
              <w:jc w:val="right"/>
              <w:ind w:right="183"/>
              <w:spacing w:after="0"/>
              <w:rPr>
                <w:sz w:val="20"/>
                <w:szCs w:val="20"/>
                <w:color w:val="auto"/>
              </w:rPr>
            </w:pPr>
            <w:r>
              <w:rPr>
                <w:rFonts w:ascii="Arial" w:cs="Arial" w:eastAsia="Arial" w:hAnsi="Arial"/>
                <w:sz w:val="14"/>
                <w:szCs w:val="14"/>
                <w:b w:val="1"/>
                <w:bCs w:val="1"/>
                <w:color w:val="706F6F"/>
              </w:rPr>
              <w:t>Performance</w:t>
            </w:r>
          </w:p>
        </w:tc>
        <w:tc>
          <w:tcPr>
            <w:tcW w:w="13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706F6F"/>
              </w:rPr>
              <w:t>Stock Price at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80" w:type="dxa"/>
            <w:vAlign w:val="bottom"/>
          </w:tcPr>
          <w:p>
            <w:pPr>
              <w:ind w:left="360"/>
              <w:spacing w:after="0"/>
              <w:rPr>
                <w:sz w:val="20"/>
                <w:szCs w:val="20"/>
                <w:color w:val="auto"/>
              </w:rPr>
            </w:pPr>
            <w:r>
              <w:rPr>
                <w:rFonts w:ascii="Arial" w:cs="Arial" w:eastAsia="Arial" w:hAnsi="Arial"/>
                <w:sz w:val="14"/>
                <w:szCs w:val="14"/>
                <w:b w:val="1"/>
                <w:bCs w:val="1"/>
                <w:color w:val="706F6F"/>
              </w:rPr>
              <w:t>Share</w:t>
            </w:r>
          </w:p>
        </w:tc>
        <w:tc>
          <w:tcPr>
            <w:tcW w:w="1480" w:type="dxa"/>
            <w:vAlign w:val="bottom"/>
          </w:tcPr>
          <w:p>
            <w:pPr>
              <w:jc w:val="right"/>
              <w:ind w:right="183"/>
              <w:spacing w:after="0"/>
              <w:rPr>
                <w:sz w:val="20"/>
                <w:szCs w:val="20"/>
                <w:color w:val="auto"/>
              </w:rPr>
            </w:pPr>
            <w:r>
              <w:rPr>
                <w:rFonts w:ascii="Arial" w:cs="Arial" w:eastAsia="Arial" w:hAnsi="Arial"/>
                <w:sz w:val="14"/>
                <w:szCs w:val="14"/>
                <w:b w:val="1"/>
                <w:bCs w:val="1"/>
                <w:color w:val="706F6F"/>
              </w:rPr>
              <w:t>Share Awards at</w:t>
            </w: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Valuation</w:t>
            </w:r>
            <w:r>
              <w:rPr>
                <w:rFonts w:ascii="Arial" w:cs="Arial" w:eastAsia="Arial" w:hAnsi="Arial"/>
                <w:sz w:val="18"/>
                <w:szCs w:val="18"/>
                <w:b w:val="1"/>
                <w:bCs w:val="1"/>
                <w:color w:val="706F6F"/>
                <w:vertAlign w:val="superscript"/>
              </w:rPr>
              <w:t>(1)</w:t>
            </w:r>
          </w:p>
        </w:tc>
        <w:tc>
          <w:tcPr>
            <w:tcW w:w="0" w:type="dxa"/>
            <w:vAlign w:val="bottom"/>
          </w:tcPr>
          <w:p>
            <w:pPr>
              <w:spacing w:after="0"/>
              <w:rPr>
                <w:sz w:val="1"/>
                <w:szCs w:val="1"/>
                <w:color w:val="auto"/>
              </w:rPr>
            </w:pPr>
          </w:p>
        </w:tc>
      </w:tr>
      <w:tr>
        <w:trPr>
          <w:trHeight w:val="219"/>
        </w:trPr>
        <w:tc>
          <w:tcPr>
            <w:tcW w:w="17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220" w:type="dxa"/>
            <w:vAlign w:val="bottom"/>
            <w:tcBorders>
              <w:bottom w:val="single" w:sz="8" w:color="006DB6"/>
            </w:tcBorders>
          </w:tcPr>
          <w:p>
            <w:pPr>
              <w:ind w:left="300"/>
              <w:spacing w:after="0"/>
              <w:rPr>
                <w:sz w:val="20"/>
                <w:szCs w:val="20"/>
                <w:color w:val="auto"/>
              </w:rPr>
            </w:pPr>
            <w:r>
              <w:rPr>
                <w:rFonts w:ascii="Arial" w:cs="Arial" w:eastAsia="Arial" w:hAnsi="Arial"/>
                <w:sz w:val="14"/>
                <w:szCs w:val="14"/>
                <w:b w:val="1"/>
                <w:bCs w:val="1"/>
                <w:color w:val="706F6F"/>
              </w:rPr>
              <w:t>Position</w:t>
            </w:r>
          </w:p>
        </w:tc>
        <w:tc>
          <w:tcPr>
            <w:tcW w:w="1280" w:type="dxa"/>
            <w:vAlign w:val="bottom"/>
            <w:tcBorders>
              <w:bottom w:val="single" w:sz="8" w:color="006DB6"/>
            </w:tcBorders>
          </w:tcPr>
          <w:p>
            <w:pPr>
              <w:ind w:left="360"/>
              <w:spacing w:after="0"/>
              <w:rPr>
                <w:sz w:val="20"/>
                <w:szCs w:val="20"/>
                <w:color w:val="auto"/>
              </w:rPr>
            </w:pPr>
            <w:r>
              <w:rPr>
                <w:rFonts w:ascii="Arial" w:cs="Arial" w:eastAsia="Arial" w:hAnsi="Arial"/>
                <w:sz w:val="14"/>
                <w:szCs w:val="14"/>
                <w:b w:val="1"/>
                <w:bCs w:val="1"/>
                <w:color w:val="706F6F"/>
              </w:rPr>
              <w:t>Units</w:t>
            </w:r>
          </w:p>
        </w:tc>
        <w:tc>
          <w:tcPr>
            <w:tcW w:w="1480" w:type="dxa"/>
            <w:vAlign w:val="bottom"/>
            <w:tcBorders>
              <w:bottom w:val="single" w:sz="8" w:color="006DB6"/>
            </w:tcBorders>
          </w:tcPr>
          <w:p>
            <w:pPr>
              <w:jc w:val="right"/>
              <w:ind w:right="183"/>
              <w:spacing w:after="0"/>
              <w:rPr>
                <w:sz w:val="20"/>
                <w:szCs w:val="20"/>
                <w:color w:val="auto"/>
              </w:rPr>
            </w:pPr>
            <w:r>
              <w:rPr>
                <w:rFonts w:ascii="Arial" w:cs="Arial" w:eastAsia="Arial" w:hAnsi="Arial"/>
                <w:sz w:val="14"/>
                <w:szCs w:val="14"/>
                <w:b w:val="1"/>
                <w:bCs w:val="1"/>
                <w:color w:val="706F6F"/>
              </w:rPr>
              <w:t>Target</w:t>
            </w:r>
          </w:p>
        </w:tc>
        <w:tc>
          <w:tcPr>
            <w:tcW w:w="1320" w:type="dxa"/>
            <w:vAlign w:val="bottom"/>
            <w:tcBorders>
              <w:bottom w:val="single" w:sz="8" w:color="006DB6"/>
            </w:tcBorders>
            <w:gridSpan w:val="2"/>
          </w:tcPr>
          <w:p>
            <w:pPr>
              <w:jc w:val="right"/>
              <w:ind w:right="19"/>
              <w:spacing w:after="0"/>
              <w:rPr>
                <w:sz w:val="20"/>
                <w:szCs w:val="20"/>
                <w:color w:val="auto"/>
              </w:rPr>
            </w:pPr>
            <w:r>
              <w:rPr>
                <w:rFonts w:ascii="Arial" w:cs="Arial" w:eastAsia="Arial" w:hAnsi="Arial"/>
                <w:sz w:val="14"/>
                <w:szCs w:val="14"/>
                <w:b w:val="1"/>
                <w:bCs w:val="1"/>
                <w:color w:val="706F6F"/>
              </w:rPr>
              <w:t>Date of Grant</w:t>
            </w:r>
          </w:p>
        </w:tc>
        <w:tc>
          <w:tcPr>
            <w:tcW w:w="28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2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President and Chief Executive Officer</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35,588</w:t>
            </w:r>
          </w:p>
        </w:tc>
        <w:tc>
          <w:tcPr>
            <w:tcW w:w="14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83,039</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2,569,485</w:t>
            </w: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4220" w:type="dxa"/>
            <w:vAlign w:val="bottom"/>
          </w:tcPr>
          <w:p>
            <w:pPr>
              <w:ind w:left="300"/>
              <w:spacing w:after="0"/>
              <w:rPr>
                <w:sz w:val="20"/>
                <w:szCs w:val="20"/>
                <w:color w:val="auto"/>
              </w:rPr>
            </w:pPr>
            <w:r>
              <w:rPr>
                <w:rFonts w:ascii="Arial" w:cs="Arial" w:eastAsia="Arial" w:hAnsi="Arial"/>
                <w:sz w:val="16"/>
                <w:szCs w:val="16"/>
                <w:color w:val="auto"/>
              </w:rPr>
              <w:t>Senior Vice President, Chief Financial Officer and</w:t>
            </w: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582,942</w:t>
            </w: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4220" w:type="dxa"/>
            <w:vAlign w:val="bottom"/>
            <w:vMerge w:val="restart"/>
          </w:tcPr>
          <w:p>
            <w:pPr>
              <w:ind w:left="300"/>
              <w:spacing w:after="0"/>
              <w:rPr>
                <w:sz w:val="20"/>
                <w:szCs w:val="20"/>
                <w:color w:val="auto"/>
              </w:rPr>
            </w:pPr>
            <w:r>
              <w:rPr>
                <w:rFonts w:ascii="Arial" w:cs="Arial" w:eastAsia="Arial" w:hAnsi="Arial"/>
                <w:sz w:val="16"/>
                <w:szCs w:val="16"/>
                <w:color w:val="auto"/>
              </w:rPr>
              <w:t>Treasurer</w:t>
            </w:r>
          </w:p>
        </w:tc>
        <w:tc>
          <w:tcPr>
            <w:tcW w:w="1280" w:type="dxa"/>
            <w:vAlign w:val="bottom"/>
            <w:vMerge w:val="restart"/>
          </w:tcPr>
          <w:p>
            <w:pPr>
              <w:jc w:val="right"/>
              <w:ind w:right="43"/>
              <w:spacing w:after="0"/>
              <w:rPr>
                <w:sz w:val="20"/>
                <w:szCs w:val="20"/>
                <w:color w:val="auto"/>
              </w:rPr>
            </w:pPr>
            <w:r>
              <w:rPr>
                <w:rFonts w:ascii="Arial" w:cs="Arial" w:eastAsia="Arial" w:hAnsi="Arial"/>
                <w:sz w:val="16"/>
                <w:szCs w:val="16"/>
                <w:color w:val="auto"/>
              </w:rPr>
              <w:t>8,073</w:t>
            </w:r>
          </w:p>
        </w:tc>
        <w:tc>
          <w:tcPr>
            <w:tcW w:w="1480" w:type="dxa"/>
            <w:vAlign w:val="bottom"/>
            <w:vMerge w:val="restart"/>
          </w:tcPr>
          <w:p>
            <w:pPr>
              <w:jc w:val="right"/>
              <w:ind w:right="243"/>
              <w:spacing w:after="0"/>
              <w:rPr>
                <w:sz w:val="20"/>
                <w:szCs w:val="20"/>
                <w:color w:val="auto"/>
              </w:rPr>
            </w:pPr>
            <w:r>
              <w:rPr>
                <w:rFonts w:ascii="Arial" w:cs="Arial" w:eastAsia="Arial" w:hAnsi="Arial"/>
                <w:sz w:val="16"/>
                <w:szCs w:val="16"/>
                <w:color w:val="auto"/>
              </w:rPr>
              <w:t>18,840</w:t>
            </w: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21.18</w:t>
            </w:r>
          </w:p>
        </w:tc>
        <w:tc>
          <w:tcPr>
            <w:tcW w:w="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6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42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Senior Vice President, Canada</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7,363</w:t>
            </w:r>
          </w:p>
        </w:tc>
        <w:tc>
          <w:tcPr>
            <w:tcW w:w="14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17,181</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531,628</w:t>
            </w:r>
          </w:p>
        </w:tc>
        <w:tc>
          <w:tcPr>
            <w:tcW w:w="0" w:type="dxa"/>
            <w:vAlign w:val="bottom"/>
          </w:tcPr>
          <w:p>
            <w:pPr>
              <w:spacing w:after="0"/>
              <w:rPr>
                <w:sz w:val="1"/>
                <w:szCs w:val="1"/>
                <w:color w:val="auto"/>
              </w:rPr>
            </w:pPr>
          </w:p>
        </w:tc>
      </w:tr>
      <w:tr>
        <w:trPr>
          <w:trHeight w:val="23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2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Senior Vice President, Australia</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6,627</w:t>
            </w:r>
          </w:p>
        </w:tc>
        <w:tc>
          <w:tcPr>
            <w:tcW w:w="14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15,463</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478,474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140" w:hanging="252"/>
        <w:spacing w:after="0" w:line="272" w:lineRule="auto"/>
        <w:tabs>
          <w:tab w:leader="none" w:pos="264" w:val="left"/>
        </w:tabs>
        <w:numPr>
          <w:ilvl w:val="0"/>
          <w:numId w:val="43"/>
        </w:numPr>
        <w:rPr>
          <w:rFonts w:ascii="Arial" w:cs="Arial" w:eastAsia="Arial" w:hAnsi="Arial"/>
          <w:sz w:val="9"/>
          <w:szCs w:val="9"/>
          <w:color w:val="auto"/>
        </w:rPr>
      </w:pPr>
      <w:r>
        <w:rPr>
          <w:rFonts w:ascii="Arial" w:cs="Arial" w:eastAsia="Arial" w:hAnsi="Arial"/>
          <w:sz w:val="14"/>
          <w:szCs w:val="14"/>
          <w:color w:val="auto"/>
        </w:rPr>
        <w:t>This column shows the full grant date fair value of the phantom share units and performance share awards (based on the probable outcome of the applicable performance conditions) granted to the NEOs during 2025 as computed under FASB ASC Topic 718—Stock Compensation, excluding the impact of estimated forfeitures related to service-based vesting conditions. Generally, the grant date fair value is the amount that Civeo would expense in its financial statements over the vesting schedule of the awards. For purposes of the phantom share units, the value in this column is based upon the closing share price on the date of grant. See Note 17 to Civeo’s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78105</wp:posOffset>
            </wp:positionV>
            <wp:extent cx="394335" cy="196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included in its Annual Report on Form 10-K for the fiscal year ended December 31, 2025 for additional detail regarding assumptions underlying the value of these awards.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Performance Share Award Programs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Performance Share Award Program has been comprised of the following key elements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06285" cy="1165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06285" cy="1165860"/>
                    </a:xfrm>
                    <a:prstGeom prst="rect">
                      <a:avLst/>
                    </a:prstGeom>
                    <a:noFill/>
                  </pic:spPr>
                </pic:pic>
              </a:graphicData>
            </a:graphic>
          </wp:anchor>
        </w:drawing>
      </w:r>
    </w:p>
    <w:p>
      <w:pPr>
        <w:spacing w:after="0" w:line="336" w:lineRule="exact"/>
        <w:rPr>
          <w:sz w:val="20"/>
          <w:szCs w:val="20"/>
          <w:color w:val="auto"/>
        </w:rPr>
      </w:pPr>
    </w:p>
    <w:p>
      <w:pPr>
        <w:ind w:left="100"/>
        <w:spacing w:after="0"/>
        <w:tabs>
          <w:tab w:leader="none" w:pos="3860" w:val="left"/>
          <w:tab w:leader="none" w:pos="7680" w:val="left"/>
        </w:tabs>
        <w:rPr>
          <w:sz w:val="20"/>
          <w:szCs w:val="20"/>
          <w:color w:val="auto"/>
        </w:rPr>
      </w:pPr>
      <w:r>
        <w:rPr>
          <w:rFonts w:ascii="Arial" w:cs="Arial" w:eastAsia="Arial" w:hAnsi="Arial"/>
          <w:sz w:val="16"/>
          <w:szCs w:val="16"/>
          <w:b w:val="1"/>
          <w:bCs w:val="1"/>
          <w:color w:val="006DB6"/>
        </w:rPr>
        <w:t>Performance metrics</w:t>
      </w:r>
      <w:r>
        <w:rPr>
          <w:sz w:val="20"/>
          <w:szCs w:val="20"/>
          <w:color w:val="auto"/>
        </w:rPr>
        <w:tab/>
      </w:r>
      <w:r>
        <w:rPr>
          <w:rFonts w:ascii="Arial" w:cs="Arial" w:eastAsia="Arial" w:hAnsi="Arial"/>
          <w:sz w:val="16"/>
          <w:szCs w:val="16"/>
          <w:b w:val="1"/>
          <w:bCs w:val="1"/>
          <w:color w:val="006DB6"/>
        </w:rPr>
        <w:t>Performance period</w:t>
      </w:r>
      <w:r>
        <w:rPr>
          <w:sz w:val="20"/>
          <w:szCs w:val="20"/>
          <w:color w:val="auto"/>
        </w:rPr>
        <w:tab/>
      </w:r>
      <w:r>
        <w:rPr>
          <w:rFonts w:ascii="Arial" w:cs="Arial" w:eastAsia="Arial" w:hAnsi="Arial"/>
          <w:sz w:val="16"/>
          <w:szCs w:val="16"/>
          <w:b w:val="1"/>
          <w:bCs w:val="1"/>
          <w:color w:val="006DB6"/>
        </w:rPr>
        <w:t>Participants</w:t>
      </w:r>
    </w:p>
    <w:p>
      <w:pPr>
        <w:spacing w:after="0" w:line="59" w:lineRule="exact"/>
        <w:rPr>
          <w:sz w:val="20"/>
          <w:szCs w:val="20"/>
          <w:color w:val="auto"/>
        </w:rPr>
      </w:pPr>
    </w:p>
    <w:p>
      <w:pPr>
        <w:ind w:left="20"/>
        <w:spacing w:after="0"/>
        <w:tabs>
          <w:tab w:leader="none" w:pos="340" w:val="left"/>
          <w:tab w:leader="none" w:pos="3860" w:val="left"/>
          <w:tab w:leader="none" w:pos="7680" w:val="left"/>
        </w:tabs>
        <w:rPr>
          <w:sz w:val="20"/>
          <w:szCs w:val="20"/>
          <w:color w:val="auto"/>
        </w:rPr>
      </w:pPr>
      <w:r>
        <w:rPr>
          <w:rFonts w:ascii="Arial" w:cs="Arial" w:eastAsia="Arial" w:hAnsi="Arial"/>
          <w:sz w:val="16"/>
          <w:szCs w:val="16"/>
          <w:color w:val="auto"/>
        </w:rPr>
        <w:t>–</w:t>
        <w:tab/>
        <w:t>Relative TSR (compared against our</w:t>
      </w:r>
      <w:r>
        <w:rPr>
          <w:sz w:val="20"/>
          <w:szCs w:val="20"/>
          <w:color w:val="auto"/>
        </w:rPr>
        <w:tab/>
      </w:r>
      <w:r>
        <w:rPr>
          <w:rFonts w:ascii="Arial" w:cs="Arial" w:eastAsia="Arial" w:hAnsi="Arial"/>
          <w:sz w:val="16"/>
          <w:szCs w:val="16"/>
          <w:color w:val="auto"/>
        </w:rPr>
        <w:t>Three years</w:t>
      </w:r>
      <w:r>
        <w:rPr>
          <w:sz w:val="20"/>
          <w:szCs w:val="20"/>
          <w:color w:val="auto"/>
        </w:rPr>
        <w:tab/>
      </w:r>
      <w:r>
        <w:rPr>
          <w:rFonts w:ascii="Arial" w:cs="Arial" w:eastAsia="Arial" w:hAnsi="Arial"/>
          <w:sz w:val="16"/>
          <w:szCs w:val="16"/>
          <w:color w:val="auto"/>
        </w:rPr>
        <w:t>All NEOs and other senior management</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defined peer group)</w:t>
      </w:r>
    </w:p>
    <w:p>
      <w:pPr>
        <w:spacing w:after="0" w:line="9" w:lineRule="exact"/>
        <w:rPr>
          <w:sz w:val="20"/>
          <w:szCs w:val="20"/>
          <w:color w:val="auto"/>
        </w:rPr>
      </w:pPr>
    </w:p>
    <w:p>
      <w:pPr>
        <w:ind w:left="360" w:right="7980" w:hanging="324"/>
        <w:spacing w:after="0" w:line="255" w:lineRule="auto"/>
        <w:rPr>
          <w:sz w:val="20"/>
          <w:szCs w:val="20"/>
          <w:color w:val="auto"/>
        </w:rPr>
      </w:pPr>
      <w:r>
        <w:rPr>
          <w:rFonts w:ascii="Arial" w:cs="Arial" w:eastAsia="Arial" w:hAnsi="Arial"/>
          <w:sz w:val="16"/>
          <w:szCs w:val="16"/>
          <w:color w:val="auto"/>
        </w:rPr>
        <w:t>– Three-year growth in EBITDA (2024 and 2025 grants)</w:t>
      </w:r>
    </w:p>
    <w:p>
      <w:pPr>
        <w:ind w:left="360" w:right="8380" w:hanging="324"/>
        <w:spacing w:after="0" w:line="265" w:lineRule="auto"/>
        <w:rPr>
          <w:sz w:val="20"/>
          <w:szCs w:val="20"/>
          <w:color w:val="auto"/>
        </w:rPr>
      </w:pPr>
      <w:r>
        <w:rPr>
          <w:rFonts w:ascii="Arial" w:cs="Arial" w:eastAsia="Arial" w:hAnsi="Arial"/>
          <w:sz w:val="16"/>
          <w:szCs w:val="16"/>
          <w:color w:val="auto"/>
        </w:rPr>
        <w:t>– Cumulative cash flows provided by operating activities (2023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06285" cy="797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06285" cy="7975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320" w:type="dxa"/>
            <w:vAlign w:val="bottom"/>
          </w:tcPr>
          <w:p>
            <w:pPr>
              <w:spacing w:after="0"/>
              <w:rPr>
                <w:sz w:val="20"/>
                <w:szCs w:val="20"/>
                <w:color w:val="auto"/>
              </w:rPr>
            </w:pPr>
            <w:r>
              <w:rPr>
                <w:rFonts w:ascii="Arial" w:cs="Arial" w:eastAsia="Arial" w:hAnsi="Arial"/>
                <w:sz w:val="16"/>
                <w:szCs w:val="16"/>
                <w:b w:val="1"/>
                <w:bCs w:val="1"/>
                <w:color w:val="006DB6"/>
              </w:rPr>
              <w:t>Vesting</w:t>
            </w:r>
          </w:p>
        </w:tc>
        <w:tc>
          <w:tcPr>
            <w:tcW w:w="5000" w:type="dxa"/>
            <w:vAlign w:val="bottom"/>
          </w:tcPr>
          <w:p>
            <w:pPr>
              <w:ind w:left="1460"/>
              <w:spacing w:after="0"/>
              <w:rPr>
                <w:sz w:val="20"/>
                <w:szCs w:val="20"/>
                <w:color w:val="auto"/>
              </w:rPr>
            </w:pPr>
            <w:r>
              <w:rPr>
                <w:rFonts w:ascii="Arial" w:cs="Arial" w:eastAsia="Arial" w:hAnsi="Arial"/>
                <w:sz w:val="16"/>
                <w:szCs w:val="16"/>
                <w:b w:val="1"/>
                <w:bCs w:val="1"/>
                <w:color w:val="006DB6"/>
              </w:rPr>
              <w:t>Award amount</w:t>
            </w:r>
          </w:p>
        </w:tc>
        <w:tc>
          <w:tcPr>
            <w:tcW w:w="2880" w:type="dxa"/>
            <w:vAlign w:val="bottom"/>
          </w:tcPr>
          <w:p>
            <w:pPr>
              <w:ind w:left="280"/>
              <w:spacing w:after="0"/>
              <w:rPr>
                <w:sz w:val="20"/>
                <w:szCs w:val="20"/>
                <w:color w:val="auto"/>
              </w:rPr>
            </w:pPr>
            <w:r>
              <w:rPr>
                <w:rFonts w:ascii="Arial" w:cs="Arial" w:eastAsia="Arial" w:hAnsi="Arial"/>
                <w:sz w:val="16"/>
                <w:szCs w:val="16"/>
                <w:b w:val="1"/>
                <w:bCs w:val="1"/>
                <w:color w:val="006DB6"/>
              </w:rPr>
              <w:t>Payout</w:t>
            </w:r>
          </w:p>
        </w:tc>
      </w:tr>
      <w:tr>
        <w:trPr>
          <w:trHeight w:val="235"/>
        </w:trPr>
        <w:tc>
          <w:tcPr>
            <w:tcW w:w="2320" w:type="dxa"/>
            <w:vAlign w:val="bottom"/>
          </w:tcPr>
          <w:p>
            <w:pPr>
              <w:spacing w:after="0"/>
              <w:rPr>
                <w:sz w:val="20"/>
                <w:szCs w:val="20"/>
                <w:color w:val="auto"/>
              </w:rPr>
            </w:pPr>
            <w:r>
              <w:rPr>
                <w:rFonts w:ascii="Arial" w:cs="Arial" w:eastAsia="Arial" w:hAnsi="Arial"/>
                <w:sz w:val="16"/>
                <w:szCs w:val="16"/>
                <w:color w:val="auto"/>
              </w:rPr>
              <w:t>Cliff vesting</w:t>
            </w:r>
          </w:p>
        </w:tc>
        <w:tc>
          <w:tcPr>
            <w:tcW w:w="5000" w:type="dxa"/>
            <w:vAlign w:val="bottom"/>
          </w:tcPr>
          <w:p>
            <w:pPr>
              <w:ind w:left="1460"/>
              <w:spacing w:after="0"/>
              <w:rPr>
                <w:sz w:val="20"/>
                <w:szCs w:val="20"/>
                <w:color w:val="auto"/>
              </w:rPr>
            </w:pPr>
            <w:r>
              <w:rPr>
                <w:rFonts w:ascii="Arial" w:cs="Arial" w:eastAsia="Arial" w:hAnsi="Arial"/>
                <w:sz w:val="16"/>
                <w:szCs w:val="16"/>
                <w:color w:val="auto"/>
              </w:rPr>
              <w:t>Generally comprises at least 50% of a named</w:t>
            </w:r>
          </w:p>
        </w:tc>
        <w:tc>
          <w:tcPr>
            <w:tcW w:w="2880" w:type="dxa"/>
            <w:vAlign w:val="bottom"/>
          </w:tcPr>
          <w:p>
            <w:pPr>
              <w:ind w:left="280"/>
              <w:spacing w:after="0"/>
              <w:rPr>
                <w:sz w:val="20"/>
                <w:szCs w:val="20"/>
                <w:color w:val="auto"/>
              </w:rPr>
            </w:pPr>
            <w:r>
              <w:rPr>
                <w:rFonts w:ascii="Arial" w:cs="Arial" w:eastAsia="Arial" w:hAnsi="Arial"/>
                <w:sz w:val="16"/>
                <w:szCs w:val="16"/>
                <w:color w:val="auto"/>
              </w:rPr>
              <w:t>Settled in either cash or shares, or a</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3880"/>
        <w:spacing w:after="0"/>
        <w:rPr>
          <w:sz w:val="20"/>
          <w:szCs w:val="20"/>
          <w:color w:val="auto"/>
        </w:rPr>
      </w:pPr>
      <w:r>
        <w:rPr>
          <w:rFonts w:ascii="Arial" w:cs="Arial" w:eastAsia="Arial" w:hAnsi="Arial"/>
          <w:sz w:val="16"/>
          <w:szCs w:val="16"/>
          <w:color w:val="auto"/>
        </w:rPr>
        <w:t>executive officer’s annual LTIP award as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determined by the Compensation Committee</w:t>
      </w:r>
    </w:p>
    <w:p>
      <w:pPr>
        <w:spacing w:after="0" w:line="20" w:lineRule="exact"/>
        <w:rPr>
          <w:sz w:val="20"/>
          <w:szCs w:val="20"/>
          <w:color w:val="auto"/>
        </w:rPr>
      </w:pPr>
      <w:r>
        <w:rPr>
          <w:sz w:val="20"/>
          <w:szCs w:val="20"/>
          <w:color w:val="auto"/>
        </w:rPr>
        <w:br w:type="column"/>
      </w:r>
    </w:p>
    <w:p>
      <w:pPr>
        <w:ind w:right="460"/>
        <w:spacing w:after="0" w:line="270" w:lineRule="auto"/>
        <w:rPr>
          <w:sz w:val="20"/>
          <w:szCs w:val="20"/>
          <w:color w:val="auto"/>
        </w:rPr>
      </w:pPr>
      <w:r>
        <w:rPr>
          <w:rFonts w:ascii="Arial" w:cs="Arial" w:eastAsia="Arial" w:hAnsi="Arial"/>
          <w:sz w:val="16"/>
          <w:szCs w:val="16"/>
          <w:color w:val="auto"/>
        </w:rPr>
        <w:t>combination of both, at the discretion of the Compensation Committee</w:t>
      </w:r>
    </w:p>
    <w:p>
      <w:pPr>
        <w:spacing w:after="0" w:line="200" w:lineRule="exact"/>
        <w:rPr>
          <w:sz w:val="20"/>
          <w:szCs w:val="20"/>
          <w:color w:val="auto"/>
        </w:rPr>
      </w:pPr>
    </w:p>
    <w:p>
      <w:pPr>
        <w:sectPr>
          <w:pgSz w:w="11900" w:h="16838" w:orient="portrait"/>
          <w:cols w:equalWidth="0" w:num="2">
            <w:col w:w="7100" w:space="600"/>
            <w:col w:w="3540"/>
          </w:cols>
          <w:pgMar w:left="320" w:top="125" w:right="339" w:bottom="1440" w:gutter="0" w:footer="0" w:header="0"/>
          <w:type w:val="continuous"/>
        </w:sectPr>
      </w:pP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Calculation of our relative TSR is conducted following completion of the three-year performance period and includes all dividends paid over the performance period.</w:t>
      </w:r>
    </w:p>
    <w:p>
      <w:pPr>
        <w:spacing w:after="0" w:line="6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performance metrics for the 2023 performance share grants were weighted 50% to cumulative cash flows provided by operating activities and 50% to relative TSR. In 2024, the Compensation Committee replaced the cumulative cash flows provided by operating activities performance metric with a three-year growth in EBITDA performance metric. The performance metrics for the 2024 and 2025 performance share awards were weighted 70% to three-year growth in EBITDA and 30% to relative TSR. Performance share awards can be earned in amounts between 0% and 200% of the participant’s target performance share award, with the payout percentage to be determined based on Civeo’s performance with respect to the applicable performance metrics. Payouts under the performance shares are capped at 100% payout (Target) for the relative TSR component, if Civeo’s absolute TSR over the performance period is negative, irrespective of relative performance.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 AWARD TIMELINE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FY24</w:t>
            </w:r>
          </w:p>
        </w:tc>
        <w:tc>
          <w:tcPr>
            <w:tcW w:w="200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FY25</w:t>
            </w: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FY26</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FY27</w:t>
            </w:r>
          </w:p>
        </w:tc>
        <w:tc>
          <w:tcPr>
            <w:tcW w:w="0" w:type="dxa"/>
            <w:vAlign w:val="bottom"/>
          </w:tcPr>
          <w:p>
            <w:pPr>
              <w:spacing w:after="0"/>
              <w:rPr>
                <w:sz w:val="1"/>
                <w:szCs w:val="1"/>
                <w:color w:val="auto"/>
              </w:rPr>
            </w:pPr>
          </w:p>
        </w:tc>
      </w:tr>
      <w:tr>
        <w:trPr>
          <w:trHeight w:val="121"/>
        </w:trPr>
        <w:tc>
          <w:tcPr>
            <w:tcW w:w="11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FY23 PSA</w:t>
            </w:r>
          </w:p>
        </w:tc>
        <w:tc>
          <w:tcPr>
            <w:tcW w:w="202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0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6"/>
                <w:szCs w:val="16"/>
                <w:b w:val="1"/>
                <w:bCs w:val="1"/>
                <w:color w:val="auto"/>
                <w:w w:val="99"/>
              </w:rPr>
              <w:t>Year 2</w:t>
            </w:r>
          </w:p>
        </w:tc>
        <w:tc>
          <w:tcPr>
            <w:tcW w:w="200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20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0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shd w:val="clear" w:color="auto" w:fill="BED0E9"/>
          </w:tcPr>
          <w:p>
            <w:pPr>
              <w:spacing w:after="0"/>
              <w:rPr>
                <w:sz w:val="5"/>
                <w:szCs w:val="5"/>
                <w:color w:val="auto"/>
              </w:rPr>
            </w:pPr>
          </w:p>
        </w:tc>
        <w:tc>
          <w:tcPr>
            <w:tcW w:w="2000" w:type="dxa"/>
            <w:vAlign w:val="bottom"/>
            <w:tcBorders>
              <w:right w:val="single" w:sz="8" w:color="auto"/>
            </w:tcBorders>
            <w:shd w:val="clear" w:color="auto" w:fill="94B2DA"/>
          </w:tcPr>
          <w:p>
            <w:pPr>
              <w:spacing w:after="0"/>
              <w:rPr>
                <w:sz w:val="5"/>
                <w:szCs w:val="5"/>
                <w:color w:val="auto"/>
              </w:rPr>
            </w:pPr>
          </w:p>
        </w:tc>
        <w:tc>
          <w:tcPr>
            <w:tcW w:w="2000" w:type="dxa"/>
            <w:vAlign w:val="bottom"/>
            <w:tcBorders>
              <w:right w:val="single" w:sz="8" w:color="auto"/>
            </w:tcBorders>
            <w:shd w:val="clear" w:color="auto" w:fill="006DB6"/>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shd w:val="clear" w:color="auto" w:fill="BED0E9"/>
          </w:tcPr>
          <w:p>
            <w:pPr>
              <w:spacing w:after="0"/>
              <w:rPr>
                <w:sz w:val="20"/>
                <w:szCs w:val="20"/>
                <w:color w:val="auto"/>
              </w:rPr>
            </w:pPr>
          </w:p>
        </w:tc>
        <w:tc>
          <w:tcPr>
            <w:tcW w:w="2000" w:type="dxa"/>
            <w:vAlign w:val="bottom"/>
            <w:tcBorders>
              <w:right w:val="single" w:sz="8" w:color="auto"/>
            </w:tcBorders>
            <w:shd w:val="clear" w:color="auto" w:fill="94B2DA"/>
          </w:tcPr>
          <w:p>
            <w:pPr>
              <w:spacing w:after="0"/>
              <w:rPr>
                <w:sz w:val="20"/>
                <w:szCs w:val="20"/>
                <w:color w:val="auto"/>
              </w:rPr>
            </w:pPr>
          </w:p>
        </w:tc>
        <w:tc>
          <w:tcPr>
            <w:tcW w:w="2020" w:type="dxa"/>
            <w:vAlign w:val="bottom"/>
            <w:tcBorders>
              <w:right w:val="single" w:sz="8" w:color="auto"/>
            </w:tcBorders>
            <w:shd w:val="clear" w:color="auto" w:fill="006DB6"/>
          </w:tcPr>
          <w:p>
            <w:pPr>
              <w:spacing w:after="0"/>
              <w:rPr>
                <w:sz w:val="20"/>
                <w:szCs w:val="20"/>
                <w:color w:val="auto"/>
              </w:rPr>
            </w:pPr>
          </w:p>
        </w:tc>
        <w:tc>
          <w:tcPr>
            <w:tcW w:w="19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FY24 PSA</w:t>
            </w: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6"/>
                <w:szCs w:val="16"/>
                <w:b w:val="1"/>
                <w:bCs w:val="1"/>
                <w:color w:val="auto"/>
                <w:w w:val="99"/>
              </w:rPr>
              <w:t>Year 1</w:t>
            </w:r>
          </w:p>
        </w:tc>
        <w:tc>
          <w:tcPr>
            <w:tcW w:w="200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202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spacing w:after="0"/>
              <w:rPr>
                <w:sz w:val="21"/>
                <w:szCs w:val="21"/>
                <w:color w:val="auto"/>
              </w:rPr>
            </w:pPr>
          </w:p>
        </w:tc>
        <w:tc>
          <w:tcPr>
            <w:tcW w:w="2000" w:type="dxa"/>
            <w:vAlign w:val="bottom"/>
            <w:tcBorders>
              <w:right w:val="single" w:sz="8" w:color="auto"/>
            </w:tcBorders>
            <w:shd w:val="clear" w:color="auto" w:fill="94B2DA"/>
          </w:tcPr>
          <w:p>
            <w:pPr>
              <w:spacing w:after="0"/>
              <w:rPr>
                <w:sz w:val="21"/>
                <w:szCs w:val="21"/>
                <w:color w:val="auto"/>
              </w:rPr>
            </w:pPr>
          </w:p>
        </w:tc>
        <w:tc>
          <w:tcPr>
            <w:tcW w:w="2020" w:type="dxa"/>
            <w:vAlign w:val="bottom"/>
            <w:tcBorders>
              <w:right w:val="single" w:sz="8" w:color="auto"/>
            </w:tcBorders>
            <w:shd w:val="clear" w:color="auto" w:fill="006DB6"/>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FY25 PSA</w:t>
            </w:r>
          </w:p>
        </w:tc>
        <w:tc>
          <w:tcPr>
            <w:tcW w:w="202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vMerge w:val="continue"/>
          </w:tcPr>
          <w:p>
            <w:pPr>
              <w:spacing w:after="0"/>
              <w:rPr>
                <w:sz w:val="21"/>
                <w:szCs w:val="21"/>
                <w:color w:val="auto"/>
              </w:rPr>
            </w:pPr>
          </w:p>
        </w:tc>
        <w:tc>
          <w:tcPr>
            <w:tcW w:w="20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2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196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shd w:val="clear" w:color="auto" w:fill="BED0E9"/>
          </w:tcPr>
          <w:p>
            <w:pPr>
              <w:spacing w:after="0"/>
              <w:rPr>
                <w:sz w:val="9"/>
                <w:szCs w:val="9"/>
                <w:color w:val="auto"/>
              </w:rPr>
            </w:pPr>
          </w:p>
        </w:tc>
        <w:tc>
          <w:tcPr>
            <w:tcW w:w="2020" w:type="dxa"/>
            <w:vAlign w:val="bottom"/>
            <w:tcBorders>
              <w:right w:val="single" w:sz="8" w:color="auto"/>
            </w:tcBorders>
            <w:shd w:val="clear" w:color="auto" w:fill="94B2DA"/>
          </w:tcPr>
          <w:p>
            <w:pPr>
              <w:spacing w:after="0"/>
              <w:rPr>
                <w:sz w:val="9"/>
                <w:szCs w:val="9"/>
                <w:color w:val="auto"/>
              </w:rPr>
            </w:pPr>
          </w:p>
        </w:tc>
        <w:tc>
          <w:tcPr>
            <w:tcW w:w="1960" w:type="dxa"/>
            <w:vAlign w:val="bottom"/>
            <w:tcBorders>
              <w:right w:val="single" w:sz="8" w:color="auto"/>
            </w:tcBorders>
            <w:shd w:val="clear" w:color="auto" w:fill="006DB6"/>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All performance share awards have been approved by the Compensation Committee and the board of directors. For those performance share awards that were granted in 2023, the performance period was January 1, 2023 to December 31, 2025. For those performance share awards that were granted in 2024, the performance period is January 1, 2024 to December 31, 2026. For those performance share awards that were granted in 2025, the performance period is January 1, 2025 to December 31, 2027.</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All long-term incentive awards under the EPP are expensed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718—Stock Compensation”). Except in special circumstances, long-term incentive awards are made to participants in these plans annually.</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2023 Performance Share Award Payouts</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February 23, 2026, following the completion of the three-year performance period on December 31, 2025, the Compensation Committee certified final achievement with respect to the performance metrics for the 2023 performance share awards. For the three-year performance period, Civeo achieved cumulative cash flows provided by operating activities of $227.9 million resulting in achievement of 96% of target level for the financial metric and achieved a TSR below the 25th percentile for the three-year performance period as compared to the 2023 peer group, resulting in no payout for that metric. Each metric was weighted at 50%, resulting in a total payout of 47%.</w:t>
      </w:r>
    </w:p>
    <w:p>
      <w:pPr>
        <w:sectPr>
          <w:pgSz w:w="11900" w:h="16838" w:orient="portrait"/>
          <w:cols w:equalWidth="0" w:num="1">
            <w:col w:w="11240"/>
          </w:cols>
          <w:pgMar w:left="320" w:top="125" w:right="339" w:bottom="1440" w:gutter="0" w:footer="0" w:header="0"/>
          <w:type w:val="continuous"/>
        </w:sectPr>
      </w:pPr>
    </w:p>
    <w:p>
      <w:pPr>
        <w:spacing w:after="0" w:line="331"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Chief Executive Officer Compensation for 2025</w:t>
      </w:r>
    </w:p>
    <w:p>
      <w:pPr>
        <w:spacing w:after="0" w:line="11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During its evaluation of Mr. Dodson’s compensation, the Compensation Committee reviewed (i) performance against the 2025 business plan, (ii) TSR performance against a group of peer companies, (iii) pay levels and compensation trends at the peer group described above and (iv) progress against the Company’s strategic plan.</w:t>
      </w:r>
    </w:p>
    <w:p>
      <w:pPr>
        <w:spacing w:after="0" w:line="4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following graphic provides information about equity and non-equity awards granted to Mr. Dodson in 2025. LTIP Awarded reflects the target value of phantom share units and performance shares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485140</wp:posOffset>
            </wp:positionV>
            <wp:extent cx="3454400" cy="1525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544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Benefit Plans</w:t>
      </w:r>
    </w:p>
    <w:p>
      <w:pPr>
        <w:spacing w:after="0" w:line="8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a government funded program.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Retirement Plans</w:t>
      </w:r>
    </w:p>
    <w:p>
      <w:pPr>
        <w:spacing w:after="0" w:line="1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Civeo offers a defined contribution 401(k) retirement plan to all of its U.S. employees, including its U.S.-based executives. Those participating in the plan can make contributions from their eligible compensation, including their base salaries and annual cash incentive, up to annual limits defined by the Internal Revenue Service. Civeo makes matching contributions under this plan on the first 6% of the participant’s eligible compensation, providing a 100% match on the employee’s contribution up to 4% of his or her eligible compensation and a 50% match on the employee’s contribution up to an additional 2% of the employee’s eligible compensation. A similar defined contribution plan, which uses the same contribution formula, is in place in Canada and is structured pursuant to regulations established by the Canadian Revenue Agency. In Australia, employees and executives must contribute 12% of base salary (and may make additional contributions up to an annual capped limit established by the Australia Taxation Office) to a superannuation fund administered by the Government.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Other Perquisites and Personal Benefits</w:t>
      </w:r>
    </w:p>
    <w:p>
      <w:pPr>
        <w:spacing w:after="0" w:line="11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general, Civeo does not offer any executive perquisites or other personal benefits with an aggregate annual value over $10,000. Some executives are provided paid club memberships, which are used for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365125</wp:posOffset>
            </wp:positionV>
            <wp:extent cx="394335" cy="196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Procedures for Determining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Decision-Making and Approval Process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All executive compensation decisions for NEOs are made on behalf of Civeo solely by the Compensation Committee. Where appropriate, the Compensation Committee engages Mercer to research and make recommendations on issues considered important to executive compensation, as well as to provide the Compensation Committee with insights on evolving compensation trends in relevant industry sectors.</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Executive Officers</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Compensation Committee consults our Chief Executive Officer in its determination of compensation matters related to the Company's designated executive officers. The Chief Executive Officer makes recommendations to the Compensation Committee on matters such as salary adjustments, target annual incentive opportunities and the value of long-term incentive awards for all other executive officers.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Compensation Consultant</w:t>
      </w:r>
    </w:p>
    <w:p>
      <w:pPr>
        <w:spacing w:after="0" w:line="141"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The Compensation Committee engages Mercer as its independent compensation consultant. Subsequent to its initial engagement of Mercer, the Compensation Committee has reviewed and confirmed its selection of Mercer on an annual basis.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Mercer as its compensation consultant is not compromised. The Compensation Committee conducted a review of its relationship with Mercer in 2025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2025:</w:t>
      </w:r>
    </w:p>
    <w:p>
      <w:pPr>
        <w:spacing w:after="0" w:line="86"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Mercer did not provide any services to Civeo or management other than services requested by or with the approval of the Compensation Committee;</w:t>
      </w:r>
    </w:p>
    <w:p>
      <w:pPr>
        <w:spacing w:after="0" w:line="72" w:lineRule="exact"/>
        <w:rPr>
          <w:rFonts w:ascii="Arial" w:cs="Arial" w:eastAsia="Arial" w:hAnsi="Arial"/>
          <w:sz w:val="16"/>
          <w:szCs w:val="16"/>
          <w:color w:val="006DB6"/>
        </w:rPr>
      </w:pPr>
    </w:p>
    <w:p>
      <w:pPr>
        <w:ind w:left="200" w:right="60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Mercer maintains a conflicts policy, which was provided to the Compensation Committee, with specific policies and procedures designed to ensure independence;</w:t>
      </w: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Fees paid to Mercer by Civeo during 2025 were less than 1% of Mercer’s total revenue;</w:t>
      </w:r>
    </w:p>
    <w:p>
      <w:pPr>
        <w:spacing w:after="0" w:line="86" w:lineRule="exact"/>
        <w:rPr>
          <w:rFonts w:ascii="Arial" w:cs="Arial" w:eastAsia="Arial" w:hAnsi="Arial"/>
          <w:sz w:val="16"/>
          <w:szCs w:val="16"/>
          <w:color w:val="006DB6"/>
        </w:rPr>
      </w:pPr>
    </w:p>
    <w:p>
      <w:pPr>
        <w:ind w:left="200" w:right="2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had any business or personal relationship with Compensation Committee members (other than in connection with working on matters with us);</w:t>
      </w:r>
    </w:p>
    <w:p>
      <w:pPr>
        <w:ind w:left="200" w:right="52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(or any consultants at Mercer) had any business or personal relationship with any of our executive officers; and</w:t>
      </w: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own our common shares.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Since 2015, the Compensation Committee also annually approved the engagement of Mercer to provide benefits consulting services to Civeo. The decision to engage Mercer for these additional services was recommended by management, but approved by the Compensation Committee. During 2025, fees paid to Mercer in the form of commissions by our Canadian insurer and retirement plan fund manager totaled $34,498 and $12,039, respectively, for benefits consulting services provided to our Canadian operations. During 2025, fees paid to Mercer in the form of commissions by our U.S. insurers and retirement plan administrator totaled $57,545 and $45,414, respectively, for benefits consulting services provided to our U.S. operations. In the opinion of the Compensation Committee, the scale of these fees ($149,496 in the aggregate) does not compromise Mercer’s independence with respect to executive and director compensation advisory services it provides directly to the Compensation Committee. This independence is and will continue to be monitored on an ongoing basis. Fees paid to Mercer for compensation consulting services to the Compensation Committee totaled $148,910 in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Other Items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Agreements</w:t>
      </w:r>
    </w:p>
    <w:p>
      <w:pPr>
        <w:spacing w:after="0" w:line="11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As of December 31, 2025, Civeo maintained Executive Agreements with Messrs. Dodson, Gerry, Fraser and McCann. Mr. Fraser entered into his Executive Agreement effective March 31, 2025, formalizing the terms of an offer letter entered into with him in connection with his appointment to the SVP, Canada role in fiscal 2024. These agreements are not considered long-term employment agreements. Our U.S. executives are employed “at will” by Civeo. The agreements provide protection in the event of a qualified termination, which is generally defined as an (i) involuntary termination of the executive officer by Civeo other than for Cause (as defined in each agreement) outside the context of a "Change of Control (as defined in each agreement) or (ii) an involuntary termination of the executive officer by Civeo other than for Cause or a voluntary termination by the executive for Good Reason (as defined in each agreement) during a specified period of time after a “Change of Control”. For Mr. Gerry, a qualified termination also includes a termination by Mr. Gerry for Good Reason outside the context of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Change of Control provisions under the Executive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based on the executive officer's base salary and target annual incentive amount in place on the date of termination. Under the terms of their Executive Agreements, Messrs. Dodson, Gerry, Fraser and McCann are each entitled to receive a lump-sum payment equal to two times (or 1.5 times for Mr. Gerry) their base salary and target annual incentive amount, as well as other benefits described below, if a qualified termination occurs during the 18-month (or 24-month for Mr. Dodson) protection period following a Change of Control. Where a qualified termination occurs outside the protection period following a Change of Control, Messrs. Dodson, Gerry, Fraser and McCann will be entitled to receive a lump-sum payment equal to one year’s base salary and target annual bonus amount as well as other benefits described below.</w:t>
      </w:r>
    </w:p>
    <w:p>
      <w:pPr>
        <w:spacing w:after="0" w:line="8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addition, the Executive Agreements provide that all restricted stock awards, restricted share units, performance shares, deferred shares, phantom units, options and other equity-based awards will vest immediately, and that all restrictions on such awards will lapse upon a qualifying termination during the protection period following a Change of Control and that outstanding options will remain exercisable for a period of 90 days (or until the term of the option expires for Mr. Dodson). The executive officer will also be entitled to (A) in the case of Messrs. Dodson, Gerry and Fraser, health benefits until the earlier of</w:t>
      </w:r>
    </w:p>
    <w:p>
      <w:pPr>
        <w:ind w:firstLine="8"/>
        <w:spacing w:after="0" w:line="254" w:lineRule="auto"/>
        <w:tabs>
          <w:tab w:leader="none" w:pos="1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36 months (in the case of Mr. Dodson) or 18 months (in the cases of Messrs. Gerry and Fraser) and (ii) the date the executive began receiving comparable benefits from a subsequent employer, (B) in the case of Mr. Dodson, vesting of all employer contributions to our 401(k) plan and any deferred compensation plans to the extent not already vested and (C) for each of Messrs. Dodson, Gerry, Fraser and McCann, outplacement services equal to a maximum of 15% of the executive’s salary at the time of termination until the earliest to occur of (i) December 31 of the second calendar year following the year of termination (or the date that is 18 months after the date of termination for Mr. Gerry) and (ii) the date the executive accepts subsequent employment. Where a qualified termination occurs outside of the protection period following a Change of Control, (1) Mr. Dodson’s Executive Agreement provides that all restricted stock awards, restricted share units, performance shares, deferred shares and phantom units will vest immediately, that all restrictions on such awards will lapse and that he will be entitled to health benefits until the earlier of (x) 36 months and (y) the date that Mr. Dodson began receiving comparable benefits from a subsequent employer and (2) Messrs. Gerry's, Fraser's and McCann’s Executive Agreements provide for the full vesting of all restricted stock awards, restricted share units, performance shares, deferred shares, phantom units, options and other equity-based awards to the extent that such equity-based award would have vested over the year following his termination in accordance with their terms and Mr. Gerry will be entitled to health benefits until the earlier of (x) 12 months following termination and (y) the date that Mr. Gerry began receiving comparable benefits from a subsequent employer. The Executive Agreement entered into with Mr. Dodson (which was entered into in 2006 while employed by Oil States International Inc.) entitles Mr. Dodson to be made whole for any excise taxes incurred with respect to severance payments that were in excess of the limits set forth under the Internal Revenue Code. No excise tax gross-up protection is available to any other named executive officer. See “Potential Payments Under Termination or Change of Control” in this proxy statement for additional disclosures of severance and Change of Control payments for NEOs.</w:t>
      </w:r>
    </w:p>
    <w:p>
      <w:pPr>
        <w:spacing w:after="0" w:line="6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Executive Agreements of Messrs. Dodson, Gerry and McCann each have a term of three years and are extended automatically for one additional day on a daily basis, unless notice of non-extension is served by the board of directors, and for an additional 24-month period following a Change of Control. Where notice is served, the agreement will terminate on the third anniversary of the date notice was given. Mr. Fraser’s Executive Agreement has an indefinite term that can be terminated by Mr. Fraser or Civeo by providing notice of termination in accordance with the terms of the agreement. To receive benefits under the Executive Agreement or Change of Control Agreement, the executive officer is required to execute a release of all claims against Civeo.</w:t>
      </w:r>
    </w:p>
    <w:p>
      <w:pPr>
        <w:spacing w:after="0" w:line="9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With respect to outstanding performance share awards, 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151765</wp:posOffset>
            </wp:positionV>
            <wp:extent cx="394335" cy="196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such terms are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68"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Accounting Considerations</w:t>
      </w:r>
    </w:p>
    <w:p>
      <w:pPr>
        <w:spacing w:after="0" w:line="11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Policies and Practices</w:t>
      </w:r>
    </w:p>
    <w:p>
      <w:pPr>
        <w:spacing w:after="0" w:line="12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Insider Trading and Hedging Policy</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Civeo has a Policy on Insider Trading that governs the purchase and sale of, and other transactions in, Civeo securities. We believe this policy and the procedures that Civeo follows are reasonably designed to promote compliance with insider trading laws, rules, and regulations. Among other things, the policy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the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 The Policy on Insider Trading was filed as Exhibit 19.1 to our Annual Report on Form 10-K for the fiscal year ended December 31, 2025 filed on March 3, 2026.</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Equity Grant Practices</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Compensation Committee generally approves the target value of annual equity awards for Civeo’s executive officers, including each of the NEOs, at its meeting in February of each year, with a grant date to be effective shortly after the filing of the Company's Annual Report on Form 10-K for the prior fiscal year. Additionally, awards to non-executive employees are typically presented to the Compensation Committee at this same meeting and granted during the same period described above. In special circumstances, including the hiring or promotion of an individual or where the Compensation Committee determines it is in Civeo’s best interest, the Compensation Committee may approve grants to be effective at other times. The Company may change its equity grant practices in the future. Civeo did not grant any stock option awards in 2025. Civeo does not time the disclosure of material nonpublic information for the purpose of affecting the value of executive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Clawback Policy</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Under Civeo’s clawback policy, in the event that Civeo is required to prepare an accounting restatement due to Civeo’s material non-compliance with any financial reporting requirement under the federal securities laws, Civeo will, subject to limited exceptions,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 The clawback policy is intended to comply with, and will be administered and interpreted consistent with the requirements of Exchange Act Rule 10D-1 and applicable NYSE listing standards.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Share Ownership Requirements</w:t>
      </w:r>
    </w:p>
    <w:p>
      <w:pPr>
        <w:spacing w:after="0" w:line="11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Civeo has established executive share ownership requirements to further align the interests of key executives with those of its shareholders. Our Executive Share Ownership Guidelines require our executives to attain ownership of shares equal in value to an amount calculated based on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28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114935</wp:posOffset>
            </wp:positionV>
            <wp:extent cx="771525" cy="1111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11112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Executives who are covered by these guidelines have five years to reach their respective share ownership levels. On an annual basis, the Compensation Committee monitors compliance with these guidelines. As of March 30, 2026, all current executive officers were in compliance with the guidelines as demonstrated in the chart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3260" w:type="dxa"/>
            <w:vAlign w:val="bottom"/>
            <w:tcBorders>
              <w:bottom w:val="single" w:sz="8" w:color="006DB6"/>
            </w:tcBorders>
            <w:gridSpan w:val="2"/>
          </w:tcPr>
          <w:p>
            <w:pPr>
              <w:jc w:val="right"/>
              <w:ind w:right="841"/>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37"/>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Executives</w:t>
            </w:r>
          </w:p>
        </w:tc>
        <w:tc>
          <w:tcPr>
            <w:tcW w:w="1820" w:type="dxa"/>
            <w:vAlign w:val="bottom"/>
            <w:tcBorders>
              <w:bottom w:val="single" w:sz="8" w:color="006DB6"/>
            </w:tcBorders>
          </w:tcPr>
          <w:p>
            <w:pPr>
              <w:jc w:val="right"/>
              <w:ind w:right="162"/>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195,618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469,446</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33,260</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44,447</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31,317</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30,414</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  *</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820" w:type="dxa"/>
            <w:vAlign w:val="bottom"/>
          </w:tcPr>
          <w:p>
            <w:pPr>
              <w:jc w:val="right"/>
              <w:ind w:right="222"/>
              <w:spacing w:after="0"/>
              <w:rPr>
                <w:sz w:val="20"/>
                <w:szCs w:val="20"/>
                <w:color w:val="auto"/>
              </w:rPr>
            </w:pPr>
            <w:r>
              <w:rPr>
                <w:rFonts w:ascii="Arial" w:cs="Arial" w:eastAsia="Arial" w:hAnsi="Arial"/>
                <w:sz w:val="16"/>
                <w:szCs w:val="16"/>
                <w:color w:val="auto"/>
              </w:rPr>
              <w:t>33,636</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95,610</w:t>
            </w:r>
          </w:p>
        </w:tc>
        <w:tc>
          <w:tcPr>
            <w:tcW w:w="1280" w:type="dxa"/>
            <w:vAlign w:val="bottom"/>
          </w:tcPr>
          <w:p>
            <w:pPr>
              <w:ind w:left="800"/>
              <w:spacing w:after="0"/>
              <w:rPr>
                <w:sz w:val="20"/>
                <w:szCs w:val="20"/>
                <w:color w:val="auto"/>
              </w:rPr>
            </w:pPr>
            <w:r>
              <w:rPr>
                <w:rFonts w:ascii="Arial" w:cs="Arial" w:eastAsia="Arial" w:hAnsi="Arial"/>
                <w:sz w:val="16"/>
                <w:szCs w:val="16"/>
                <w:color w:val="auto"/>
              </w:rPr>
              <w:t>Yes</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*Within grace period for compliance</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Committee Report</w:t>
      </w:r>
    </w:p>
    <w:p>
      <w:pPr>
        <w:spacing w:after="0" w:line="13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i w:val="1"/>
          <w:iCs w:val="1"/>
          <w:color w:val="006DB6"/>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Constance B. Moore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Michael Montelongo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Daniel B. Silvers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104775</wp:posOffset>
            </wp:positionV>
            <wp:extent cx="394335"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9320"/>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Tables</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Summary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compensation of our NEOs for the fiscal years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706F6F"/>
              </w:rPr>
              <w:t>Non-Equity</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706F6F"/>
              </w:rPr>
              <w:t>Stock</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706F6F"/>
              </w:rPr>
              <w:t>Incentive Plan</w:t>
            </w:r>
          </w:p>
        </w:tc>
        <w:tc>
          <w:tcPr>
            <w:tcW w:w="1340" w:type="dxa"/>
            <w:vAlign w:val="bottom"/>
          </w:tcPr>
          <w:p>
            <w:pPr>
              <w:ind w:left="40"/>
              <w:spacing w:after="0"/>
              <w:rPr>
                <w:sz w:val="20"/>
                <w:szCs w:val="20"/>
                <w:color w:val="auto"/>
              </w:rPr>
            </w:pPr>
            <w:r>
              <w:rPr>
                <w:rFonts w:ascii="Arial" w:cs="Arial" w:eastAsia="Arial" w:hAnsi="Arial"/>
                <w:sz w:val="14"/>
                <w:szCs w:val="14"/>
                <w:b w:val="1"/>
                <w:bCs w:val="1"/>
                <w:color w:val="706F6F"/>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706F6F"/>
              </w:rPr>
              <w:t>Salary</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706F6F"/>
              </w:rPr>
              <w:t>Bonus</w:t>
            </w:r>
          </w:p>
        </w:tc>
        <w:tc>
          <w:tcPr>
            <w:tcW w:w="1320" w:type="dxa"/>
            <w:vAlign w:val="bottom"/>
          </w:tcPr>
          <w:p>
            <w:pPr>
              <w:ind w:left="40"/>
              <w:spacing w:after="0"/>
              <w:rPr>
                <w:sz w:val="20"/>
                <w:szCs w:val="20"/>
                <w:color w:val="auto"/>
              </w:rPr>
            </w:pPr>
            <w:r>
              <w:rPr>
                <w:rFonts w:ascii="Arial" w:cs="Arial" w:eastAsia="Arial" w:hAnsi="Arial"/>
                <w:sz w:val="14"/>
                <w:szCs w:val="14"/>
                <w:b w:val="1"/>
                <w:bCs w:val="1"/>
                <w:color w:val="706F6F"/>
              </w:rPr>
              <w:t>Awards</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706F6F"/>
              </w:rPr>
              <w:t>Compensation</w:t>
            </w:r>
          </w:p>
        </w:tc>
        <w:tc>
          <w:tcPr>
            <w:tcW w:w="1340" w:type="dxa"/>
            <w:vAlign w:val="bottom"/>
          </w:tcPr>
          <w:p>
            <w:pPr>
              <w:ind w:left="40"/>
              <w:spacing w:after="0"/>
              <w:rPr>
                <w:sz w:val="20"/>
                <w:szCs w:val="20"/>
                <w:color w:val="auto"/>
              </w:rPr>
            </w:pPr>
            <w:r>
              <w:rPr>
                <w:rFonts w:ascii="Arial" w:cs="Arial" w:eastAsia="Arial" w:hAnsi="Arial"/>
                <w:sz w:val="14"/>
                <w:szCs w:val="14"/>
                <w:b w:val="1"/>
                <w:bCs w:val="1"/>
                <w:color w:val="706F6F"/>
              </w:rPr>
              <w:t>Compensation</w:t>
            </w:r>
          </w:p>
        </w:tc>
        <w:tc>
          <w:tcPr>
            <w:tcW w:w="1340" w:type="dxa"/>
            <w:vAlign w:val="bottom"/>
          </w:tcPr>
          <w:p>
            <w:pPr>
              <w:ind w:left="40"/>
              <w:spacing w:after="0"/>
              <w:rPr>
                <w:sz w:val="20"/>
                <w:szCs w:val="20"/>
                <w:color w:val="auto"/>
              </w:rPr>
            </w:pPr>
            <w:r>
              <w:rPr>
                <w:rFonts w:ascii="Arial" w:cs="Arial" w:eastAsia="Arial" w:hAnsi="Arial"/>
                <w:sz w:val="14"/>
                <w:szCs w:val="14"/>
                <w:b w:val="1"/>
                <w:bCs w:val="1"/>
                <w:color w:val="706F6F"/>
              </w:rPr>
              <w:t>Total</w:t>
            </w:r>
          </w:p>
        </w:tc>
        <w:tc>
          <w:tcPr>
            <w:tcW w:w="0" w:type="dxa"/>
            <w:vAlign w:val="bottom"/>
          </w:tcPr>
          <w:p>
            <w:pPr>
              <w:spacing w:after="0"/>
              <w:rPr>
                <w:sz w:val="1"/>
                <w:szCs w:val="1"/>
                <w:color w:val="auto"/>
              </w:rPr>
            </w:pPr>
          </w:p>
        </w:tc>
      </w:tr>
      <w:tr>
        <w:trPr>
          <w:trHeight w:val="221"/>
        </w:trPr>
        <w:tc>
          <w:tcPr>
            <w:tcW w:w="2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 and Principal Position</w:t>
            </w:r>
          </w:p>
        </w:tc>
        <w:tc>
          <w:tcPr>
            <w:tcW w:w="5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Year</w:t>
            </w:r>
          </w:p>
        </w:tc>
        <w:tc>
          <w:tcPr>
            <w:tcW w:w="1240" w:type="dxa"/>
            <w:vAlign w:val="bottom"/>
            <w:tcBorders>
              <w:bottom w:val="single" w:sz="8" w:color="006DB6"/>
            </w:tcBorders>
          </w:tcPr>
          <w:p>
            <w:pPr>
              <w:ind w:left="140"/>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ind w:left="60"/>
              <w:spacing w:after="0"/>
              <w:rPr>
                <w:sz w:val="20"/>
                <w:szCs w:val="20"/>
                <w:color w:val="auto"/>
              </w:rPr>
            </w:pPr>
            <w:r>
              <w:rPr>
                <w:rFonts w:ascii="Arial" w:cs="Arial" w:eastAsia="Arial" w:hAnsi="Arial"/>
                <w:sz w:val="14"/>
                <w:szCs w:val="14"/>
                <w:b w:val="1"/>
                <w:bCs w:val="1"/>
                <w:color w:val="706F6F"/>
              </w:rPr>
              <w:t>($)</w:t>
            </w:r>
          </w:p>
        </w:tc>
        <w:tc>
          <w:tcPr>
            <w:tcW w:w="132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9"/>
                <w:szCs w:val="9"/>
                <w:b w:val="1"/>
                <w:bCs w:val="1"/>
                <w:color w:val="706F6F"/>
              </w:rPr>
              <w:t>(3)</w:t>
            </w:r>
          </w:p>
        </w:tc>
        <w:tc>
          <w:tcPr>
            <w:tcW w:w="1360" w:type="dxa"/>
            <w:vAlign w:val="bottom"/>
            <w:tcBorders>
              <w:bottom w:val="single" w:sz="8" w:color="006DB6"/>
            </w:tcBorders>
          </w:tcPr>
          <w:p>
            <w:pPr>
              <w:ind w:left="40"/>
              <w:spacing w:after="0" w:line="214"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(4)</w:t>
            </w:r>
          </w:p>
        </w:tc>
        <w:tc>
          <w:tcPr>
            <w:tcW w:w="134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9"/>
                <w:szCs w:val="9"/>
                <w:b w:val="1"/>
                <w:bCs w:val="1"/>
                <w:color w:val="706F6F"/>
              </w:rPr>
              <w:t>(5)</w:t>
            </w:r>
          </w:p>
        </w:tc>
        <w:tc>
          <w:tcPr>
            <w:tcW w:w="134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20" w:type="dxa"/>
            <w:vAlign w:val="bottom"/>
          </w:tcPr>
          <w:p>
            <w:pPr>
              <w:ind w:left="20"/>
              <w:spacing w:after="0"/>
              <w:rPr>
                <w:sz w:val="20"/>
                <w:szCs w:val="20"/>
                <w:color w:val="auto"/>
              </w:rPr>
            </w:pPr>
            <w:r>
              <w:rPr>
                <w:rFonts w:ascii="Arial" w:cs="Arial" w:eastAsia="Arial" w:hAnsi="Arial"/>
                <w:sz w:val="16"/>
                <w:szCs w:val="16"/>
                <w:color w:val="auto"/>
              </w:rPr>
              <w:t>2025</w:t>
            </w:r>
          </w:p>
        </w:tc>
        <w:tc>
          <w:tcPr>
            <w:tcW w:w="124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2,569,485</w:t>
            </w:r>
          </w:p>
        </w:tc>
        <w:tc>
          <w:tcPr>
            <w:tcW w:w="1360" w:type="dxa"/>
            <w:vAlign w:val="bottom"/>
          </w:tcPr>
          <w:p>
            <w:pPr>
              <w:jc w:val="right"/>
              <w:spacing w:after="0"/>
              <w:rPr>
                <w:sz w:val="20"/>
                <w:szCs w:val="20"/>
                <w:color w:val="auto"/>
              </w:rPr>
            </w:pPr>
            <w:r>
              <w:rPr>
                <w:rFonts w:ascii="Arial" w:cs="Arial" w:eastAsia="Arial" w:hAnsi="Arial"/>
                <w:sz w:val="16"/>
                <w:szCs w:val="16"/>
                <w:color w:val="auto"/>
              </w:rPr>
              <w:t>435,375</w:t>
            </w:r>
          </w:p>
        </w:tc>
        <w:tc>
          <w:tcPr>
            <w:tcW w:w="1340" w:type="dxa"/>
            <w:vAlign w:val="bottom"/>
          </w:tcPr>
          <w:p>
            <w:pPr>
              <w:jc w:val="right"/>
              <w:spacing w:after="0"/>
              <w:rPr>
                <w:sz w:val="20"/>
                <w:szCs w:val="20"/>
                <w:color w:val="auto"/>
              </w:rPr>
            </w:pPr>
            <w:r>
              <w:rPr>
                <w:rFonts w:ascii="Arial" w:cs="Arial" w:eastAsia="Arial" w:hAnsi="Arial"/>
                <w:sz w:val="16"/>
                <w:szCs w:val="16"/>
                <w:color w:val="auto"/>
              </w:rPr>
              <w:t>20,488</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3,775,348</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w:t>
            </w: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2024</w:t>
            </w:r>
          </w:p>
        </w:tc>
        <w:tc>
          <w:tcPr>
            <w:tcW w:w="124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2,559,331</w:t>
            </w:r>
          </w:p>
        </w:tc>
        <w:tc>
          <w:tcPr>
            <w:tcW w:w="1360" w:type="dxa"/>
            <w:vAlign w:val="bottom"/>
          </w:tcPr>
          <w:p>
            <w:pPr>
              <w:jc w:val="right"/>
              <w:spacing w:after="0"/>
              <w:rPr>
                <w:sz w:val="20"/>
                <w:szCs w:val="20"/>
                <w:color w:val="auto"/>
              </w:rPr>
            </w:pPr>
            <w:r>
              <w:rPr>
                <w:rFonts w:ascii="Arial" w:cs="Arial" w:eastAsia="Arial" w:hAnsi="Arial"/>
                <w:sz w:val="16"/>
                <w:szCs w:val="16"/>
                <w:color w:val="auto"/>
              </w:rPr>
              <w:t>558,000</w:t>
            </w:r>
          </w:p>
        </w:tc>
        <w:tc>
          <w:tcPr>
            <w:tcW w:w="1340" w:type="dxa"/>
            <w:vAlign w:val="bottom"/>
          </w:tcPr>
          <w:p>
            <w:pPr>
              <w:jc w:val="right"/>
              <w:spacing w:after="0"/>
              <w:rPr>
                <w:sz w:val="20"/>
                <w:szCs w:val="20"/>
                <w:color w:val="auto"/>
              </w:rPr>
            </w:pPr>
            <w:r>
              <w:rPr>
                <w:rFonts w:ascii="Arial" w:cs="Arial" w:eastAsia="Arial" w:hAnsi="Arial"/>
                <w:sz w:val="16"/>
                <w:szCs w:val="16"/>
                <w:color w:val="auto"/>
              </w:rPr>
              <w:t>19,997</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3,887,328</w:t>
            </w: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2023</w:t>
            </w:r>
          </w:p>
        </w:tc>
        <w:tc>
          <w:tcPr>
            <w:tcW w:w="124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jc w:val="right"/>
              <w:spacing w:after="0"/>
              <w:rPr>
                <w:sz w:val="20"/>
                <w:szCs w:val="20"/>
                <w:color w:val="auto"/>
              </w:rPr>
            </w:pPr>
            <w:r>
              <w:rPr>
                <w:rFonts w:ascii="Arial" w:cs="Arial" w:eastAsia="Arial" w:hAnsi="Arial"/>
                <w:sz w:val="16"/>
                <w:szCs w:val="16"/>
                <w:color w:val="auto"/>
              </w:rPr>
              <w:t>1,256,251</w:t>
            </w:r>
          </w:p>
        </w:tc>
        <w:tc>
          <w:tcPr>
            <w:tcW w:w="1320" w:type="dxa"/>
            <w:vAlign w:val="bottom"/>
          </w:tcPr>
          <w:p>
            <w:pPr>
              <w:jc w:val="right"/>
              <w:spacing w:after="0"/>
              <w:rPr>
                <w:sz w:val="20"/>
                <w:szCs w:val="20"/>
                <w:color w:val="auto"/>
              </w:rPr>
            </w:pPr>
            <w:r>
              <w:rPr>
                <w:rFonts w:ascii="Arial" w:cs="Arial" w:eastAsia="Arial" w:hAnsi="Arial"/>
                <w:sz w:val="16"/>
                <w:szCs w:val="16"/>
                <w:color w:val="auto"/>
              </w:rPr>
              <w:t>2,811,698</w:t>
            </w:r>
          </w:p>
        </w:tc>
        <w:tc>
          <w:tcPr>
            <w:tcW w:w="1360" w:type="dxa"/>
            <w:vAlign w:val="bottom"/>
          </w:tcPr>
          <w:p>
            <w:pPr>
              <w:jc w:val="right"/>
              <w:spacing w:after="0"/>
              <w:rPr>
                <w:sz w:val="20"/>
                <w:szCs w:val="20"/>
                <w:color w:val="auto"/>
              </w:rPr>
            </w:pPr>
            <w:r>
              <w:rPr>
                <w:rFonts w:ascii="Arial" w:cs="Arial" w:eastAsia="Arial" w:hAnsi="Arial"/>
                <w:sz w:val="16"/>
                <w:szCs w:val="16"/>
                <w:color w:val="auto"/>
              </w:rPr>
              <w:t>1,474,995</w:t>
            </w:r>
          </w:p>
        </w:tc>
        <w:tc>
          <w:tcPr>
            <w:tcW w:w="1340" w:type="dxa"/>
            <w:vAlign w:val="bottom"/>
          </w:tcPr>
          <w:p>
            <w:pPr>
              <w:jc w:val="right"/>
              <w:spacing w:after="0"/>
              <w:rPr>
                <w:sz w:val="20"/>
                <w:szCs w:val="20"/>
                <w:color w:val="auto"/>
              </w:rPr>
            </w:pPr>
            <w:r>
              <w:rPr>
                <w:rFonts w:ascii="Arial" w:cs="Arial" w:eastAsia="Arial" w:hAnsi="Arial"/>
                <w:sz w:val="16"/>
                <w:szCs w:val="16"/>
                <w:color w:val="auto"/>
              </w:rPr>
              <w:t>18,918</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6,311,862</w:t>
            </w:r>
          </w:p>
        </w:tc>
        <w:tc>
          <w:tcPr>
            <w:tcW w:w="0" w:type="dxa"/>
            <w:vAlign w:val="bottom"/>
          </w:tcPr>
          <w:p>
            <w:pPr>
              <w:spacing w:after="0"/>
              <w:rPr>
                <w:sz w:val="1"/>
                <w:szCs w:val="1"/>
                <w:color w:val="auto"/>
              </w:rPr>
            </w:pPr>
          </w:p>
        </w:tc>
      </w:tr>
      <w:tr>
        <w:trPr>
          <w:trHeight w:val="136"/>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E. Collin Gerry</w:t>
            </w:r>
          </w:p>
        </w:tc>
        <w:tc>
          <w:tcPr>
            <w:tcW w:w="5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860" w:type="dxa"/>
            <w:vAlign w:val="bottom"/>
            <w:vMerge w:val="continue"/>
          </w:tcPr>
          <w:p>
            <w:pPr>
              <w:spacing w:after="0"/>
              <w:rPr>
                <w:sz w:val="15"/>
                <w:szCs w:val="15"/>
                <w:color w:val="auto"/>
              </w:rPr>
            </w:pPr>
          </w:p>
        </w:tc>
        <w:tc>
          <w:tcPr>
            <w:tcW w:w="520" w:type="dxa"/>
            <w:vAlign w:val="bottom"/>
          </w:tcPr>
          <w:p>
            <w:pPr>
              <w:ind w:left="20"/>
              <w:spacing w:after="0" w:line="183" w:lineRule="exact"/>
              <w:rPr>
                <w:sz w:val="20"/>
                <w:szCs w:val="20"/>
                <w:color w:val="auto"/>
              </w:rPr>
            </w:pPr>
            <w:r>
              <w:rPr>
                <w:rFonts w:ascii="Arial" w:cs="Arial" w:eastAsia="Arial" w:hAnsi="Arial"/>
                <w:sz w:val="16"/>
                <w:szCs w:val="16"/>
                <w:color w:val="auto"/>
              </w:rPr>
              <w:t>2025</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380,000</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582,942</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143,383</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16,461</w:t>
            </w:r>
          </w:p>
        </w:tc>
        <w:tc>
          <w:tcPr>
            <w:tcW w:w="1340" w:type="dxa"/>
            <w:vAlign w:val="bottom"/>
          </w:tcPr>
          <w:p>
            <w:pPr>
              <w:jc w:val="right"/>
              <w:ind w:right="1"/>
              <w:spacing w:after="0" w:line="183" w:lineRule="exact"/>
              <w:rPr>
                <w:sz w:val="20"/>
                <w:szCs w:val="20"/>
                <w:color w:val="auto"/>
              </w:rPr>
            </w:pPr>
            <w:r>
              <w:rPr>
                <w:rFonts w:ascii="Arial" w:cs="Arial" w:eastAsia="Arial" w:hAnsi="Arial"/>
                <w:sz w:val="16"/>
                <w:szCs w:val="16"/>
                <w:color w:val="auto"/>
              </w:rPr>
              <w:t>1,122,786</w:t>
            </w:r>
          </w:p>
        </w:tc>
        <w:tc>
          <w:tcPr>
            <w:tcW w:w="0" w:type="dxa"/>
            <w:vAlign w:val="bottom"/>
          </w:tcPr>
          <w:p>
            <w:pPr>
              <w:spacing w:after="0"/>
              <w:rPr>
                <w:sz w:val="1"/>
                <w:szCs w:val="1"/>
                <w:color w:val="auto"/>
              </w:rPr>
            </w:pPr>
          </w:p>
        </w:tc>
      </w:tr>
      <w:tr>
        <w:trPr>
          <w:trHeight w:val="68"/>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Senior Vice President, Chief</w:t>
            </w:r>
          </w:p>
        </w:tc>
        <w:tc>
          <w:tcPr>
            <w:tcW w:w="5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860" w:type="dxa"/>
            <w:vAlign w:val="bottom"/>
            <w:vMerge w:val="continue"/>
          </w:tcPr>
          <w:p>
            <w:pPr>
              <w:spacing w:after="0"/>
              <w:rPr>
                <w:sz w:val="9"/>
                <w:szCs w:val="9"/>
                <w:color w:val="auto"/>
              </w:rPr>
            </w:pPr>
          </w:p>
        </w:tc>
        <w:tc>
          <w:tcPr>
            <w:tcW w:w="520" w:type="dxa"/>
            <w:vAlign w:val="bottom"/>
            <w:vMerge w:val="restart"/>
          </w:tcPr>
          <w:p>
            <w:pPr>
              <w:ind w:left="20"/>
              <w:spacing w:after="0"/>
              <w:rPr>
                <w:sz w:val="20"/>
                <w:szCs w:val="20"/>
                <w:color w:val="auto"/>
              </w:rPr>
            </w:pPr>
            <w:r>
              <w:rPr>
                <w:rFonts w:ascii="Arial" w:cs="Arial" w:eastAsia="Arial" w:hAnsi="Arial"/>
                <w:sz w:val="16"/>
                <w:szCs w:val="16"/>
                <w:color w:val="auto"/>
              </w:rPr>
              <w:t>2024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329,721</w:t>
            </w:r>
          </w:p>
        </w:tc>
        <w:tc>
          <w:tcPr>
            <w:tcW w:w="126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576,235</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119,368</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357,157</w:t>
            </w:r>
          </w:p>
        </w:tc>
        <w:tc>
          <w:tcPr>
            <w:tcW w:w="1340" w:type="dxa"/>
            <w:vAlign w:val="bottom"/>
            <w:vMerge w:val="restart"/>
          </w:tcPr>
          <w:p>
            <w:pPr>
              <w:jc w:val="right"/>
              <w:ind w:right="1"/>
              <w:spacing w:after="0"/>
              <w:rPr>
                <w:sz w:val="20"/>
                <w:szCs w:val="20"/>
                <w:color w:val="auto"/>
              </w:rPr>
            </w:pPr>
            <w:r>
              <w:rPr>
                <w:rFonts w:ascii="Arial" w:cs="Arial" w:eastAsia="Arial" w:hAnsi="Arial"/>
                <w:sz w:val="16"/>
                <w:szCs w:val="16"/>
                <w:color w:val="auto"/>
              </w:rPr>
              <w:t>1,382,481</w:t>
            </w:r>
          </w:p>
        </w:tc>
        <w:tc>
          <w:tcPr>
            <w:tcW w:w="0" w:type="dxa"/>
            <w:vAlign w:val="bottom"/>
          </w:tcPr>
          <w:p>
            <w:pPr>
              <w:spacing w:after="0"/>
              <w:rPr>
                <w:sz w:val="1"/>
                <w:szCs w:val="1"/>
                <w:color w:val="auto"/>
              </w:rPr>
            </w:pPr>
          </w:p>
        </w:tc>
      </w:tr>
      <w:tr>
        <w:trPr>
          <w:trHeight w:val="107"/>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Officer and Treasurer</w:t>
            </w:r>
          </w:p>
        </w:tc>
        <w:tc>
          <w:tcPr>
            <w:tcW w:w="5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8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Andrew S. Fraser </w:t>
            </w:r>
            <w:r>
              <w:rPr>
                <w:rFonts w:ascii="Arial" w:cs="Arial" w:eastAsia="Arial" w:hAnsi="Arial"/>
                <w:sz w:val="21"/>
                <w:szCs w:val="21"/>
                <w:b w:val="1"/>
                <w:bCs w:val="1"/>
                <w:color w:val="006DB6"/>
                <w:vertAlign w:val="superscript"/>
              </w:rPr>
              <w:t>(1)</w:t>
            </w:r>
          </w:p>
        </w:tc>
        <w:tc>
          <w:tcPr>
            <w:tcW w:w="520" w:type="dxa"/>
            <w:vAlign w:val="bottom"/>
          </w:tcPr>
          <w:p>
            <w:pPr>
              <w:ind w:left="20"/>
              <w:spacing w:after="0"/>
              <w:rPr>
                <w:sz w:val="20"/>
                <w:szCs w:val="20"/>
                <w:color w:val="auto"/>
              </w:rPr>
            </w:pPr>
            <w:r>
              <w:rPr>
                <w:rFonts w:ascii="Arial" w:cs="Arial" w:eastAsia="Arial" w:hAnsi="Arial"/>
                <w:sz w:val="16"/>
                <w:szCs w:val="16"/>
                <w:color w:val="auto"/>
              </w:rPr>
              <w:t>2025</w:t>
            </w:r>
          </w:p>
        </w:tc>
        <w:tc>
          <w:tcPr>
            <w:tcW w:w="1240" w:type="dxa"/>
            <w:vAlign w:val="bottom"/>
          </w:tcPr>
          <w:p>
            <w:pPr>
              <w:jc w:val="right"/>
              <w:spacing w:after="0"/>
              <w:rPr>
                <w:sz w:val="20"/>
                <w:szCs w:val="20"/>
                <w:color w:val="auto"/>
              </w:rPr>
            </w:pPr>
            <w:r>
              <w:rPr>
                <w:rFonts w:ascii="Arial" w:cs="Arial" w:eastAsia="Arial" w:hAnsi="Arial"/>
                <w:sz w:val="16"/>
                <w:szCs w:val="16"/>
                <w:color w:val="auto"/>
              </w:rPr>
              <w:t>357,800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531,628</w:t>
            </w:r>
          </w:p>
        </w:tc>
        <w:tc>
          <w:tcPr>
            <w:tcW w:w="1360" w:type="dxa"/>
            <w:vAlign w:val="bottom"/>
          </w:tcPr>
          <w:p>
            <w:pPr>
              <w:jc w:val="right"/>
              <w:spacing w:after="0"/>
              <w:rPr>
                <w:sz w:val="20"/>
                <w:szCs w:val="20"/>
                <w:color w:val="auto"/>
              </w:rPr>
            </w:pPr>
            <w:r>
              <w:rPr>
                <w:rFonts w:ascii="Arial" w:cs="Arial" w:eastAsia="Arial" w:hAnsi="Arial"/>
                <w:sz w:val="16"/>
                <w:szCs w:val="16"/>
                <w:color w:val="auto"/>
              </w:rPr>
              <w:t>105,945</w:t>
            </w:r>
          </w:p>
        </w:tc>
        <w:tc>
          <w:tcPr>
            <w:tcW w:w="1340" w:type="dxa"/>
            <w:vAlign w:val="bottom"/>
          </w:tcPr>
          <w:p>
            <w:pPr>
              <w:jc w:val="right"/>
              <w:spacing w:after="0"/>
              <w:rPr>
                <w:sz w:val="20"/>
                <w:szCs w:val="20"/>
                <w:color w:val="auto"/>
              </w:rPr>
            </w:pPr>
            <w:r>
              <w:rPr>
                <w:rFonts w:ascii="Arial" w:cs="Arial" w:eastAsia="Arial" w:hAnsi="Arial"/>
                <w:sz w:val="16"/>
                <w:szCs w:val="16"/>
                <w:color w:val="auto"/>
              </w:rPr>
              <w:t>20,209</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1,015,582</w:t>
            </w:r>
          </w:p>
        </w:tc>
        <w:tc>
          <w:tcPr>
            <w:tcW w:w="0" w:type="dxa"/>
            <w:vAlign w:val="bottom"/>
          </w:tcPr>
          <w:p>
            <w:pPr>
              <w:spacing w:after="0"/>
              <w:rPr>
                <w:sz w:val="1"/>
                <w:szCs w:val="1"/>
                <w:color w:val="auto"/>
              </w:rPr>
            </w:pPr>
          </w:p>
        </w:tc>
      </w:tr>
      <w:tr>
        <w:trPr>
          <w:trHeight w:val="269"/>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Senior Vice President, Canada</w:t>
            </w:r>
          </w:p>
        </w:tc>
        <w:tc>
          <w:tcPr>
            <w:tcW w:w="520" w:type="dxa"/>
            <w:vAlign w:val="bottom"/>
          </w:tcPr>
          <w:p>
            <w:pPr>
              <w:ind w:left="20"/>
              <w:spacing w:after="0"/>
              <w:rPr>
                <w:sz w:val="20"/>
                <w:szCs w:val="20"/>
                <w:color w:val="auto"/>
              </w:rPr>
            </w:pPr>
            <w:r>
              <w:rPr>
                <w:rFonts w:ascii="Arial" w:cs="Arial" w:eastAsia="Arial" w:hAnsi="Arial"/>
                <w:sz w:val="16"/>
                <w:szCs w:val="16"/>
                <w:color w:val="auto"/>
              </w:rPr>
              <w:t>2024</w:t>
            </w:r>
          </w:p>
        </w:tc>
        <w:tc>
          <w:tcPr>
            <w:tcW w:w="1240" w:type="dxa"/>
            <w:vAlign w:val="bottom"/>
          </w:tcPr>
          <w:p>
            <w:pPr>
              <w:jc w:val="right"/>
              <w:spacing w:after="0"/>
              <w:rPr>
                <w:sz w:val="20"/>
                <w:szCs w:val="20"/>
                <w:color w:val="auto"/>
              </w:rPr>
            </w:pPr>
            <w:r>
              <w:rPr>
                <w:rFonts w:ascii="Arial" w:cs="Arial" w:eastAsia="Arial" w:hAnsi="Arial"/>
                <w:sz w:val="16"/>
                <w:szCs w:val="16"/>
                <w:color w:val="auto"/>
              </w:rPr>
              <w:t>131,699</w:t>
            </w:r>
          </w:p>
        </w:tc>
        <w:tc>
          <w:tcPr>
            <w:tcW w:w="1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549,003</w:t>
            </w:r>
          </w:p>
        </w:tc>
        <w:tc>
          <w:tcPr>
            <w:tcW w:w="1360" w:type="dxa"/>
            <w:vAlign w:val="bottom"/>
          </w:tcPr>
          <w:p>
            <w:pPr>
              <w:jc w:val="right"/>
              <w:spacing w:after="0"/>
              <w:rPr>
                <w:sz w:val="20"/>
                <w:szCs w:val="20"/>
                <w:color w:val="auto"/>
              </w:rPr>
            </w:pPr>
            <w:r>
              <w:rPr>
                <w:rFonts w:ascii="Arial" w:cs="Arial" w:eastAsia="Arial" w:hAnsi="Arial"/>
                <w:sz w:val="16"/>
                <w:szCs w:val="16"/>
                <w:color w:val="auto"/>
              </w:rPr>
              <w:t>51,874</w:t>
            </w:r>
          </w:p>
        </w:tc>
        <w:tc>
          <w:tcPr>
            <w:tcW w:w="1340" w:type="dxa"/>
            <w:vAlign w:val="bottom"/>
          </w:tcPr>
          <w:p>
            <w:pPr>
              <w:jc w:val="right"/>
              <w:spacing w:after="0"/>
              <w:rPr>
                <w:sz w:val="20"/>
                <w:szCs w:val="20"/>
                <w:color w:val="auto"/>
              </w:rPr>
            </w:pPr>
            <w:r>
              <w:rPr>
                <w:rFonts w:ascii="Arial" w:cs="Arial" w:eastAsia="Arial" w:hAnsi="Arial"/>
                <w:sz w:val="16"/>
                <w:szCs w:val="16"/>
                <w:color w:val="auto"/>
              </w:rPr>
              <w:t>6,108</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738,684</w:t>
            </w:r>
          </w:p>
        </w:tc>
        <w:tc>
          <w:tcPr>
            <w:tcW w:w="0" w:type="dxa"/>
            <w:vAlign w:val="bottom"/>
          </w:tcPr>
          <w:p>
            <w:pPr>
              <w:spacing w:after="0"/>
              <w:rPr>
                <w:sz w:val="1"/>
                <w:szCs w:val="1"/>
                <w:color w:val="auto"/>
              </w:rPr>
            </w:pPr>
          </w:p>
        </w:tc>
      </w:tr>
      <w:tr>
        <w:trPr>
          <w:trHeight w:val="151"/>
        </w:trPr>
        <w:tc>
          <w:tcPr>
            <w:tcW w:w="2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Peter L. McCann </w:t>
            </w:r>
            <w:r>
              <w:rPr>
                <w:rFonts w:ascii="Arial" w:cs="Arial" w:eastAsia="Arial" w:hAnsi="Arial"/>
                <w:sz w:val="21"/>
                <w:szCs w:val="21"/>
                <w:b w:val="1"/>
                <w:bCs w:val="1"/>
                <w:color w:val="006DB6"/>
                <w:vertAlign w:val="superscript"/>
              </w:rPr>
              <w:t>(2)</w:t>
            </w:r>
          </w:p>
        </w:tc>
        <w:tc>
          <w:tcPr>
            <w:tcW w:w="520" w:type="dxa"/>
            <w:vAlign w:val="bottom"/>
          </w:tcPr>
          <w:p>
            <w:pPr>
              <w:ind w:left="20"/>
              <w:spacing w:after="0"/>
              <w:rPr>
                <w:sz w:val="20"/>
                <w:szCs w:val="20"/>
                <w:color w:val="auto"/>
              </w:rPr>
            </w:pPr>
            <w:r>
              <w:rPr>
                <w:rFonts w:ascii="Arial" w:cs="Arial" w:eastAsia="Arial" w:hAnsi="Arial"/>
                <w:sz w:val="16"/>
                <w:szCs w:val="16"/>
                <w:color w:val="auto"/>
              </w:rPr>
              <w:t>2025</w:t>
            </w:r>
          </w:p>
        </w:tc>
        <w:tc>
          <w:tcPr>
            <w:tcW w:w="1240" w:type="dxa"/>
            <w:vAlign w:val="bottom"/>
          </w:tcPr>
          <w:p>
            <w:pPr>
              <w:jc w:val="right"/>
              <w:spacing w:after="0"/>
              <w:rPr>
                <w:sz w:val="20"/>
                <w:szCs w:val="20"/>
                <w:color w:val="auto"/>
              </w:rPr>
            </w:pPr>
            <w:r>
              <w:rPr>
                <w:rFonts w:ascii="Arial" w:cs="Arial" w:eastAsia="Arial" w:hAnsi="Arial"/>
                <w:sz w:val="16"/>
                <w:szCs w:val="16"/>
                <w:color w:val="auto"/>
              </w:rPr>
              <w:t>322,400</w:t>
            </w:r>
          </w:p>
        </w:tc>
        <w:tc>
          <w:tcPr>
            <w:tcW w:w="1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478,474</w:t>
            </w:r>
          </w:p>
        </w:tc>
        <w:tc>
          <w:tcPr>
            <w:tcW w:w="1360" w:type="dxa"/>
            <w:vAlign w:val="bottom"/>
          </w:tcPr>
          <w:p>
            <w:pPr>
              <w:jc w:val="right"/>
              <w:spacing w:after="0"/>
              <w:rPr>
                <w:sz w:val="20"/>
                <w:szCs w:val="20"/>
                <w:color w:val="auto"/>
              </w:rPr>
            </w:pPr>
            <w:r>
              <w:rPr>
                <w:rFonts w:ascii="Arial" w:cs="Arial" w:eastAsia="Arial" w:hAnsi="Arial"/>
                <w:sz w:val="16"/>
                <w:szCs w:val="16"/>
                <w:color w:val="auto"/>
              </w:rPr>
              <w:t>195,991</w:t>
            </w:r>
          </w:p>
        </w:tc>
        <w:tc>
          <w:tcPr>
            <w:tcW w:w="1340" w:type="dxa"/>
            <w:vAlign w:val="bottom"/>
          </w:tcPr>
          <w:p>
            <w:pPr>
              <w:jc w:val="right"/>
              <w:spacing w:after="0"/>
              <w:rPr>
                <w:sz w:val="20"/>
                <w:szCs w:val="20"/>
                <w:color w:val="auto"/>
              </w:rPr>
            </w:pPr>
            <w:r>
              <w:rPr>
                <w:rFonts w:ascii="Arial" w:cs="Arial" w:eastAsia="Arial" w:hAnsi="Arial"/>
                <w:sz w:val="16"/>
                <w:szCs w:val="16"/>
                <w:color w:val="auto"/>
              </w:rPr>
              <w:t>18,938</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1,015,803</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Senior Vice President, Australia</w:t>
            </w: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860" w:type="dxa"/>
            <w:vAlign w:val="bottom"/>
            <w:vMerge w:val="continue"/>
          </w:tcPr>
          <w:p>
            <w:pPr>
              <w:spacing w:after="0"/>
              <w:rPr>
                <w:sz w:val="13"/>
                <w:szCs w:val="13"/>
                <w:color w:val="auto"/>
              </w:rPr>
            </w:pPr>
          </w:p>
        </w:tc>
        <w:tc>
          <w:tcPr>
            <w:tcW w:w="520" w:type="dxa"/>
            <w:vAlign w:val="bottom"/>
            <w:vMerge w:val="restart"/>
          </w:tcPr>
          <w:p>
            <w:pPr>
              <w:ind w:left="20"/>
              <w:spacing w:after="0"/>
              <w:rPr>
                <w:sz w:val="20"/>
                <w:szCs w:val="20"/>
                <w:color w:val="auto"/>
              </w:rPr>
            </w:pPr>
            <w:r>
              <w:rPr>
                <w:rFonts w:ascii="Arial" w:cs="Arial" w:eastAsia="Arial" w:hAnsi="Arial"/>
                <w:sz w:val="16"/>
                <w:szCs w:val="16"/>
                <w:color w:val="auto"/>
              </w:rPr>
              <w:t>2024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313,358</w:t>
            </w:r>
          </w:p>
        </w:tc>
        <w:tc>
          <w:tcPr>
            <w:tcW w:w="12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498,428</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269,058</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18,911</w:t>
            </w:r>
          </w:p>
        </w:tc>
        <w:tc>
          <w:tcPr>
            <w:tcW w:w="1340" w:type="dxa"/>
            <w:vAlign w:val="bottom"/>
            <w:vMerge w:val="restart"/>
          </w:tcPr>
          <w:p>
            <w:pPr>
              <w:jc w:val="right"/>
              <w:ind w:right="1"/>
              <w:spacing w:after="0"/>
              <w:rPr>
                <w:sz w:val="20"/>
                <w:szCs w:val="20"/>
                <w:color w:val="auto"/>
              </w:rPr>
            </w:pPr>
            <w:r>
              <w:rPr>
                <w:rFonts w:ascii="Arial" w:cs="Arial" w:eastAsia="Arial" w:hAnsi="Arial"/>
                <w:sz w:val="16"/>
                <w:szCs w:val="16"/>
                <w:color w:val="auto"/>
              </w:rPr>
              <w:t>1,099,755</w:t>
            </w:r>
          </w:p>
        </w:tc>
        <w:tc>
          <w:tcPr>
            <w:tcW w:w="0" w:type="dxa"/>
            <w:vAlign w:val="bottom"/>
          </w:tcPr>
          <w:p>
            <w:pPr>
              <w:spacing w:after="0"/>
              <w:rPr>
                <w:sz w:val="1"/>
                <w:szCs w:val="1"/>
                <w:color w:val="auto"/>
              </w:rPr>
            </w:pPr>
          </w:p>
        </w:tc>
      </w:tr>
      <w:tr>
        <w:trPr>
          <w:trHeight w:val="55"/>
        </w:trPr>
        <w:tc>
          <w:tcPr>
            <w:tcW w:w="28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2023</w:t>
            </w:r>
          </w:p>
        </w:tc>
        <w:tc>
          <w:tcPr>
            <w:tcW w:w="1240" w:type="dxa"/>
            <w:vAlign w:val="bottom"/>
          </w:tcPr>
          <w:p>
            <w:pPr>
              <w:jc w:val="right"/>
              <w:spacing w:after="0"/>
              <w:rPr>
                <w:sz w:val="20"/>
                <w:szCs w:val="20"/>
                <w:color w:val="auto"/>
              </w:rPr>
            </w:pPr>
            <w:r>
              <w:rPr>
                <w:rFonts w:ascii="Arial" w:cs="Arial" w:eastAsia="Arial" w:hAnsi="Arial"/>
                <w:sz w:val="16"/>
                <w:szCs w:val="16"/>
                <w:color w:val="auto"/>
              </w:rPr>
              <w:t>299,070</w:t>
            </w:r>
          </w:p>
        </w:tc>
        <w:tc>
          <w:tcPr>
            <w:tcW w:w="1260" w:type="dxa"/>
            <w:vAlign w:val="bottom"/>
          </w:tcPr>
          <w:p>
            <w:pPr>
              <w:jc w:val="right"/>
              <w:spacing w:after="0"/>
              <w:rPr>
                <w:sz w:val="20"/>
                <w:szCs w:val="20"/>
                <w:color w:val="auto"/>
              </w:rPr>
            </w:pPr>
            <w:r>
              <w:rPr>
                <w:rFonts w:ascii="Arial" w:cs="Arial" w:eastAsia="Arial" w:hAnsi="Arial"/>
                <w:sz w:val="16"/>
                <w:szCs w:val="16"/>
                <w:color w:val="auto"/>
              </w:rPr>
              <w:t>178,133</w:t>
            </w:r>
          </w:p>
        </w:tc>
        <w:tc>
          <w:tcPr>
            <w:tcW w:w="1320" w:type="dxa"/>
            <w:vAlign w:val="bottom"/>
          </w:tcPr>
          <w:p>
            <w:pPr>
              <w:jc w:val="right"/>
              <w:spacing w:after="0"/>
              <w:rPr>
                <w:sz w:val="20"/>
                <w:szCs w:val="20"/>
                <w:color w:val="auto"/>
              </w:rPr>
            </w:pPr>
            <w:r>
              <w:rPr>
                <w:rFonts w:ascii="Arial" w:cs="Arial" w:eastAsia="Arial" w:hAnsi="Arial"/>
                <w:sz w:val="16"/>
                <w:szCs w:val="16"/>
                <w:color w:val="auto"/>
              </w:rPr>
              <w:t>437,718</w:t>
            </w:r>
          </w:p>
        </w:tc>
        <w:tc>
          <w:tcPr>
            <w:tcW w:w="1360" w:type="dxa"/>
            <w:vAlign w:val="bottom"/>
          </w:tcPr>
          <w:p>
            <w:pPr>
              <w:jc w:val="right"/>
              <w:spacing w:after="0"/>
              <w:rPr>
                <w:sz w:val="20"/>
                <w:szCs w:val="20"/>
                <w:color w:val="auto"/>
              </w:rPr>
            </w:pPr>
            <w:r>
              <w:rPr>
                <w:rFonts w:ascii="Arial" w:cs="Arial" w:eastAsia="Arial" w:hAnsi="Arial"/>
                <w:sz w:val="16"/>
                <w:szCs w:val="16"/>
                <w:color w:val="auto"/>
              </w:rPr>
              <w:t>358,060</w:t>
            </w:r>
          </w:p>
        </w:tc>
        <w:tc>
          <w:tcPr>
            <w:tcW w:w="1340" w:type="dxa"/>
            <w:vAlign w:val="bottom"/>
          </w:tcPr>
          <w:p>
            <w:pPr>
              <w:jc w:val="right"/>
              <w:spacing w:after="0"/>
              <w:rPr>
                <w:sz w:val="20"/>
                <w:szCs w:val="20"/>
                <w:color w:val="auto"/>
              </w:rPr>
            </w:pPr>
            <w:r>
              <w:rPr>
                <w:rFonts w:ascii="Arial" w:cs="Arial" w:eastAsia="Arial" w:hAnsi="Arial"/>
                <w:sz w:val="16"/>
                <w:szCs w:val="16"/>
                <w:color w:val="auto"/>
              </w:rPr>
              <w:t>18,210</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1,291,191</w:t>
            </w:r>
          </w:p>
        </w:tc>
        <w:tc>
          <w:tcPr>
            <w:tcW w:w="0" w:type="dxa"/>
            <w:vAlign w:val="bottom"/>
          </w:tcPr>
          <w:p>
            <w:pPr>
              <w:spacing w:after="0"/>
              <w:rPr>
                <w:sz w:val="1"/>
                <w:szCs w:val="1"/>
                <w:color w:val="auto"/>
              </w:rPr>
            </w:pPr>
          </w:p>
        </w:tc>
      </w:tr>
      <w:tr>
        <w:trPr>
          <w:trHeight w:val="136"/>
        </w:trPr>
        <w:tc>
          <w:tcPr>
            <w:tcW w:w="2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60" w:hanging="252"/>
        <w:spacing w:after="0" w:line="305"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Compensation reported for Mr. Fraser, other than share awards, was paid in Canadian dollars and is reflected in this table in U.S. dollars using the average exchange rate for each year. The U.S. dollar to Canadian dollar average exchange rate for 2025, 2024 and 2023 was $0.7156, $0.7301 and $0.7411 respectively.</w:t>
      </w:r>
    </w:p>
    <w:p>
      <w:pPr>
        <w:spacing w:after="0" w:line="49" w:lineRule="exact"/>
        <w:rPr>
          <w:rFonts w:ascii="Arial" w:cs="Arial" w:eastAsia="Arial" w:hAnsi="Arial"/>
          <w:sz w:val="9"/>
          <w:szCs w:val="9"/>
          <w:color w:val="auto"/>
        </w:rPr>
      </w:pPr>
    </w:p>
    <w:p>
      <w:pPr>
        <w:ind w:left="260" w:right="20" w:hanging="252"/>
        <w:spacing w:after="0" w:line="231"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Compensation reported for Mr. McCann, other than share awards, was paid in Australian dollars and is reflected in this table in U.S. dollars using the average exchange rate for each year. The U.S. dollar to Australian dollar average exchange rate for 2025, 2024, and 2023 was $0.6448, $0.6597, and $0.6646 respectively.</w:t>
      </w:r>
    </w:p>
    <w:p>
      <w:pPr>
        <w:spacing w:after="0" w:line="93" w:lineRule="exact"/>
        <w:rPr>
          <w:rFonts w:ascii="Arial" w:cs="Arial" w:eastAsia="Arial" w:hAnsi="Arial"/>
          <w:sz w:val="19"/>
          <w:szCs w:val="19"/>
          <w:color w:val="auto"/>
          <w:vertAlign w:val="superscript"/>
        </w:rPr>
      </w:pPr>
    </w:p>
    <w:p>
      <w:pPr>
        <w:ind w:left="260" w:right="20" w:hanging="252"/>
        <w:spacing w:after="0" w:line="248"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This column reflects the aggregate grant date fair value of performance shares and phantom share units, as applicable, granted in each year shown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and does not necessarily correspond to the actual value that will be recognized by the NEOs. Pursuant to SEC rules, the amounts shown exclude the impact of estimated forfeitures related to service-based vesting conditions. See Note 17 to Civeo’s consolidated financial statements included in its Annual Report on Form 10-K for the fiscal year ended December 31, 2025 for additional detail regarding assumptions underlying the value of these awards. If the maximum performance level were achieved for the performance shares included in this column, the following amounts, including phantom share units, would have been included for Messrs. Dodson, Gerry, Fraser and McCann respectively in 2025, $4,271,286, $969,048</w:t>
      </w:r>
      <w:r>
        <w:rPr>
          <w:rFonts w:ascii="Arial" w:cs="Arial" w:eastAsia="Arial" w:hAnsi="Arial"/>
          <w:sz w:val="16"/>
          <w:szCs w:val="16"/>
          <w:color w:val="auto"/>
        </w:rPr>
        <w:t>,</w:t>
      </w:r>
      <w:r>
        <w:rPr>
          <w:rFonts w:ascii="Arial" w:cs="Arial" w:eastAsia="Arial" w:hAnsi="Arial"/>
          <w:sz w:val="14"/>
          <w:szCs w:val="14"/>
          <w:color w:val="auto"/>
        </w:rPr>
        <w:t xml:space="preserve"> $883,735 </w:t>
      </w:r>
      <w:r>
        <w:rPr>
          <w:rFonts w:ascii="Arial" w:cs="Arial" w:eastAsia="Arial" w:hAnsi="Arial"/>
          <w:sz w:val="16"/>
          <w:szCs w:val="16"/>
          <w:color w:val="auto"/>
        </w:rPr>
        <w:t>and</w:t>
      </w:r>
      <w:r>
        <w:rPr>
          <w:rFonts w:ascii="Arial" w:cs="Arial" w:eastAsia="Arial" w:hAnsi="Arial"/>
          <w:sz w:val="14"/>
          <w:szCs w:val="14"/>
          <w:color w:val="auto"/>
        </w:rPr>
        <w:t xml:space="preserve"> $795,373.</w:t>
      </w:r>
    </w:p>
    <w:p>
      <w:pPr>
        <w:spacing w:after="0" w:line="97" w:lineRule="exact"/>
        <w:rPr>
          <w:rFonts w:ascii="Arial" w:cs="Arial" w:eastAsia="Arial" w:hAnsi="Arial"/>
          <w:sz w:val="19"/>
          <w:szCs w:val="19"/>
          <w:color w:val="auto"/>
          <w:vertAlign w:val="superscript"/>
        </w:rPr>
      </w:pPr>
    </w:p>
    <w:p>
      <w:pPr>
        <w:ind w:left="260" w:right="620" w:hanging="252"/>
        <w:spacing w:after="0" w:line="234"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Amounts for “Non-Equity Incentive Plan Compensation” were earned for the applicable fiscal year pursuant to Civeo’s AICP and were paid to each of the NEOs, as applicable, in 2026, 2025 and 2024, respectively. For a description of Civeo’s 2025 AICP, see “Compensation Discussion and Analysis—Compensation Program Components—Annual Incentive Compensation Plan.”</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“All Other Compensation” column reflect the following for each NEO for 2025:</w:t>
      </w:r>
    </w:p>
    <w:p>
      <w:pPr>
        <w:spacing w:after="0" w:line="138" w:lineRule="exact"/>
        <w:rPr>
          <w:sz w:val="20"/>
          <w:szCs w:val="20"/>
          <w:color w:val="auto"/>
        </w:rPr>
      </w:pPr>
    </w:p>
    <w:tbl>
      <w:tblPr>
        <w:tblLayout w:type="fixed"/>
        <w:tblInd w:w="26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706F6F"/>
              </w:rPr>
              <w:t>Retirement</w:t>
            </w:r>
          </w:p>
        </w:tc>
        <w:tc>
          <w:tcPr>
            <w:tcW w:w="1040" w:type="dxa"/>
            <w:vAlign w:val="bottom"/>
          </w:tcPr>
          <w:p>
            <w:pPr>
              <w:ind w:left="160"/>
              <w:spacing w:after="0"/>
              <w:rPr>
                <w:sz w:val="20"/>
                <w:szCs w:val="20"/>
                <w:color w:val="auto"/>
              </w:rPr>
            </w:pPr>
            <w:r>
              <w:rPr>
                <w:rFonts w:ascii="Arial" w:cs="Arial" w:eastAsia="Arial" w:hAnsi="Arial"/>
                <w:sz w:val="13"/>
                <w:szCs w:val="13"/>
                <w:b w:val="1"/>
                <w:bCs w:val="1"/>
                <w:color w:val="706F6F"/>
                <w:w w:val="97"/>
              </w:rPr>
              <w:t>Life Insurance</w:t>
            </w:r>
          </w:p>
        </w:tc>
        <w:tc>
          <w:tcPr>
            <w:tcW w:w="1120" w:type="dxa"/>
            <w:vAlign w:val="bottom"/>
          </w:tcPr>
          <w:p>
            <w:pPr>
              <w:spacing w:after="0"/>
              <w:rPr>
                <w:sz w:val="12"/>
                <w:szCs w:val="12"/>
                <w:color w:val="auto"/>
              </w:rPr>
            </w:pPr>
          </w:p>
        </w:tc>
      </w:tr>
      <w:tr>
        <w:trPr>
          <w:trHeight w:val="148"/>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706F6F"/>
              </w:rPr>
              <w:t>Plan Match</w:t>
            </w:r>
          </w:p>
        </w:tc>
        <w:tc>
          <w:tcPr>
            <w:tcW w:w="1040" w:type="dxa"/>
            <w:vAlign w:val="bottom"/>
          </w:tcPr>
          <w:p>
            <w:pPr>
              <w:ind w:left="160"/>
              <w:spacing w:after="0"/>
              <w:rPr>
                <w:sz w:val="20"/>
                <w:szCs w:val="20"/>
                <w:color w:val="auto"/>
              </w:rPr>
            </w:pPr>
            <w:r>
              <w:rPr>
                <w:rFonts w:ascii="Arial" w:cs="Arial" w:eastAsia="Arial" w:hAnsi="Arial"/>
                <w:sz w:val="13"/>
                <w:szCs w:val="13"/>
                <w:b w:val="1"/>
                <w:bCs w:val="1"/>
                <w:color w:val="706F6F"/>
              </w:rPr>
              <w:t>Benefits</w:t>
            </w:r>
          </w:p>
        </w:tc>
        <w:tc>
          <w:tcPr>
            <w:tcW w:w="1120" w:type="dxa"/>
            <w:vAlign w:val="bottom"/>
          </w:tcPr>
          <w:p>
            <w:pPr>
              <w:ind w:left="40"/>
              <w:spacing w:after="0"/>
              <w:rPr>
                <w:sz w:val="20"/>
                <w:szCs w:val="20"/>
                <w:color w:val="auto"/>
              </w:rPr>
            </w:pPr>
            <w:r>
              <w:rPr>
                <w:rFonts w:ascii="Arial" w:cs="Arial" w:eastAsia="Arial" w:hAnsi="Arial"/>
                <w:sz w:val="13"/>
                <w:szCs w:val="13"/>
                <w:b w:val="1"/>
                <w:bCs w:val="1"/>
                <w:color w:val="706F6F"/>
              </w:rPr>
              <w:t>Total</w:t>
            </w:r>
          </w:p>
        </w:tc>
      </w:tr>
      <w:tr>
        <w:trPr>
          <w:trHeight w:val="214"/>
        </w:trPr>
        <w:tc>
          <w:tcPr>
            <w:tcW w:w="156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Name</w:t>
            </w:r>
          </w:p>
        </w:tc>
        <w:tc>
          <w:tcPr>
            <w:tcW w:w="840" w:type="dxa"/>
            <w:vAlign w:val="bottom"/>
            <w:tcBorders>
              <w:bottom w:val="single" w:sz="8" w:color="006DB6"/>
            </w:tcBorders>
          </w:tcPr>
          <w:p>
            <w:pPr>
              <w:ind w:left="280"/>
              <w:spacing w:after="0"/>
              <w:rPr>
                <w:sz w:val="20"/>
                <w:szCs w:val="20"/>
                <w:color w:val="auto"/>
              </w:rPr>
            </w:pPr>
            <w:r>
              <w:rPr>
                <w:rFonts w:ascii="Arial" w:cs="Arial" w:eastAsia="Arial" w:hAnsi="Arial"/>
                <w:sz w:val="13"/>
                <w:szCs w:val="13"/>
                <w:b w:val="1"/>
                <w:bCs w:val="1"/>
                <w:color w:val="706F6F"/>
              </w:rPr>
              <w:t>Year</w:t>
            </w:r>
          </w:p>
        </w:tc>
        <w:tc>
          <w:tcPr>
            <w:tcW w:w="1100" w:type="dxa"/>
            <w:vAlign w:val="bottom"/>
            <w:tcBorders>
              <w:bottom w:val="single" w:sz="8" w:color="006DB6"/>
            </w:tcBorders>
          </w:tcPr>
          <w:p>
            <w:pPr>
              <w:ind w:left="220"/>
              <w:spacing w:after="0" w:line="207"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8"/>
                <w:szCs w:val="8"/>
                <w:b w:val="1"/>
                <w:bCs w:val="1"/>
                <w:color w:val="706F6F"/>
              </w:rPr>
              <w:t>(a)</w:t>
            </w:r>
          </w:p>
        </w:tc>
        <w:tc>
          <w:tcPr>
            <w:tcW w:w="1040" w:type="dxa"/>
            <w:vAlign w:val="bottom"/>
            <w:tcBorders>
              <w:bottom w:val="single" w:sz="8" w:color="006DB6"/>
            </w:tcBorders>
          </w:tcPr>
          <w:p>
            <w:pPr>
              <w:ind w:left="160"/>
              <w:spacing w:after="0" w:line="207"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8"/>
                <w:szCs w:val="8"/>
                <w:b w:val="1"/>
                <w:bCs w:val="1"/>
                <w:color w:val="706F6F"/>
              </w:rPr>
              <w:t>(b)</w:t>
            </w:r>
          </w:p>
        </w:tc>
        <w:tc>
          <w:tcPr>
            <w:tcW w:w="1120" w:type="dxa"/>
            <w:vAlign w:val="bottom"/>
            <w:tcBorders>
              <w:bottom w:val="single" w:sz="8" w:color="006DB6"/>
            </w:tcBorders>
          </w:tcPr>
          <w:p>
            <w:pPr>
              <w:ind w:left="40"/>
              <w:spacing w:after="0"/>
              <w:rPr>
                <w:sz w:val="20"/>
                <w:szCs w:val="20"/>
                <w:color w:val="auto"/>
              </w:rPr>
            </w:pPr>
            <w:r>
              <w:rPr>
                <w:rFonts w:ascii="Arial" w:cs="Arial" w:eastAsia="Arial" w:hAnsi="Arial"/>
                <w:sz w:val="13"/>
                <w:szCs w:val="13"/>
                <w:b w:val="1"/>
                <w:bCs w:val="1"/>
                <w:color w:val="706F6F"/>
              </w:rPr>
              <w:t>($)</w:t>
            </w: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Bradley J. Dodson</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2025</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17,500</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2,988</w:t>
            </w: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20,488</w:t>
            </w: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E. Collin Gerry</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2025</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14,738</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1,723</w:t>
            </w: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16,461</w:t>
            </w: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Andrew S. Fraser</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2025</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20,209</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20,209</w:t>
            </w: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Peter L. McCann</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2025</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18,938</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18,938</w:t>
            </w:r>
          </w:p>
        </w:tc>
      </w:tr>
    </w:tbl>
    <w:p>
      <w:pPr>
        <w:spacing w:after="0" w:line="315" w:lineRule="exact"/>
        <w:rPr>
          <w:sz w:val="20"/>
          <w:szCs w:val="20"/>
          <w:color w:val="auto"/>
        </w:rPr>
      </w:pPr>
    </w:p>
    <w:p>
      <w:pPr>
        <w:ind w:left="520" w:right="200" w:hanging="253"/>
        <w:spacing w:after="0" w:line="283" w:lineRule="auto"/>
        <w:tabs>
          <w:tab w:leader="none" w:pos="537" w:val="left"/>
        </w:tabs>
        <w:numPr>
          <w:ilvl w:val="0"/>
          <w:numId w:val="48"/>
        </w:numPr>
        <w:rPr>
          <w:rFonts w:ascii="Arial" w:cs="Arial" w:eastAsia="Arial" w:hAnsi="Arial"/>
          <w:sz w:val="9"/>
          <w:szCs w:val="9"/>
          <w:color w:val="auto"/>
        </w:rPr>
      </w:pPr>
      <w:r>
        <w:rPr>
          <w:rFonts w:ascii="Arial" w:cs="Arial" w:eastAsia="Arial" w:hAnsi="Arial"/>
          <w:sz w:val="14"/>
          <w:szCs w:val="14"/>
          <w:color w:val="auto"/>
        </w:rPr>
        <w:t>Represents the matching contributions allocated by Civeo, as applicable, to Messrs. Dodson, Gerry and Fraser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w:t>
      </w:r>
    </w:p>
    <w:p>
      <w:pPr>
        <w:ind w:left="520" w:hanging="253"/>
        <w:spacing w:after="0"/>
        <w:tabs>
          <w:tab w:leader="none" w:pos="52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Represents Company-paid premiums for life insurance benefits.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Grants of Plan Based Awards for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equity and non-equity awards granted to our NEOs in 2025.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706F6F"/>
              </w:rPr>
              <w:t>All Other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706F6F"/>
              </w:rPr>
              <w:t>Stock</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Grant</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706F6F"/>
              </w:rPr>
              <w:t>Estimated Future Payouts</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706F6F"/>
              </w:rPr>
              <w:t>Awards: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2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706F6F"/>
              </w:rPr>
              <w:t>Estimated Future Payouts Under</w:t>
            </w: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706F6F"/>
              </w:rPr>
              <w:t>Number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Date</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180" w:type="dxa"/>
            <w:vAlign w:val="bottom"/>
            <w:gridSpan w:val="3"/>
            <w:vMerge w:val="restart"/>
          </w:tcPr>
          <w:p>
            <w:pPr>
              <w:jc w:val="right"/>
              <w:ind w:right="160"/>
              <w:spacing w:after="0" w:line="159" w:lineRule="exact"/>
              <w:rPr>
                <w:sz w:val="20"/>
                <w:szCs w:val="20"/>
                <w:color w:val="auto"/>
              </w:rPr>
            </w:pPr>
            <w:r>
              <w:rPr>
                <w:rFonts w:ascii="Arial" w:cs="Arial" w:eastAsia="Arial" w:hAnsi="Arial"/>
                <w:sz w:val="14"/>
                <w:szCs w:val="14"/>
                <w:b w:val="1"/>
                <w:bCs w:val="1"/>
                <w:color w:val="706F6F"/>
              </w:rPr>
              <w:t>Under Non-Equity Incentive</w:t>
            </w:r>
          </w:p>
        </w:tc>
        <w:tc>
          <w:tcPr>
            <w:tcW w:w="2640" w:type="dxa"/>
            <w:vAlign w:val="bottom"/>
            <w:gridSpan w:val="3"/>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2640" w:type="dxa"/>
            <w:vAlign w:val="bottom"/>
            <w:gridSpan w:val="3"/>
            <w:vMerge w:val="continue"/>
          </w:tcPr>
          <w:p>
            <w:pPr>
              <w:spacing w:after="0"/>
              <w:rPr>
                <w:sz w:val="6"/>
                <w:szCs w:val="6"/>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706F6F"/>
              </w:rPr>
              <w:t>Shares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Fair Value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706F6F"/>
              </w:rPr>
              <w:t>Plan Awards</w:t>
            </w:r>
            <w:r>
              <w:rPr>
                <w:rFonts w:ascii="Arial" w:cs="Arial" w:eastAsia="Arial" w:hAnsi="Arial"/>
                <w:sz w:val="18"/>
                <w:szCs w:val="18"/>
                <w:b w:val="1"/>
                <w:bCs w:val="1"/>
                <w:color w:val="706F6F"/>
                <w:vertAlign w:val="superscript"/>
              </w:rPr>
              <w:t>(1)</w:t>
            </w:r>
          </w:p>
        </w:tc>
        <w:tc>
          <w:tcPr>
            <w:tcW w:w="264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706F6F"/>
              </w:rPr>
              <w:t>Equity Incentive Plan Awards</w:t>
            </w:r>
            <w:r>
              <w:rPr>
                <w:rFonts w:ascii="Arial" w:cs="Arial" w:eastAsia="Arial" w:hAnsi="Arial"/>
                <w:sz w:val="18"/>
                <w:szCs w:val="18"/>
                <w:b w:val="1"/>
                <w:bCs w:val="1"/>
                <w:color w:val="706F6F"/>
                <w:vertAlign w:val="superscript"/>
              </w:rPr>
              <w:t>(2)</w:t>
            </w:r>
          </w:p>
        </w:tc>
        <w:tc>
          <w:tcPr>
            <w:tcW w:w="12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Borders>
              <w:bottom w:val="single" w:sz="8" w:color="006DB6"/>
            </w:tcBorders>
          </w:tcPr>
          <w:p>
            <w:pPr>
              <w:spacing w:after="0"/>
              <w:rPr>
                <w:sz w:val="5"/>
                <w:szCs w:val="5"/>
                <w:color w:val="auto"/>
              </w:rPr>
            </w:pPr>
          </w:p>
        </w:tc>
        <w:tc>
          <w:tcPr>
            <w:tcW w:w="960" w:type="dxa"/>
            <w:vAlign w:val="bottom"/>
            <w:tcBorders>
              <w:bottom w:val="single" w:sz="8" w:color="006DB6"/>
            </w:tcBorders>
          </w:tcPr>
          <w:p>
            <w:pPr>
              <w:spacing w:after="0"/>
              <w:rPr>
                <w:sz w:val="5"/>
                <w:szCs w:val="5"/>
                <w:color w:val="auto"/>
              </w:rPr>
            </w:pPr>
          </w:p>
        </w:tc>
        <w:tc>
          <w:tcPr>
            <w:tcW w:w="1080" w:type="dxa"/>
            <w:vAlign w:val="bottom"/>
            <w:tcBorders>
              <w:bottom w:val="single" w:sz="8" w:color="006DB6"/>
            </w:tcBorders>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Borders>
              <w:bottom w:val="single" w:sz="8" w:color="006DB6"/>
            </w:tcBorders>
          </w:tcPr>
          <w:p>
            <w:pPr>
              <w:spacing w:after="0"/>
              <w:rPr>
                <w:sz w:val="5"/>
                <w:szCs w:val="5"/>
                <w:color w:val="auto"/>
              </w:rPr>
            </w:pPr>
          </w:p>
        </w:tc>
        <w:tc>
          <w:tcPr>
            <w:tcW w:w="760" w:type="dxa"/>
            <w:vAlign w:val="bottom"/>
            <w:tcBorders>
              <w:bottom w:val="single" w:sz="8" w:color="006DB6"/>
            </w:tcBorders>
          </w:tcPr>
          <w:p>
            <w:pPr>
              <w:spacing w:after="0"/>
              <w:rPr>
                <w:sz w:val="5"/>
                <w:szCs w:val="5"/>
                <w:color w:val="auto"/>
              </w:rPr>
            </w:pPr>
          </w:p>
        </w:tc>
        <w:tc>
          <w:tcPr>
            <w:tcW w:w="820" w:type="dxa"/>
            <w:vAlign w:val="bottom"/>
            <w:tcBorders>
              <w:bottom w:val="single" w:sz="8" w:color="006DB6"/>
            </w:tcBorders>
          </w:tcPr>
          <w:p>
            <w:pPr>
              <w:spacing w:after="0"/>
              <w:rPr>
                <w:sz w:val="5"/>
                <w:szCs w:val="5"/>
                <w:color w:val="auto"/>
              </w:rPr>
            </w:pPr>
          </w:p>
        </w:tc>
        <w:tc>
          <w:tcPr>
            <w:tcW w:w="1200" w:type="dxa"/>
            <w:vAlign w:val="bottom"/>
          </w:tcPr>
          <w:p>
            <w:pPr>
              <w:jc w:val="right"/>
              <w:ind w:right="193"/>
              <w:spacing w:after="0" w:line="61" w:lineRule="exact"/>
              <w:rPr>
                <w:sz w:val="20"/>
                <w:szCs w:val="20"/>
                <w:color w:val="auto"/>
              </w:rPr>
            </w:pPr>
            <w:r>
              <w:rPr>
                <w:rFonts w:ascii="Arial" w:cs="Arial" w:eastAsia="Arial" w:hAnsi="Arial"/>
                <w:sz w:val="7"/>
                <w:szCs w:val="7"/>
                <w:b w:val="1"/>
                <w:bCs w:val="1"/>
                <w:color w:val="706F6F"/>
              </w:rPr>
              <w:t>Stock or</w:t>
            </w:r>
          </w:p>
        </w:tc>
        <w:tc>
          <w:tcPr>
            <w:tcW w:w="980" w:type="dxa"/>
            <w:vAlign w:val="bottom"/>
          </w:tcPr>
          <w:p>
            <w:pPr>
              <w:jc w:val="right"/>
              <w:spacing w:after="0" w:line="61" w:lineRule="exact"/>
              <w:rPr>
                <w:sz w:val="20"/>
                <w:szCs w:val="20"/>
                <w:color w:val="auto"/>
              </w:rPr>
            </w:pPr>
            <w:r>
              <w:rPr>
                <w:rFonts w:ascii="Arial" w:cs="Arial" w:eastAsia="Arial" w:hAnsi="Arial"/>
                <w:sz w:val="7"/>
                <w:szCs w:val="7"/>
                <w:b w:val="1"/>
                <w:bCs w:val="1"/>
                <w:color w:val="706F6F"/>
              </w:rPr>
              <w:t>of Stock</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706F6F"/>
              </w:rPr>
              <w:t>Threshold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706F6F"/>
              </w:rPr>
              <w:t>Target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06F6F"/>
              </w:rPr>
              <w:t>Maximum</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706F6F"/>
              </w:rPr>
              <w:t>Threshold</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706F6F"/>
              </w:rPr>
              <w:t>Target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706F6F"/>
              </w:rPr>
              <w:t>Maximum</w:t>
            </w: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706F6F"/>
              </w:rPr>
              <w:t>Units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0" w:type="dxa"/>
            <w:vAlign w:val="bottom"/>
          </w:tcPr>
          <w:p>
            <w:pPr>
              <w:spacing w:after="0"/>
              <w:rPr>
                <w:sz w:val="1"/>
                <w:szCs w:val="1"/>
                <w:color w:val="auto"/>
              </w:rPr>
            </w:pPr>
          </w:p>
        </w:tc>
      </w:tr>
      <w:tr>
        <w:trPr>
          <w:trHeight w:val="219"/>
        </w:trPr>
        <w:tc>
          <w:tcPr>
            <w:tcW w:w="10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1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Award Type</w:t>
            </w: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Date</w:t>
            </w:r>
          </w:p>
        </w:tc>
        <w:tc>
          <w:tcPr>
            <w:tcW w:w="1080" w:type="dxa"/>
            <w:vAlign w:val="bottom"/>
            <w:tcBorders>
              <w:bottom w:val="single" w:sz="8" w:color="006DB6"/>
            </w:tcBorders>
          </w:tcPr>
          <w:p>
            <w:pPr>
              <w:jc w:val="right"/>
              <w:ind w:right="68"/>
              <w:spacing w:after="0"/>
              <w:rPr>
                <w:sz w:val="20"/>
                <w:szCs w:val="20"/>
                <w:color w:val="auto"/>
              </w:rPr>
            </w:pPr>
            <w:r>
              <w:rPr>
                <w:rFonts w:ascii="Arial" w:cs="Arial" w:eastAsia="Arial" w:hAnsi="Arial"/>
                <w:sz w:val="14"/>
                <w:szCs w:val="14"/>
                <w:b w:val="1"/>
                <w:bCs w:val="1"/>
                <w:color w:val="706F6F"/>
              </w:rPr>
              <w:t>($)</w:t>
            </w: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4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right"/>
              <w:ind w:right="48"/>
              <w:spacing w:after="0"/>
              <w:rPr>
                <w:sz w:val="20"/>
                <w:szCs w:val="20"/>
                <w:color w:val="auto"/>
              </w:rPr>
            </w:pPr>
            <w:r>
              <w:rPr>
                <w:rFonts w:ascii="Arial" w:cs="Arial" w:eastAsia="Arial" w:hAnsi="Arial"/>
                <w:sz w:val="14"/>
                <w:szCs w:val="14"/>
                <w:b w:val="1"/>
                <w:bCs w:val="1"/>
                <w:color w:val="706F6F"/>
              </w:rPr>
              <w:t>(#)</w:t>
            </w:r>
          </w:p>
        </w:tc>
        <w:tc>
          <w:tcPr>
            <w:tcW w:w="760" w:type="dxa"/>
            <w:vAlign w:val="bottom"/>
            <w:tcBorders>
              <w:bottom w:val="single" w:sz="8" w:color="006DB6"/>
            </w:tcBorders>
          </w:tcPr>
          <w:p>
            <w:pPr>
              <w:jc w:val="right"/>
              <w:ind w:right="68"/>
              <w:spacing w:after="0"/>
              <w:rPr>
                <w:sz w:val="20"/>
                <w:szCs w:val="20"/>
                <w:color w:val="auto"/>
              </w:rPr>
            </w:pPr>
            <w:r>
              <w:rPr>
                <w:rFonts w:ascii="Arial" w:cs="Arial" w:eastAsia="Arial" w:hAnsi="Arial"/>
                <w:sz w:val="14"/>
                <w:szCs w:val="14"/>
                <w:b w:val="1"/>
                <w:bCs w:val="1"/>
                <w:color w:val="706F6F"/>
              </w:rPr>
              <w:t>(#)</w:t>
            </w:r>
          </w:p>
        </w:tc>
        <w:tc>
          <w:tcPr>
            <w:tcW w:w="8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200" w:type="dxa"/>
            <w:vAlign w:val="bottom"/>
            <w:tcBorders>
              <w:bottom w:val="single" w:sz="8" w:color="006DB6"/>
            </w:tcBorders>
          </w:tcPr>
          <w:p>
            <w:pPr>
              <w:jc w:val="right"/>
              <w:ind w:right="193"/>
              <w:spacing w:after="0" w:line="212"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w:t>
            </w:r>
            <w:r>
              <w:rPr>
                <w:rFonts w:ascii="Arial" w:cs="Arial" w:eastAsia="Arial" w:hAnsi="Arial"/>
                <w:sz w:val="9"/>
                <w:szCs w:val="9"/>
                <w:color w:val="706F6F"/>
              </w:rPr>
              <w:t>3</w:t>
            </w:r>
            <w:r>
              <w:rPr>
                <w:rFonts w:ascii="Arial" w:cs="Arial" w:eastAsia="Arial" w:hAnsi="Arial"/>
                <w:sz w:val="9"/>
                <w:szCs w:val="9"/>
                <w:b w:val="1"/>
                <w:bCs w:val="1"/>
                <w:color w:val="706F6F"/>
              </w:rPr>
              <w:t>)</w:t>
            </w:r>
          </w:p>
        </w:tc>
        <w:tc>
          <w:tcPr>
            <w:tcW w:w="980" w:type="dxa"/>
            <w:vAlign w:val="bottom"/>
            <w:tcBorders>
              <w:bottom w:val="single" w:sz="8" w:color="006DB6"/>
            </w:tcBorders>
          </w:tcPr>
          <w:p>
            <w:pPr>
              <w:jc w:val="right"/>
              <w:spacing w:after="0" w:line="212"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w:t>
            </w:r>
            <w:r>
              <w:rPr>
                <w:rFonts w:ascii="Arial" w:cs="Arial" w:eastAsia="Arial" w:hAnsi="Arial"/>
                <w:sz w:val="9"/>
                <w:szCs w:val="9"/>
                <w:color w:val="706F6F"/>
              </w:rPr>
              <w:t>4</w:t>
            </w:r>
            <w:r>
              <w:rPr>
                <w:rFonts w:ascii="Arial" w:cs="Arial" w:eastAsia="Arial" w:hAnsi="Arial"/>
                <w:sz w:val="9"/>
                <w:szCs w:val="9"/>
                <w:b w:val="1"/>
                <w:bCs w:val="1"/>
                <w:color w:val="706F6F"/>
              </w:rPr>
              <w:t>)</w:t>
            </w: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Bradley J.</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750,000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1,500,000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Dodson</w:t>
            </w:r>
          </w:p>
        </w:tc>
        <w:tc>
          <w:tcPr>
            <w:tcW w:w="118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29,064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83,039</w:t>
            </w:r>
          </w:p>
        </w:tc>
        <w:tc>
          <w:tcPr>
            <w:tcW w:w="820" w:type="dxa"/>
            <w:vAlign w:val="bottom"/>
          </w:tcPr>
          <w:p>
            <w:pPr>
              <w:jc w:val="right"/>
              <w:spacing w:after="0"/>
              <w:rPr>
                <w:sz w:val="20"/>
                <w:szCs w:val="20"/>
                <w:color w:val="auto"/>
              </w:rPr>
            </w:pPr>
            <w:r>
              <w:rPr>
                <w:rFonts w:ascii="Arial" w:cs="Arial" w:eastAsia="Arial" w:hAnsi="Arial"/>
                <w:sz w:val="14"/>
                <w:szCs w:val="14"/>
                <w:color w:val="auto"/>
              </w:rPr>
              <w:t>166,078</w:t>
            </w:r>
          </w:p>
        </w:tc>
        <w:tc>
          <w:tcPr>
            <w:tcW w:w="1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1,815,731</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35,588</w:t>
            </w:r>
          </w:p>
        </w:tc>
        <w:tc>
          <w:tcPr>
            <w:tcW w:w="980" w:type="dxa"/>
            <w:vAlign w:val="bottom"/>
          </w:tcPr>
          <w:p>
            <w:pPr>
              <w:jc w:val="right"/>
              <w:spacing w:after="0"/>
              <w:rPr>
                <w:sz w:val="20"/>
                <w:szCs w:val="20"/>
                <w:color w:val="auto"/>
              </w:rPr>
            </w:pPr>
            <w:r>
              <w:rPr>
                <w:rFonts w:ascii="Arial" w:cs="Arial" w:eastAsia="Arial" w:hAnsi="Arial"/>
                <w:sz w:val="14"/>
                <w:szCs w:val="14"/>
                <w:color w:val="auto"/>
              </w:rPr>
              <w:t>753,754</w:t>
            </w: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E. Collin</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247,000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494,000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Gerry</w:t>
            </w:r>
          </w:p>
        </w:tc>
        <w:tc>
          <w:tcPr>
            <w:tcW w:w="118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6,594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18,840</w:t>
            </w:r>
          </w:p>
        </w:tc>
        <w:tc>
          <w:tcPr>
            <w:tcW w:w="820" w:type="dxa"/>
            <w:vAlign w:val="bottom"/>
          </w:tcPr>
          <w:p>
            <w:pPr>
              <w:jc w:val="right"/>
              <w:spacing w:after="0"/>
              <w:rPr>
                <w:sz w:val="20"/>
                <w:szCs w:val="20"/>
                <w:color w:val="auto"/>
              </w:rPr>
            </w:pPr>
            <w:r>
              <w:rPr>
                <w:rFonts w:ascii="Arial" w:cs="Arial" w:eastAsia="Arial" w:hAnsi="Arial"/>
                <w:sz w:val="14"/>
                <w:szCs w:val="14"/>
                <w:color w:val="auto"/>
              </w:rPr>
              <w:t>37,680</w:t>
            </w:r>
          </w:p>
        </w:tc>
        <w:tc>
          <w:tcPr>
            <w:tcW w:w="1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411,956</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8,073</w:t>
            </w:r>
          </w:p>
        </w:tc>
        <w:tc>
          <w:tcPr>
            <w:tcW w:w="980" w:type="dxa"/>
            <w:vAlign w:val="bottom"/>
          </w:tcPr>
          <w:p>
            <w:pPr>
              <w:jc w:val="right"/>
              <w:spacing w:after="0"/>
              <w:rPr>
                <w:sz w:val="20"/>
                <w:szCs w:val="20"/>
                <w:color w:val="auto"/>
              </w:rPr>
            </w:pPr>
            <w:r>
              <w:rPr>
                <w:rFonts w:ascii="Arial" w:cs="Arial" w:eastAsia="Arial" w:hAnsi="Arial"/>
                <w:sz w:val="14"/>
                <w:szCs w:val="14"/>
                <w:color w:val="auto"/>
              </w:rPr>
              <w:t>170,986</w:t>
            </w: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Andrew S.</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250,460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500,920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Fraser</w:t>
            </w:r>
            <w:r>
              <w:rPr>
                <w:rFonts w:ascii="Arial" w:cs="Arial" w:eastAsia="Arial" w:hAnsi="Arial"/>
                <w:sz w:val="9"/>
                <w:szCs w:val="9"/>
                <w:b w:val="1"/>
                <w:bCs w:val="1"/>
                <w:color w:val="006DB6"/>
              </w:rPr>
              <w:t>(5)</w:t>
            </w:r>
          </w:p>
        </w:tc>
        <w:tc>
          <w:tcPr>
            <w:tcW w:w="118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6,013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17,181</w:t>
            </w:r>
          </w:p>
        </w:tc>
        <w:tc>
          <w:tcPr>
            <w:tcW w:w="820" w:type="dxa"/>
            <w:vAlign w:val="bottom"/>
          </w:tcPr>
          <w:p>
            <w:pPr>
              <w:jc w:val="right"/>
              <w:spacing w:after="0"/>
              <w:rPr>
                <w:sz w:val="20"/>
                <w:szCs w:val="20"/>
                <w:color w:val="auto"/>
              </w:rPr>
            </w:pPr>
            <w:r>
              <w:rPr>
                <w:rFonts w:ascii="Arial" w:cs="Arial" w:eastAsia="Arial" w:hAnsi="Arial"/>
                <w:sz w:val="14"/>
                <w:szCs w:val="14"/>
                <w:color w:val="auto"/>
              </w:rPr>
              <w:t>34,362</w:t>
            </w:r>
          </w:p>
        </w:tc>
        <w:tc>
          <w:tcPr>
            <w:tcW w:w="1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375,680</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7,363</w:t>
            </w:r>
          </w:p>
        </w:tc>
        <w:tc>
          <w:tcPr>
            <w:tcW w:w="980" w:type="dxa"/>
            <w:vAlign w:val="bottom"/>
          </w:tcPr>
          <w:p>
            <w:pPr>
              <w:jc w:val="right"/>
              <w:spacing w:after="0"/>
              <w:rPr>
                <w:sz w:val="20"/>
                <w:szCs w:val="20"/>
                <w:color w:val="auto"/>
              </w:rPr>
            </w:pPr>
            <w:r>
              <w:rPr>
                <w:rFonts w:ascii="Arial" w:cs="Arial" w:eastAsia="Arial" w:hAnsi="Arial"/>
                <w:sz w:val="14"/>
                <w:szCs w:val="14"/>
                <w:color w:val="auto"/>
              </w:rPr>
              <w:t>155,948</w:t>
            </w: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Peter L.</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225,680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451,360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b w:val="1"/>
                <w:bCs w:val="1"/>
                <w:color w:val="006DB6"/>
              </w:rPr>
              <w:t>McCann</w:t>
            </w:r>
            <w:r>
              <w:rPr>
                <w:rFonts w:ascii="Arial" w:cs="Arial" w:eastAsia="Arial" w:hAnsi="Arial"/>
                <w:sz w:val="9"/>
                <w:szCs w:val="9"/>
                <w:b w:val="1"/>
                <w:bCs w:val="1"/>
                <w:color w:val="006DB6"/>
              </w:rPr>
              <w:t>(6)</w:t>
            </w:r>
          </w:p>
        </w:tc>
        <w:tc>
          <w:tcPr>
            <w:tcW w:w="118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5,412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15,463</w:t>
            </w:r>
          </w:p>
        </w:tc>
        <w:tc>
          <w:tcPr>
            <w:tcW w:w="820" w:type="dxa"/>
            <w:vAlign w:val="bottom"/>
          </w:tcPr>
          <w:p>
            <w:pPr>
              <w:jc w:val="right"/>
              <w:spacing w:after="0"/>
              <w:rPr>
                <w:sz w:val="20"/>
                <w:szCs w:val="20"/>
                <w:color w:val="auto"/>
              </w:rPr>
            </w:pPr>
            <w:r>
              <w:rPr>
                <w:rFonts w:ascii="Arial" w:cs="Arial" w:eastAsia="Arial" w:hAnsi="Arial"/>
                <w:sz w:val="14"/>
                <w:szCs w:val="14"/>
                <w:color w:val="auto"/>
              </w:rPr>
              <w:t>30,926</w:t>
            </w:r>
          </w:p>
        </w:tc>
        <w:tc>
          <w:tcPr>
            <w:tcW w:w="1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338,114</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3/3/2025</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6,627</w:t>
            </w:r>
          </w:p>
        </w:tc>
        <w:tc>
          <w:tcPr>
            <w:tcW w:w="980" w:type="dxa"/>
            <w:vAlign w:val="bottom"/>
          </w:tcPr>
          <w:p>
            <w:pPr>
              <w:jc w:val="right"/>
              <w:spacing w:after="0"/>
              <w:rPr>
                <w:sz w:val="20"/>
                <w:szCs w:val="20"/>
                <w:color w:val="auto"/>
              </w:rPr>
            </w:pPr>
            <w:r>
              <w:rPr>
                <w:rFonts w:ascii="Arial" w:cs="Arial" w:eastAsia="Arial" w:hAnsi="Arial"/>
                <w:sz w:val="14"/>
                <w:szCs w:val="14"/>
                <w:color w:val="auto"/>
              </w:rPr>
              <w:t>140,360</w:t>
            </w: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40" w:hanging="252"/>
        <w:spacing w:after="0" w:line="245"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columns “Target” and “Maximum” reflect the target and maximum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2025;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51" w:lineRule="exact"/>
        <w:rPr>
          <w:rFonts w:ascii="Arial" w:cs="Arial" w:eastAsia="Arial" w:hAnsi="Arial"/>
          <w:sz w:val="19"/>
          <w:szCs w:val="19"/>
          <w:color w:val="auto"/>
          <w:vertAlign w:val="superscript"/>
        </w:rPr>
      </w:pPr>
    </w:p>
    <w:p>
      <w:pPr>
        <w:jc w:val="both"/>
        <w:ind w:left="260" w:right="360" w:hanging="252"/>
        <w:spacing w:after="0" w:line="276" w:lineRule="auto"/>
        <w:tabs>
          <w:tab w:leader="none" w:pos="264" w:val="left"/>
        </w:tabs>
        <w:numPr>
          <w:ilvl w:val="0"/>
          <w:numId w:val="49"/>
        </w:numPr>
        <w:rPr>
          <w:rFonts w:ascii="Arial" w:cs="Arial" w:eastAsia="Arial" w:hAnsi="Arial"/>
          <w:sz w:val="9"/>
          <w:szCs w:val="9"/>
          <w:color w:val="auto"/>
        </w:rPr>
      </w:pPr>
      <w:r>
        <w:rPr>
          <w:rFonts w:ascii="Arial" w:cs="Arial" w:eastAsia="Arial" w:hAnsi="Arial"/>
          <w:sz w:val="14"/>
          <w:szCs w:val="14"/>
          <w:color w:val="auto"/>
        </w:rPr>
        <w:t>The amounts shown in the “Threshold”, “Target” and “Maximum” columns reflect the potential number of shares that may be earned pursuant to 2025 grants under our Performance Share Award Program based on achievement of performance goals with respect to our relative TSR and growth in EBITDA over the applicable three-year performance period (see discussion in “Compensation Discussion and Analysis - Compensation Program Components-Performance Share Award Programs”). Earned shares will vest in full following completion of the performance period.</w:t>
      </w:r>
    </w:p>
    <w:p>
      <w:pPr>
        <w:spacing w:after="0" w:line="28" w:lineRule="exact"/>
        <w:rPr>
          <w:rFonts w:ascii="Arial" w:cs="Arial" w:eastAsia="Arial" w:hAnsi="Arial"/>
          <w:sz w:val="9"/>
          <w:szCs w:val="9"/>
          <w:color w:val="auto"/>
        </w:rPr>
      </w:pPr>
    </w:p>
    <w:p>
      <w:pPr>
        <w:ind w:left="260" w:right="860" w:hanging="252"/>
        <w:spacing w:after="0" w:line="231"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Amounts included in the “All Other Stock Awards” column reflect phantom unit awards that vest annually at a rate of one-third per year on each of the first three anniversaries of the grant date.</w:t>
      </w:r>
    </w:p>
    <w:p>
      <w:pPr>
        <w:spacing w:after="0" w:line="53" w:lineRule="exact"/>
        <w:rPr>
          <w:rFonts w:ascii="Arial" w:cs="Arial" w:eastAsia="Arial" w:hAnsi="Arial"/>
          <w:sz w:val="19"/>
          <w:szCs w:val="19"/>
          <w:color w:val="auto"/>
          <w:vertAlign w:val="superscript"/>
        </w:rPr>
      </w:pPr>
    </w:p>
    <w:p>
      <w:pPr>
        <w:ind w:left="260" w:right="80" w:hanging="252"/>
        <w:spacing w:after="0" w:line="245"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This column shows the full grant date fair value of performance share awards (based on the probable outcome of the performance conditions as of the grant date) and phantom unit awards computed under FASB ASC Topic 718—Stock Compensation and granted to the NEOs during 2025. Pursuant to SEC rules, the amounts shown exclude the impact of estimated forfeitures related to service-based vesting conditions. Generally, the full grant date fair value is the amount that Civeo would expense in its financial statements over the vesting schedule of the awards. See Note 17 to Civeo’s consolidated financial statements included in its Annual Report on Form 10-K for the year ended December 31, 2025 for additional detail regarding assumptions underlying the value of these awards.</w:t>
      </w:r>
    </w:p>
    <w:p>
      <w:pPr>
        <w:spacing w:after="0" w:line="51"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Mr. Fraser's AICP award amounts were paid in Canadian dollars and are reflected in this table in U.S. dollars using an average exchange rate for 2025 of $0.7156 U.S. dollar per Canadian dollar.</w:t>
      </w:r>
    </w:p>
    <w:p>
      <w:pPr>
        <w:spacing w:after="0" w:line="93" w:lineRule="exact"/>
        <w:rPr>
          <w:rFonts w:ascii="Arial" w:cs="Arial" w:eastAsia="Arial" w:hAnsi="Arial"/>
          <w:sz w:val="19"/>
          <w:szCs w:val="19"/>
          <w:color w:val="auto"/>
          <w:vertAlign w:val="superscript"/>
        </w:rPr>
      </w:pPr>
    </w:p>
    <w:p>
      <w:pPr>
        <w:ind w:left="260" w:right="200" w:hanging="252"/>
        <w:spacing w:after="0" w:line="222"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Mr. McCann’s AICP award amounts were paid in Australian dollars and are reflected in this table in U.S. dollars using an average exchange rate for 2025 of $0.6448 U.S. dollar per Australian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168910</wp:posOffset>
            </wp:positionV>
            <wp:extent cx="394335" cy="196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Outstanding Equity Awards at 2025 Fiscal Year End</w:t>
      </w:r>
    </w:p>
    <w:p>
      <w:pPr>
        <w:spacing w:after="0" w:line="146"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The following table provides information on the holdings of share awards by our NEOs as of December 31, 2025.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31, 2025, which was $22.87.</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20" w:type="dxa"/>
            <w:vAlign w:val="bottom"/>
          </w:tcPr>
          <w:p>
            <w:pPr>
              <w:spacing w:after="0"/>
              <w:rPr>
                <w:sz w:val="19"/>
                <w:szCs w:val="19"/>
                <w:color w:val="auto"/>
              </w:rPr>
            </w:pPr>
          </w:p>
        </w:tc>
        <w:tc>
          <w:tcPr>
            <w:tcW w:w="1660" w:type="dxa"/>
            <w:vAlign w:val="bottom"/>
            <w:tcBorders>
              <w:bottom w:val="single" w:sz="8" w:color="006DB6"/>
            </w:tcBorders>
          </w:tcPr>
          <w:p>
            <w:pPr>
              <w:spacing w:after="0"/>
              <w:rPr>
                <w:sz w:val="19"/>
                <w:szCs w:val="19"/>
                <w:color w:val="auto"/>
              </w:rPr>
            </w:pPr>
          </w:p>
        </w:tc>
        <w:tc>
          <w:tcPr>
            <w:tcW w:w="420" w:type="dxa"/>
            <w:vAlign w:val="bottom"/>
            <w:tcBorders>
              <w:bottom w:val="single" w:sz="8" w:color="006DB6"/>
            </w:tcBorders>
          </w:tcPr>
          <w:p>
            <w:pPr>
              <w:spacing w:after="0"/>
              <w:rPr>
                <w:sz w:val="19"/>
                <w:szCs w:val="19"/>
                <w:color w:val="auto"/>
              </w:rPr>
            </w:pPr>
          </w:p>
        </w:tc>
        <w:tc>
          <w:tcPr>
            <w:tcW w:w="3680" w:type="dxa"/>
            <w:vAlign w:val="bottom"/>
            <w:tcBorders>
              <w:bottom w:val="single" w:sz="8" w:color="006DB6"/>
            </w:tcBorders>
            <w:gridSpan w:val="2"/>
          </w:tcPr>
          <w:p>
            <w:pPr>
              <w:jc w:val="right"/>
              <w:ind w:right="1148"/>
              <w:spacing w:after="0"/>
              <w:rPr>
                <w:sz w:val="20"/>
                <w:szCs w:val="20"/>
                <w:color w:val="auto"/>
              </w:rPr>
            </w:pPr>
            <w:r>
              <w:rPr>
                <w:rFonts w:ascii="Arial" w:cs="Arial" w:eastAsia="Arial" w:hAnsi="Arial"/>
                <w:sz w:val="14"/>
                <w:szCs w:val="14"/>
                <w:b w:val="1"/>
                <w:bCs w:val="1"/>
                <w:color w:val="706F6F"/>
              </w:rPr>
              <w:t>Stock Awards</w:t>
            </w:r>
          </w:p>
        </w:tc>
        <w:tc>
          <w:tcPr>
            <w:tcW w:w="460" w:type="dxa"/>
            <w:vAlign w:val="bottom"/>
            <w:tcBorders>
              <w:bottom w:val="single" w:sz="8" w:color="006DB6"/>
            </w:tcBorders>
          </w:tcPr>
          <w:p>
            <w:pPr>
              <w:spacing w:after="0"/>
              <w:rPr>
                <w:sz w:val="19"/>
                <w:szCs w:val="19"/>
                <w:color w:val="auto"/>
              </w:rPr>
            </w:pPr>
          </w:p>
        </w:tc>
        <w:tc>
          <w:tcPr>
            <w:tcW w:w="1900" w:type="dxa"/>
            <w:vAlign w:val="bottom"/>
            <w:tcBorders>
              <w:bottom w:val="single" w:sz="8" w:color="006DB6"/>
            </w:tcBorders>
          </w:tcPr>
          <w:p>
            <w:pPr>
              <w:spacing w:after="0"/>
              <w:rPr>
                <w:sz w:val="19"/>
                <w:szCs w:val="19"/>
                <w:color w:val="auto"/>
              </w:rPr>
            </w:pPr>
          </w:p>
        </w:tc>
      </w:tr>
      <w:tr>
        <w:trPr>
          <w:trHeight w:val="193"/>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9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706F6F"/>
              </w:rPr>
              <w:t>Equity Incentive Plan</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706F6F"/>
              </w:rPr>
              <w:t>Equity Incentive Plan</w:t>
            </w:r>
          </w:p>
        </w:tc>
      </w:tr>
      <w:tr>
        <w:trPr>
          <w:trHeight w:val="175"/>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706F6F"/>
              </w:rPr>
              <w:t>Awards: Number of</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706F6F"/>
              </w:rPr>
              <w:t>Awards: Market or Payout</w:t>
            </w:r>
          </w:p>
        </w:tc>
      </w:tr>
      <w:tr>
        <w:trPr>
          <w:trHeight w:val="162"/>
        </w:trPr>
        <w:tc>
          <w:tcPr>
            <w:tcW w:w="2320" w:type="dxa"/>
            <w:vAlign w:val="bottom"/>
          </w:tcPr>
          <w:p>
            <w:pPr>
              <w:spacing w:after="0"/>
              <w:rPr>
                <w:sz w:val="14"/>
                <w:szCs w:val="14"/>
                <w:color w:val="auto"/>
              </w:rPr>
            </w:pPr>
          </w:p>
        </w:tc>
        <w:tc>
          <w:tcPr>
            <w:tcW w:w="20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Number of Shares or Units</w:t>
            </w: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706F6F"/>
              </w:rPr>
              <w:t>Market Value of Shares or</w:t>
            </w:r>
          </w:p>
        </w:tc>
        <w:tc>
          <w:tcPr>
            <w:tcW w:w="19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706F6F"/>
              </w:rPr>
              <w:t>Unearned Share Units or</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706F6F"/>
              </w:rPr>
              <w:t>Value of</w:t>
            </w:r>
          </w:p>
        </w:tc>
      </w:tr>
      <w:tr>
        <w:trPr>
          <w:trHeight w:val="175"/>
        </w:trPr>
        <w:tc>
          <w:tcPr>
            <w:tcW w:w="2320" w:type="dxa"/>
            <w:vAlign w:val="bottom"/>
          </w:tcPr>
          <w:p>
            <w:pPr>
              <w:spacing w:after="0"/>
              <w:rPr>
                <w:sz w:val="15"/>
                <w:szCs w:val="15"/>
                <w:color w:val="auto"/>
              </w:rPr>
            </w:pPr>
          </w:p>
        </w:tc>
        <w:tc>
          <w:tcPr>
            <w:tcW w:w="20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of Stock that Have Not</w:t>
            </w: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706F6F"/>
              </w:rPr>
              <w:t>Units of Stock that Have Not</w:t>
            </w:r>
          </w:p>
        </w:tc>
        <w:tc>
          <w:tcPr>
            <w:tcW w:w="19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706F6F"/>
              </w:rPr>
              <w:t>Other Rights of that</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706F6F"/>
              </w:rPr>
              <w:t>Unearned Shares, Units or</w:t>
            </w:r>
          </w:p>
        </w:tc>
      </w:tr>
      <w:tr>
        <w:trPr>
          <w:trHeight w:val="176"/>
        </w:trPr>
        <w:tc>
          <w:tcPr>
            <w:tcW w:w="2320" w:type="dxa"/>
            <w:vAlign w:val="bottom"/>
          </w:tcPr>
          <w:p>
            <w:pPr>
              <w:spacing w:after="0"/>
              <w:rPr>
                <w:sz w:val="15"/>
                <w:szCs w:val="15"/>
                <w:color w:val="auto"/>
              </w:rPr>
            </w:pPr>
          </w:p>
        </w:tc>
        <w:tc>
          <w:tcPr>
            <w:tcW w:w="2080" w:type="dxa"/>
            <w:vAlign w:val="bottom"/>
            <w:gridSpan w:val="2"/>
          </w:tcPr>
          <w:p>
            <w:pPr>
              <w:jc w:val="center"/>
              <w:ind w:left="1368"/>
              <w:spacing w:after="0"/>
              <w:rPr>
                <w:sz w:val="20"/>
                <w:szCs w:val="20"/>
                <w:color w:val="auto"/>
              </w:rPr>
            </w:pPr>
            <w:r>
              <w:rPr>
                <w:rFonts w:ascii="Arial" w:cs="Arial" w:eastAsia="Arial" w:hAnsi="Arial"/>
                <w:sz w:val="14"/>
                <w:szCs w:val="14"/>
                <w:b w:val="1"/>
                <w:bCs w:val="1"/>
                <w:color w:val="706F6F"/>
              </w:rPr>
              <w:t>Vested</w:t>
            </w: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706F6F"/>
              </w:rPr>
              <w:t>Vested</w:t>
            </w:r>
          </w:p>
        </w:tc>
        <w:tc>
          <w:tcPr>
            <w:tcW w:w="1940" w:type="dxa"/>
            <w:vAlign w:val="bottom"/>
            <w:gridSpan w:val="2"/>
          </w:tcPr>
          <w:p>
            <w:pPr>
              <w:jc w:val="right"/>
              <w:ind w:right="24"/>
              <w:spacing w:after="0"/>
              <w:rPr>
                <w:sz w:val="20"/>
                <w:szCs w:val="20"/>
                <w:color w:val="auto"/>
              </w:rPr>
            </w:pPr>
            <w:r>
              <w:rPr>
                <w:rFonts w:ascii="Arial" w:cs="Arial" w:eastAsia="Arial" w:hAnsi="Arial"/>
                <w:sz w:val="14"/>
                <w:szCs w:val="14"/>
                <w:b w:val="1"/>
                <w:bCs w:val="1"/>
                <w:color w:val="706F6F"/>
              </w:rPr>
              <w:t>Have Not Vested</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706F6F"/>
              </w:rPr>
              <w:t>Other Rights</w:t>
            </w:r>
          </w:p>
        </w:tc>
      </w:tr>
      <w:tr>
        <w:trPr>
          <w:trHeight w:val="219"/>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60" w:type="dxa"/>
            <w:vAlign w:val="bottom"/>
            <w:tcBorders>
              <w:bottom w:val="single" w:sz="8" w:color="006DB6"/>
            </w:tcBorders>
          </w:tcPr>
          <w:p>
            <w:pPr>
              <w:spacing w:after="0"/>
              <w:rPr>
                <w:sz w:val="19"/>
                <w:szCs w:val="19"/>
                <w:color w:val="auto"/>
              </w:rPr>
            </w:pPr>
          </w:p>
        </w:tc>
        <w:tc>
          <w:tcPr>
            <w:tcW w:w="420" w:type="dxa"/>
            <w:vAlign w:val="bottom"/>
            <w:tcBorders>
              <w:bottom w:val="single" w:sz="8" w:color="006DB6"/>
            </w:tcBorders>
          </w:tcPr>
          <w:p>
            <w:pPr>
              <w:jc w:val="right"/>
              <w:ind w:right="25"/>
              <w:spacing w:after="0"/>
              <w:rPr>
                <w:sz w:val="20"/>
                <w:szCs w:val="20"/>
                <w:color w:val="auto"/>
              </w:rPr>
            </w:pPr>
            <w:r>
              <w:rPr>
                <w:rFonts w:ascii="Arial" w:cs="Arial" w:eastAsia="Arial" w:hAnsi="Arial"/>
                <w:sz w:val="14"/>
                <w:szCs w:val="14"/>
                <w:b w:val="1"/>
                <w:bCs w:val="1"/>
                <w:color w:val="706F6F"/>
              </w:rPr>
              <w:t>(#)</w:t>
            </w:r>
          </w:p>
        </w:tc>
        <w:tc>
          <w:tcPr>
            <w:tcW w:w="220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b w:val="1"/>
                <w:bCs w:val="1"/>
                <w:color w:val="706F6F"/>
              </w:rPr>
              <w:t>($)</w:t>
            </w:r>
          </w:p>
        </w:tc>
        <w:tc>
          <w:tcPr>
            <w:tcW w:w="1480" w:type="dxa"/>
            <w:vAlign w:val="bottom"/>
            <w:tcBorders>
              <w:bottom w:val="single" w:sz="8" w:color="006DB6"/>
            </w:tcBorders>
          </w:tcPr>
          <w:p>
            <w:pPr>
              <w:spacing w:after="0"/>
              <w:rPr>
                <w:sz w:val="19"/>
                <w:szCs w:val="19"/>
                <w:color w:val="auto"/>
              </w:rPr>
            </w:pPr>
          </w:p>
        </w:tc>
        <w:tc>
          <w:tcPr>
            <w:tcW w:w="460" w:type="dxa"/>
            <w:vAlign w:val="bottom"/>
            <w:tcBorders>
              <w:bottom w:val="single" w:sz="8" w:color="006DB6"/>
            </w:tcBorders>
          </w:tcPr>
          <w:p>
            <w:pPr>
              <w:jc w:val="right"/>
              <w:ind w:right="24"/>
              <w:spacing w:after="0"/>
              <w:rPr>
                <w:sz w:val="20"/>
                <w:szCs w:val="20"/>
                <w:color w:val="auto"/>
              </w:rPr>
            </w:pPr>
            <w:r>
              <w:rPr>
                <w:rFonts w:ascii="Arial" w:cs="Arial" w:eastAsia="Arial" w:hAnsi="Arial"/>
                <w:sz w:val="14"/>
                <w:szCs w:val="14"/>
                <w:b w:val="1"/>
                <w:bCs w:val="1"/>
                <w:color w:val="706F6F"/>
              </w:rPr>
              <w:t>(#)</w:t>
            </w:r>
          </w:p>
        </w:tc>
        <w:tc>
          <w:tcPr>
            <w:tcW w:w="19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that Have Not Vested ($)</w:t>
            </w:r>
          </w:p>
        </w:tc>
      </w:tr>
      <w:tr>
        <w:trPr>
          <w:trHeight w:val="239"/>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13,487</w:t>
            </w:r>
          </w:p>
        </w:tc>
        <w:tc>
          <w:tcPr>
            <w:tcW w:w="42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color w:val="auto"/>
              </w:rPr>
              <w:t>(1)</w:t>
            </w:r>
          </w:p>
        </w:tc>
        <w:tc>
          <w:tcPr>
            <w:tcW w:w="2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308,448</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28,584</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(3)</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653,716</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35,588</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(5)</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813,898</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40,459</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(2)</w:t>
            </w:r>
          </w:p>
        </w:tc>
        <w:tc>
          <w:tcPr>
            <w:tcW w:w="1900" w:type="dxa"/>
            <w:vAlign w:val="bottom"/>
          </w:tcPr>
          <w:p>
            <w:pPr>
              <w:jc w:val="right"/>
              <w:spacing w:after="0"/>
              <w:rPr>
                <w:sz w:val="20"/>
                <w:szCs w:val="20"/>
                <w:color w:val="auto"/>
              </w:rPr>
            </w:pPr>
            <w:r>
              <w:rPr>
                <w:rFonts w:ascii="Arial" w:cs="Arial" w:eastAsia="Arial" w:hAnsi="Arial"/>
                <w:sz w:val="14"/>
                <w:szCs w:val="14"/>
                <w:color w:val="auto"/>
              </w:rPr>
              <w:t>925,297</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64,314</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(4)</w:t>
            </w:r>
          </w:p>
        </w:tc>
        <w:tc>
          <w:tcPr>
            <w:tcW w:w="1900" w:type="dxa"/>
            <w:vAlign w:val="bottom"/>
          </w:tcPr>
          <w:p>
            <w:pPr>
              <w:jc w:val="right"/>
              <w:spacing w:after="0"/>
              <w:rPr>
                <w:sz w:val="20"/>
                <w:szCs w:val="20"/>
                <w:color w:val="auto"/>
              </w:rPr>
            </w:pPr>
            <w:r>
              <w:rPr>
                <w:rFonts w:ascii="Arial" w:cs="Arial" w:eastAsia="Arial" w:hAnsi="Arial"/>
                <w:sz w:val="14"/>
                <w:szCs w:val="14"/>
                <w:color w:val="auto"/>
              </w:rPr>
              <w:t>1,470,861</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83,039</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(6)</w:t>
            </w:r>
          </w:p>
        </w:tc>
        <w:tc>
          <w:tcPr>
            <w:tcW w:w="1900" w:type="dxa"/>
            <w:vAlign w:val="bottom"/>
          </w:tcPr>
          <w:p>
            <w:pPr>
              <w:jc w:val="right"/>
              <w:spacing w:after="0"/>
              <w:rPr>
                <w:sz w:val="20"/>
                <w:szCs w:val="20"/>
                <w:color w:val="auto"/>
              </w:rPr>
            </w:pPr>
            <w:r>
              <w:rPr>
                <w:rFonts w:ascii="Arial" w:cs="Arial" w:eastAsia="Arial" w:hAnsi="Arial"/>
                <w:sz w:val="14"/>
                <w:szCs w:val="14"/>
                <w:color w:val="auto"/>
              </w:rPr>
              <w:t>1,899,102</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w:t>
            </w:r>
          </w:p>
        </w:tc>
        <w:tc>
          <w:tcPr>
            <w:tcW w:w="42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color w:val="auto"/>
              </w:rPr>
              <w:t>(1)</w:t>
            </w:r>
          </w:p>
        </w:tc>
        <w:tc>
          <w:tcPr>
            <w:tcW w:w="2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84,642</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8,838</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(3)</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202,125</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8,073</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(5)</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184,630</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2,561</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(7)</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58,570</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3,701</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(2)</w:t>
            </w:r>
          </w:p>
        </w:tc>
        <w:tc>
          <w:tcPr>
            <w:tcW w:w="1900" w:type="dxa"/>
            <w:vAlign w:val="bottom"/>
          </w:tcPr>
          <w:p>
            <w:pPr>
              <w:jc w:val="right"/>
              <w:spacing w:after="0"/>
              <w:rPr>
                <w:sz w:val="20"/>
                <w:szCs w:val="20"/>
                <w:color w:val="auto"/>
              </w:rPr>
            </w:pPr>
            <w:r>
              <w:rPr>
                <w:rFonts w:ascii="Arial" w:cs="Arial" w:eastAsia="Arial" w:hAnsi="Arial"/>
                <w:sz w:val="14"/>
                <w:szCs w:val="14"/>
                <w:color w:val="auto"/>
              </w:rPr>
              <w:t>84,642</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7,138</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(4)</w:t>
            </w:r>
          </w:p>
        </w:tc>
        <w:tc>
          <w:tcPr>
            <w:tcW w:w="1900" w:type="dxa"/>
            <w:vAlign w:val="bottom"/>
          </w:tcPr>
          <w:p>
            <w:pPr>
              <w:jc w:val="right"/>
              <w:spacing w:after="0"/>
              <w:rPr>
                <w:sz w:val="20"/>
                <w:szCs w:val="20"/>
                <w:color w:val="auto"/>
              </w:rPr>
            </w:pPr>
            <w:r>
              <w:rPr>
                <w:rFonts w:ascii="Arial" w:cs="Arial" w:eastAsia="Arial" w:hAnsi="Arial"/>
                <w:sz w:val="14"/>
                <w:szCs w:val="14"/>
                <w:color w:val="auto"/>
              </w:rPr>
              <w:t>163,246</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18,840</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(6)</w:t>
            </w:r>
          </w:p>
        </w:tc>
        <w:tc>
          <w:tcPr>
            <w:tcW w:w="1900" w:type="dxa"/>
            <w:vAlign w:val="bottom"/>
          </w:tcPr>
          <w:p>
            <w:pPr>
              <w:jc w:val="right"/>
              <w:spacing w:after="0"/>
              <w:rPr>
                <w:sz w:val="20"/>
                <w:szCs w:val="20"/>
                <w:color w:val="auto"/>
              </w:rPr>
            </w:pPr>
            <w:r>
              <w:rPr>
                <w:rFonts w:ascii="Arial" w:cs="Arial" w:eastAsia="Arial" w:hAnsi="Arial"/>
                <w:sz w:val="14"/>
                <w:szCs w:val="14"/>
                <w:color w:val="auto"/>
              </w:rPr>
              <w:t>430,871</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Andrew S. Fraser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7,363</w:t>
            </w:r>
          </w:p>
        </w:tc>
        <w:tc>
          <w:tcPr>
            <w:tcW w:w="42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color w:val="auto"/>
              </w:rPr>
              <w:t>(5)</w:t>
            </w:r>
          </w:p>
        </w:tc>
        <w:tc>
          <w:tcPr>
            <w:tcW w:w="2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168,392</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13,314</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(8)</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304,491</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17,181</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(6)</w:t>
            </w:r>
          </w:p>
        </w:tc>
        <w:tc>
          <w:tcPr>
            <w:tcW w:w="1900" w:type="dxa"/>
            <w:vAlign w:val="bottom"/>
          </w:tcPr>
          <w:p>
            <w:pPr>
              <w:jc w:val="right"/>
              <w:spacing w:after="0"/>
              <w:rPr>
                <w:sz w:val="20"/>
                <w:szCs w:val="20"/>
                <w:color w:val="auto"/>
              </w:rPr>
            </w:pPr>
            <w:r>
              <w:rPr>
                <w:rFonts w:ascii="Arial" w:cs="Arial" w:eastAsia="Arial" w:hAnsi="Arial"/>
                <w:sz w:val="14"/>
                <w:szCs w:val="14"/>
                <w:color w:val="auto"/>
              </w:rPr>
              <w:t>392,929</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42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color w:val="auto"/>
              </w:rPr>
              <w:t>(1)</w:t>
            </w:r>
          </w:p>
        </w:tc>
        <w:tc>
          <w:tcPr>
            <w:tcW w:w="2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48,027</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5,567</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(3)</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127,317</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6,627</w:t>
            </w:r>
          </w:p>
        </w:tc>
        <w:tc>
          <w:tcPr>
            <w:tcW w:w="420" w:type="dxa"/>
            <w:vAlign w:val="bottom"/>
          </w:tcPr>
          <w:p>
            <w:pPr>
              <w:jc w:val="center"/>
              <w:ind w:right="145"/>
              <w:spacing w:after="0"/>
              <w:rPr>
                <w:sz w:val="20"/>
                <w:szCs w:val="20"/>
                <w:color w:val="auto"/>
              </w:rPr>
            </w:pPr>
            <w:r>
              <w:rPr>
                <w:rFonts w:ascii="Arial" w:cs="Arial" w:eastAsia="Arial" w:hAnsi="Arial"/>
                <w:sz w:val="11"/>
                <w:szCs w:val="11"/>
                <w:color w:val="auto"/>
              </w:rPr>
              <w:t>(5)</w:t>
            </w:r>
          </w:p>
        </w:tc>
        <w:tc>
          <w:tcPr>
            <w:tcW w:w="2200" w:type="dxa"/>
            <w:vAlign w:val="bottom"/>
          </w:tcPr>
          <w:p>
            <w:pPr>
              <w:jc w:val="right"/>
              <w:ind w:right="148"/>
              <w:spacing w:after="0"/>
              <w:rPr>
                <w:sz w:val="20"/>
                <w:szCs w:val="20"/>
                <w:color w:val="auto"/>
              </w:rPr>
            </w:pPr>
            <w:r>
              <w:rPr>
                <w:rFonts w:ascii="Arial" w:cs="Arial" w:eastAsia="Arial" w:hAnsi="Arial"/>
                <w:sz w:val="14"/>
                <w:szCs w:val="14"/>
                <w:color w:val="auto"/>
              </w:rPr>
              <w:t>151,559</w:t>
            </w: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6,299</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(2)</w:t>
            </w:r>
          </w:p>
        </w:tc>
        <w:tc>
          <w:tcPr>
            <w:tcW w:w="1900" w:type="dxa"/>
            <w:vAlign w:val="bottom"/>
          </w:tcPr>
          <w:p>
            <w:pPr>
              <w:jc w:val="right"/>
              <w:spacing w:after="0"/>
              <w:rPr>
                <w:sz w:val="20"/>
                <w:szCs w:val="20"/>
                <w:color w:val="auto"/>
              </w:rPr>
            </w:pPr>
            <w:r>
              <w:rPr>
                <w:rFonts w:ascii="Arial" w:cs="Arial" w:eastAsia="Arial" w:hAnsi="Arial"/>
                <w:sz w:val="14"/>
                <w:szCs w:val="14"/>
                <w:color w:val="auto"/>
              </w:rPr>
              <w:t>144,058</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12,525</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(4)</w:t>
            </w:r>
          </w:p>
        </w:tc>
        <w:tc>
          <w:tcPr>
            <w:tcW w:w="1900" w:type="dxa"/>
            <w:vAlign w:val="bottom"/>
          </w:tcPr>
          <w:p>
            <w:pPr>
              <w:jc w:val="right"/>
              <w:spacing w:after="0"/>
              <w:rPr>
                <w:sz w:val="20"/>
                <w:szCs w:val="20"/>
                <w:color w:val="auto"/>
              </w:rPr>
            </w:pPr>
            <w:r>
              <w:rPr>
                <w:rFonts w:ascii="Arial" w:cs="Arial" w:eastAsia="Arial" w:hAnsi="Arial"/>
                <w:sz w:val="14"/>
                <w:szCs w:val="14"/>
                <w:color w:val="auto"/>
              </w:rPr>
              <w:t>286,447</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15,463</w:t>
            </w:r>
          </w:p>
        </w:tc>
        <w:tc>
          <w:tcPr>
            <w:tcW w:w="460" w:type="dxa"/>
            <w:vAlign w:val="bottom"/>
          </w:tcPr>
          <w:p>
            <w:pPr>
              <w:jc w:val="right"/>
              <w:ind w:right="224"/>
              <w:spacing w:after="0"/>
              <w:rPr>
                <w:sz w:val="20"/>
                <w:szCs w:val="20"/>
                <w:color w:val="auto"/>
              </w:rPr>
            </w:pPr>
            <w:r>
              <w:rPr>
                <w:rFonts w:ascii="Arial" w:cs="Arial" w:eastAsia="Arial" w:hAnsi="Arial"/>
                <w:sz w:val="11"/>
                <w:szCs w:val="11"/>
                <w:color w:val="auto"/>
              </w:rPr>
              <w:t>(6)</w:t>
            </w:r>
          </w:p>
        </w:tc>
        <w:tc>
          <w:tcPr>
            <w:tcW w:w="1900" w:type="dxa"/>
            <w:vAlign w:val="bottom"/>
          </w:tcPr>
          <w:p>
            <w:pPr>
              <w:jc w:val="right"/>
              <w:spacing w:after="0"/>
              <w:rPr>
                <w:sz w:val="20"/>
                <w:szCs w:val="20"/>
                <w:color w:val="auto"/>
              </w:rPr>
            </w:pPr>
            <w:r>
              <w:rPr>
                <w:rFonts w:ascii="Arial" w:cs="Arial" w:eastAsia="Arial" w:hAnsi="Arial"/>
                <w:sz w:val="14"/>
                <w:szCs w:val="14"/>
                <w:color w:val="auto"/>
              </w:rPr>
              <w:t>353,639</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right="2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February 23, 2023 that vests at the rate of 33.33% per year, with vesting dates of February 23, 2024, February 23, 2025 and February 23, 2026.</w:t>
      </w:r>
    </w:p>
    <w:p>
      <w:pPr>
        <w:spacing w:after="0" w:line="80" w:lineRule="exact"/>
        <w:rPr>
          <w:rFonts w:ascii="Arial" w:cs="Arial" w:eastAsia="Arial" w:hAnsi="Arial"/>
          <w:sz w:val="19"/>
          <w:szCs w:val="19"/>
          <w:color w:val="auto"/>
          <w:vertAlign w:val="superscript"/>
        </w:rPr>
      </w:pPr>
    </w:p>
    <w:p>
      <w:pPr>
        <w:ind w:left="260" w:right="360" w:hanging="252"/>
        <w:spacing w:after="0" w:line="305" w:lineRule="auto"/>
        <w:tabs>
          <w:tab w:leader="none" w:pos="264" w:val="left"/>
        </w:tabs>
        <w:numPr>
          <w:ilvl w:val="0"/>
          <w:numId w:val="50"/>
        </w:numPr>
        <w:rPr>
          <w:rFonts w:ascii="Arial" w:cs="Arial" w:eastAsia="Arial" w:hAnsi="Arial"/>
          <w:sz w:val="9"/>
          <w:szCs w:val="9"/>
          <w:color w:val="auto"/>
        </w:rPr>
      </w:pPr>
      <w:r>
        <w:rPr>
          <w:rFonts w:ascii="Arial" w:cs="Arial" w:eastAsia="Arial" w:hAnsi="Arial"/>
          <w:sz w:val="14"/>
          <w:szCs w:val="14"/>
          <w:color w:val="auto"/>
        </w:rPr>
        <w:t>Performance share award of February 23, 2023 that vests on February 23, 2026, which is reported assuming target level achievement of the relative TSR performance metric and the cumulative cash flows provided by operating activities performance hurdle.</w:t>
      </w:r>
    </w:p>
    <w:p>
      <w:pPr>
        <w:spacing w:after="0" w:line="21" w:lineRule="exact"/>
        <w:rPr>
          <w:rFonts w:ascii="Arial" w:cs="Arial" w:eastAsia="Arial" w:hAnsi="Arial"/>
          <w:sz w:val="9"/>
          <w:szCs w:val="9"/>
          <w:color w:val="auto"/>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March 2, 2024 that vests at the rate of 33.33% per year, with vesting dates of March 2, 2025, March 2, 2026 and March 2, 2027.</w:t>
      </w:r>
    </w:p>
    <w:p>
      <w:pPr>
        <w:spacing w:after="0" w:line="93" w:lineRule="exact"/>
        <w:rPr>
          <w:rFonts w:ascii="Arial" w:cs="Arial" w:eastAsia="Arial" w:hAnsi="Arial"/>
          <w:sz w:val="19"/>
          <w:szCs w:val="19"/>
          <w:color w:val="auto"/>
          <w:vertAlign w:val="superscript"/>
        </w:rPr>
      </w:pPr>
    </w:p>
    <w:p>
      <w:pPr>
        <w:ind w:left="260" w:right="1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March 2, 2024 that vests on March 2, 2027, which is reported assuming target level achievement of the relative TSR performance metric and the three-year growth in EBITDA performance hurdle.</w:t>
      </w:r>
    </w:p>
    <w:p>
      <w:pPr>
        <w:spacing w:after="0" w:line="80"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9"/>
          <w:szCs w:val="9"/>
          <w:color w:val="auto"/>
        </w:rPr>
      </w:pPr>
      <w:r>
        <w:rPr>
          <w:rFonts w:ascii="Arial" w:cs="Arial" w:eastAsia="Arial" w:hAnsi="Arial"/>
          <w:sz w:val="14"/>
          <w:szCs w:val="14"/>
          <w:color w:val="auto"/>
        </w:rPr>
        <w:t>Phantom share units award of March 3, 2025 that vests at the rate of 33.33% per year, with vesting dates of March 3, 2026, March 3, 2027 and March 3, 2028.</w:t>
      </w:r>
    </w:p>
    <w:p>
      <w:pPr>
        <w:spacing w:after="0" w:line="122" w:lineRule="exact"/>
        <w:rPr>
          <w:rFonts w:ascii="Arial" w:cs="Arial" w:eastAsia="Arial" w:hAnsi="Arial"/>
          <w:sz w:val="9"/>
          <w:szCs w:val="9"/>
          <w:color w:val="auto"/>
        </w:rPr>
      </w:pPr>
    </w:p>
    <w:p>
      <w:pPr>
        <w:ind w:left="260" w:right="1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March 3, 2025 that vests on March 3, 2028, which is reported assuming target level achievement of the relative TSR performance metric and the three-year growth in EBITDA performance hurdle.</w:t>
      </w:r>
    </w:p>
    <w:p>
      <w:pPr>
        <w:spacing w:after="0" w:line="6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June 10, 2024 grant to Mr. Gerry that vests on March 2, 2025, March 2, 2026 and March 2, 2027.</w:t>
      </w:r>
    </w:p>
    <w:p>
      <w:pPr>
        <w:spacing w:after="0" w:line="93" w:lineRule="exact"/>
        <w:rPr>
          <w:rFonts w:ascii="Arial" w:cs="Arial" w:eastAsia="Arial" w:hAnsi="Arial"/>
          <w:sz w:val="19"/>
          <w:szCs w:val="19"/>
          <w:color w:val="auto"/>
          <w:vertAlign w:val="superscript"/>
        </w:rPr>
      </w:pPr>
    </w:p>
    <w:p>
      <w:pPr>
        <w:ind w:left="260" w:right="12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August 19, 2024 granted to Mr. Fraser that vests at the rate of 33.33% per year, with vesting dates of August 19, 2025, August 19, 2026 and August 19, 2027.</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Stock Vested</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following table provides information for our NEOs for the period from January 1, 2025 to December 31, 2025 regarding the number of our common shares acquired upon the vesting of stock awards and the value realized, each before payment of any applicable withholding tax. No NEOs have any options outstanding or have exercised any options in the fiscal year. Reported values for the stock awards were calculated based on the number of stock awards vesting multiplied by the closing share price on the date of vesting.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4140" w:type="dxa"/>
            <w:vAlign w:val="bottom"/>
            <w:tcBorders>
              <w:bottom w:val="single" w:sz="8" w:color="006DB6"/>
            </w:tcBorders>
          </w:tcPr>
          <w:p>
            <w:pPr>
              <w:jc w:val="right"/>
              <w:ind w:right="548"/>
              <w:spacing w:after="0"/>
              <w:rPr>
                <w:sz w:val="20"/>
                <w:szCs w:val="20"/>
                <w:color w:val="auto"/>
              </w:rPr>
            </w:pPr>
            <w:r>
              <w:rPr>
                <w:rFonts w:ascii="Arial" w:cs="Arial" w:eastAsia="Arial" w:hAnsi="Arial"/>
                <w:sz w:val="14"/>
                <w:szCs w:val="14"/>
                <w:b w:val="1"/>
                <w:bCs w:val="1"/>
                <w:color w:val="706F6F"/>
              </w:rPr>
              <w:t>Stock Awards</w:t>
            </w:r>
          </w:p>
        </w:tc>
        <w:tc>
          <w:tcPr>
            <w:tcW w:w="196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4140" w:type="dxa"/>
            <w:vAlign w:val="bottom"/>
          </w:tcPr>
          <w:p>
            <w:pPr>
              <w:jc w:val="right"/>
              <w:ind w:right="1248"/>
              <w:spacing w:after="0"/>
              <w:rPr>
                <w:sz w:val="20"/>
                <w:szCs w:val="20"/>
                <w:color w:val="auto"/>
              </w:rPr>
            </w:pPr>
            <w:r>
              <w:rPr>
                <w:rFonts w:ascii="Arial" w:cs="Arial" w:eastAsia="Arial" w:hAnsi="Arial"/>
                <w:sz w:val="14"/>
                <w:szCs w:val="14"/>
                <w:b w:val="1"/>
                <w:bCs w:val="1"/>
                <w:color w:val="706F6F"/>
              </w:rPr>
              <w:t>Number of Shares</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706F6F"/>
              </w:rPr>
              <w:t>Value</w:t>
            </w:r>
          </w:p>
        </w:tc>
        <w:tc>
          <w:tcPr>
            <w:tcW w:w="0" w:type="dxa"/>
            <w:vAlign w:val="bottom"/>
          </w:tcPr>
          <w:p>
            <w:pPr>
              <w:spacing w:after="0"/>
              <w:rPr>
                <w:sz w:val="1"/>
                <w:szCs w:val="1"/>
                <w:color w:val="auto"/>
              </w:rPr>
            </w:pPr>
          </w:p>
        </w:tc>
      </w:tr>
      <w:tr>
        <w:trPr>
          <w:trHeight w:val="17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4140" w:type="dxa"/>
            <w:vAlign w:val="bottom"/>
          </w:tcPr>
          <w:p>
            <w:pPr>
              <w:jc w:val="right"/>
              <w:ind w:right="1248"/>
              <w:spacing w:after="0"/>
              <w:rPr>
                <w:sz w:val="20"/>
                <w:szCs w:val="20"/>
                <w:color w:val="auto"/>
              </w:rPr>
            </w:pPr>
            <w:r>
              <w:rPr>
                <w:rFonts w:ascii="Arial" w:cs="Arial" w:eastAsia="Arial" w:hAnsi="Arial"/>
                <w:sz w:val="14"/>
                <w:szCs w:val="14"/>
                <w:b w:val="1"/>
                <w:bCs w:val="1"/>
                <w:color w:val="706F6F"/>
              </w:rPr>
              <w:t>Acquired on Vesting</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706F6F"/>
              </w:rPr>
              <w:t>Realized on Vesting</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006DB6"/>
            </w:tcBorders>
            <w:vMerge w:val="continue"/>
          </w:tcPr>
          <w:p>
            <w:pPr>
              <w:spacing w:after="0"/>
              <w:rPr>
                <w:sz w:val="17"/>
                <w:szCs w:val="17"/>
                <w:color w:val="auto"/>
              </w:rPr>
            </w:pPr>
          </w:p>
        </w:tc>
        <w:tc>
          <w:tcPr>
            <w:tcW w:w="4140" w:type="dxa"/>
            <w:vAlign w:val="bottom"/>
            <w:tcBorders>
              <w:bottom w:val="single" w:sz="8" w:color="006DB6"/>
            </w:tcBorders>
          </w:tcPr>
          <w:p>
            <w:pPr>
              <w:jc w:val="right"/>
              <w:ind w:right="1248"/>
              <w:spacing w:after="0"/>
              <w:rPr>
                <w:sz w:val="20"/>
                <w:szCs w:val="20"/>
                <w:color w:val="auto"/>
              </w:rPr>
            </w:pPr>
            <w:r>
              <w:rPr>
                <w:rFonts w:ascii="Arial" w:cs="Arial" w:eastAsia="Arial" w:hAnsi="Arial"/>
                <w:sz w:val="14"/>
                <w:szCs w:val="14"/>
                <w:b w:val="1"/>
                <w:bCs w:val="1"/>
                <w:color w:val="706F6F"/>
              </w:rPr>
              <w:t>(#)</w:t>
            </w:r>
          </w:p>
        </w:tc>
        <w:tc>
          <w:tcPr>
            <w:tcW w:w="19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1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84,102</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2,194,081</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41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17,607</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444,978</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41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6,657</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146,987</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1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14,837</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385,545</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Potential Payments upon Termination or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Agreements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table below reflects the amount of compensation that would have been payable to Messrs. Dodson, Gerry, Fraser and McCann pursuant to their Executive Agreements in the event of a qualified termination on December 31, 2025, which is defined as (i) an involuntary termination of the executive officer by Civeo other than for Cause (or resignation for Good Reason, with respect to Mr. Gerry) outside the context of a Change in Control or (ii) either an involuntary termination other than for Cause or a voluntary termination by the executive for Good Reason, in each case, during a specified period of time after a “Change of Control” of Civeo. The scope and terms of compensation due to each named executive officer upon non-change of control voluntary terminations, early retirement, retirement, for Cause termination and in the event of disability or death of the executive are the same as for all salaried employees.</w:t>
      </w:r>
    </w:p>
    <w:p>
      <w:pPr>
        <w:spacing w:after="0" w:line="8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amounts shown in the table assume that such qualified termination was effective as of December 31, 2025 and, therefore, are estimates of the amounts which would be paid out to the executives upon their terminations. The actual amounts to be paid can only be determined at the time of such executive’s separation from Civeo. For a discussion of the terms of the Executive Agreements, see “Compensation Discussion and Analysis—Executive Agreements.”</w:t>
      </w:r>
    </w:p>
    <w:p>
      <w:pPr>
        <w:spacing w:after="0" w:line="56"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For purposes of the Executive Agreements, Cause generally includes conviction of or plea of nolo contendere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(or, for Mr. Fraser, conduct that would constitute "just cause" at common law). Good Reason generally includes material reduction in the executive’s authorities, duties or responsibilities, material reduction in the executive’s compensation and benefits, failure of a successor to assume the agreement or a relocation of the executive’s principal place of employment more than 50 miles from its previous location.</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Equity Awards</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Civeo phantom unit awards provide that such awards become fully vested on the termination of an employee’s employment due to the employee's death or a disability that entitles the employee to receive benefits under a long-term disability plan of Civeo. All outstanding awards would fully vest following a Change of Control where such awards are not assumed or converted following the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(generally as defined above) and prior to the payout of performance share awards, the executive is entitled to payout of the performance share awards under the terms provided within the Performance Share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379095</wp:posOffset>
            </wp:positionV>
            <wp:extent cx="394335" cy="1974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Quantification of Payments</w:t>
      </w:r>
    </w:p>
    <w:p>
      <w:pPr>
        <w:spacing w:after="0" w:line="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Shown in the table below are potential payments upon the assumed (i) involuntary not for Cause termination of the named executive officer by Civeo (or voluntary resignation for Good Reason by Mr. Gerry) on December 31, 2025, other than during the applicable protection period following a Change of Control ("NFC" in table below), (ii) involuntary not for Cause termination or termination by the named executive officer for Good Reason, in either case, during the 24-month period (for Mr. Dodson) or 18-month period (in the case of Messrs. Gerry, Fraser and McCann) following a Change of Control, occurring as of December 31, 2025 ("CIC" in the table below), or (iii) termination as a result of death, disability, or qualifying retirement on December 31, 2025, ("DDR" in the table below). As of December 31, 2025, only Mr. McCann was retirement eligible. None of Mr. Dodson’s potential payments as of December 31, 2025 would trigger a gross-up payment for excise taxes that would be reimbursed under his Executive Agreement.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260" w:type="dxa"/>
            <w:vAlign w:val="bottom"/>
            <w:tcBorders>
              <w:bottom w:val="single" w:sz="8" w:color="006DB6"/>
            </w:tcBorders>
          </w:tcPr>
          <w:p>
            <w:pPr>
              <w:spacing w:after="0"/>
              <w:rPr>
                <w:sz w:val="19"/>
                <w:szCs w:val="19"/>
                <w:color w:val="auto"/>
              </w:rPr>
            </w:pPr>
          </w:p>
        </w:tc>
        <w:tc>
          <w:tcPr>
            <w:tcW w:w="2080" w:type="dxa"/>
            <w:vAlign w:val="bottom"/>
            <w:tcBorders>
              <w:bottom w:val="single" w:sz="8" w:color="006DB6"/>
            </w:tcBorders>
            <w:gridSpan w:val="3"/>
          </w:tcPr>
          <w:p>
            <w:pPr>
              <w:jc w:val="center"/>
              <w:ind w:left="701"/>
              <w:spacing w:after="0"/>
              <w:rPr>
                <w:sz w:val="20"/>
                <w:szCs w:val="20"/>
                <w:color w:val="auto"/>
              </w:rPr>
            </w:pPr>
            <w:r>
              <w:rPr>
                <w:rFonts w:ascii="Arial" w:cs="Arial" w:eastAsia="Arial" w:hAnsi="Arial"/>
                <w:sz w:val="14"/>
                <w:szCs w:val="14"/>
                <w:b w:val="1"/>
                <w:bCs w:val="1"/>
                <w:color w:val="706F6F"/>
              </w:rPr>
              <w:t>Bradley J. Dodson</w:t>
            </w:r>
          </w:p>
        </w:tc>
        <w:tc>
          <w:tcPr>
            <w:tcW w:w="180" w:type="dxa"/>
            <w:vAlign w:val="bottom"/>
            <w:tcBorders>
              <w:bottom w:val="single" w:sz="8" w:color="006DB6"/>
            </w:tcBorders>
          </w:tcPr>
          <w:p>
            <w:pPr>
              <w:spacing w:after="0"/>
              <w:rPr>
                <w:sz w:val="19"/>
                <w:szCs w:val="19"/>
                <w:color w:val="auto"/>
              </w:rPr>
            </w:pPr>
          </w:p>
        </w:tc>
        <w:tc>
          <w:tcPr>
            <w:tcW w:w="860" w:type="dxa"/>
            <w:vAlign w:val="bottom"/>
            <w:tcBorders>
              <w:bottom w:val="single" w:sz="8" w:color="006DB6"/>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006DB6"/>
            </w:tcBorders>
          </w:tcPr>
          <w:p>
            <w:pPr>
              <w:spacing w:after="0"/>
              <w:rPr>
                <w:sz w:val="19"/>
                <w:szCs w:val="19"/>
                <w:color w:val="auto"/>
              </w:rPr>
            </w:pPr>
          </w:p>
        </w:tc>
        <w:tc>
          <w:tcPr>
            <w:tcW w:w="860" w:type="dxa"/>
            <w:vAlign w:val="bottom"/>
            <w:tcBorders>
              <w:bottom w:val="single" w:sz="8" w:color="006DB6"/>
            </w:tcBorders>
          </w:tcPr>
          <w:p>
            <w:pPr>
              <w:spacing w:after="0"/>
              <w:rPr>
                <w:sz w:val="19"/>
                <w:szCs w:val="19"/>
                <w:color w:val="auto"/>
              </w:rPr>
            </w:pPr>
          </w:p>
        </w:tc>
        <w:tc>
          <w:tcPr>
            <w:tcW w:w="1200" w:type="dxa"/>
            <w:vAlign w:val="bottom"/>
            <w:tcBorders>
              <w:bottom w:val="single" w:sz="8" w:color="006DB6"/>
            </w:tcBorders>
            <w:gridSpan w:val="2"/>
          </w:tcPr>
          <w:p>
            <w:pPr>
              <w:jc w:val="right"/>
              <w:ind w:right="80"/>
              <w:spacing w:after="0"/>
              <w:rPr>
                <w:sz w:val="20"/>
                <w:szCs w:val="20"/>
                <w:color w:val="auto"/>
              </w:rPr>
            </w:pPr>
            <w:r>
              <w:rPr>
                <w:rFonts w:ascii="Arial" w:cs="Arial" w:eastAsia="Arial" w:hAnsi="Arial"/>
                <w:sz w:val="14"/>
                <w:szCs w:val="14"/>
                <w:b w:val="1"/>
                <w:bCs w:val="1"/>
                <w:color w:val="706F6F"/>
              </w:rPr>
              <w:t>E. Collin Gerry</w:t>
            </w:r>
          </w:p>
        </w:tc>
        <w:tc>
          <w:tcPr>
            <w:tcW w:w="140" w:type="dxa"/>
            <w:vAlign w:val="bottom"/>
            <w:tcBorders>
              <w:bottom w:val="single" w:sz="8" w:color="006DB6"/>
            </w:tcBorders>
          </w:tcPr>
          <w:p>
            <w:pPr>
              <w:spacing w:after="0"/>
              <w:rPr>
                <w:sz w:val="19"/>
                <w:szCs w:val="19"/>
                <w:color w:val="auto"/>
              </w:rPr>
            </w:pPr>
          </w:p>
        </w:tc>
        <w:tc>
          <w:tcPr>
            <w:tcW w:w="820" w:type="dxa"/>
            <w:vAlign w:val="bottom"/>
            <w:tcBorders>
              <w:bottom w:val="single" w:sz="8" w:color="006DB6"/>
            </w:tcBorders>
          </w:tcPr>
          <w:p>
            <w:pPr>
              <w:spacing w:after="0"/>
              <w:rPr>
                <w:sz w:val="19"/>
                <w:szCs w:val="19"/>
                <w:color w:val="auto"/>
              </w:rPr>
            </w:pPr>
          </w:p>
        </w:tc>
      </w:tr>
      <w:tr>
        <w:trPr>
          <w:trHeight w:val="237"/>
        </w:trPr>
        <w:tc>
          <w:tcPr>
            <w:tcW w:w="3160" w:type="dxa"/>
            <w:vAlign w:val="bottom"/>
            <w:tcBorders>
              <w:bottom w:val="single" w:sz="8" w:color="006DB6"/>
            </w:tcBorders>
          </w:tcPr>
          <w:p>
            <w:pPr>
              <w:spacing w:after="0"/>
              <w:rPr>
                <w:sz w:val="20"/>
                <w:szCs w:val="20"/>
                <w:color w:val="auto"/>
              </w:rPr>
            </w:pPr>
          </w:p>
        </w:tc>
        <w:tc>
          <w:tcPr>
            <w:tcW w:w="26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40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center"/>
              <w:ind w:right="280"/>
              <w:spacing w:after="0"/>
              <w:rPr>
                <w:sz w:val="20"/>
                <w:szCs w:val="20"/>
                <w:color w:val="auto"/>
              </w:rPr>
            </w:pPr>
            <w:r>
              <w:rPr>
                <w:rFonts w:ascii="Arial" w:cs="Arial" w:eastAsia="Arial" w:hAnsi="Arial"/>
                <w:sz w:val="14"/>
                <w:szCs w:val="14"/>
                <w:b w:val="1"/>
                <w:bCs w:val="1"/>
                <w:color w:val="706F6F"/>
                <w:w w:val="99"/>
              </w:rPr>
              <w:t>CIC</w:t>
            </w:r>
          </w:p>
        </w:tc>
        <w:tc>
          <w:tcPr>
            <w:tcW w:w="18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gridSpan w:val="2"/>
          </w:tcPr>
          <w:p>
            <w:pPr>
              <w:ind w:left="160"/>
              <w:spacing w:after="0"/>
              <w:rPr>
                <w:sz w:val="20"/>
                <w:szCs w:val="20"/>
                <w:color w:val="auto"/>
              </w:rPr>
            </w:pPr>
            <w:r>
              <w:rPr>
                <w:rFonts w:ascii="Arial" w:cs="Arial" w:eastAsia="Arial" w:hAnsi="Arial"/>
                <w:sz w:val="14"/>
                <w:szCs w:val="14"/>
                <w:b w:val="1"/>
                <w:bCs w:val="1"/>
                <w:color w:val="706F6F"/>
              </w:rPr>
              <w:t>DDR</w:t>
            </w:r>
          </w:p>
        </w:tc>
        <w:tc>
          <w:tcPr>
            <w:tcW w:w="2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60" w:type="dxa"/>
            <w:vAlign w:val="bottom"/>
            <w:tcBorders>
              <w:bottom w:val="single" w:sz="8" w:color="006DB6"/>
            </w:tcBorders>
          </w:tcPr>
          <w:p>
            <w:pPr>
              <w:jc w:val="right"/>
              <w:ind w:right="480"/>
              <w:spacing w:after="0"/>
              <w:rPr>
                <w:sz w:val="20"/>
                <w:szCs w:val="20"/>
                <w:color w:val="auto"/>
              </w:rPr>
            </w:pPr>
            <w:r>
              <w:rPr>
                <w:rFonts w:ascii="Arial" w:cs="Arial" w:eastAsia="Arial" w:hAnsi="Arial"/>
                <w:sz w:val="14"/>
                <w:szCs w:val="14"/>
                <w:b w:val="1"/>
                <w:bCs w:val="1"/>
                <w:color w:val="706F6F"/>
              </w:rPr>
              <w:t>CIC</w:t>
            </w:r>
          </w:p>
        </w:tc>
        <w:tc>
          <w:tcPr>
            <w:tcW w:w="140" w:type="dxa"/>
            <w:vAlign w:val="bottom"/>
            <w:tcBorders>
              <w:bottom w:val="single" w:sz="8" w:color="006DB6"/>
            </w:tcBorders>
          </w:tcPr>
          <w:p>
            <w:pPr>
              <w:spacing w:after="0"/>
              <w:rPr>
                <w:sz w:val="20"/>
                <w:szCs w:val="20"/>
                <w:color w:val="auto"/>
              </w:rPr>
            </w:pPr>
          </w:p>
        </w:tc>
        <w:tc>
          <w:tcPr>
            <w:tcW w:w="82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6F6F"/>
              </w:rPr>
              <w:t>DDR</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Benefits and Payments due 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Separation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4"/>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3,000,000</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627,000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940,500</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6,071,322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6,071,322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6,071,322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361,174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1,208,725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1,208,725</w:t>
            </w:r>
          </w:p>
        </w:tc>
      </w:tr>
      <w:tr>
        <w:trPr>
          <w:trHeight w:val="23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81"/>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89,624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134,435</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45,520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68,281</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112,500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57,000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7,660,946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9,318,257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6,071,322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1,033,694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2,274,506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1,208,725</w:t>
            </w:r>
          </w:p>
        </w:tc>
      </w:tr>
      <w:tr>
        <w:trPr>
          <w:trHeight w:val="479"/>
        </w:trPr>
        <w:tc>
          <w:tcPr>
            <w:tcW w:w="3160" w:type="dxa"/>
            <w:vAlign w:val="bottom"/>
          </w:tcPr>
          <w:p>
            <w:pPr>
              <w:spacing w:after="0"/>
              <w:rPr>
                <w:sz w:val="24"/>
                <w:szCs w:val="24"/>
                <w:color w:val="auto"/>
              </w:rPr>
            </w:pPr>
          </w:p>
        </w:tc>
        <w:tc>
          <w:tcPr>
            <w:tcW w:w="260" w:type="dxa"/>
            <w:vAlign w:val="bottom"/>
            <w:tcBorders>
              <w:bottom w:val="single" w:sz="8" w:color="006DB6"/>
            </w:tcBorders>
          </w:tcPr>
          <w:p>
            <w:pPr>
              <w:spacing w:after="0"/>
              <w:rPr>
                <w:sz w:val="24"/>
                <w:szCs w:val="24"/>
                <w:color w:val="auto"/>
              </w:rPr>
            </w:pPr>
          </w:p>
        </w:tc>
        <w:tc>
          <w:tcPr>
            <w:tcW w:w="2080" w:type="dxa"/>
            <w:vAlign w:val="bottom"/>
            <w:tcBorders>
              <w:bottom w:val="single" w:sz="8" w:color="006DB6"/>
            </w:tcBorders>
            <w:gridSpan w:val="3"/>
          </w:tcPr>
          <w:p>
            <w:pPr>
              <w:jc w:val="center"/>
              <w:ind w:left="701"/>
              <w:spacing w:after="0"/>
              <w:rPr>
                <w:sz w:val="20"/>
                <w:szCs w:val="20"/>
                <w:color w:val="auto"/>
              </w:rPr>
            </w:pPr>
            <w:r>
              <w:rPr>
                <w:rFonts w:ascii="Arial" w:cs="Arial" w:eastAsia="Arial" w:hAnsi="Arial"/>
                <w:sz w:val="14"/>
                <w:szCs w:val="14"/>
                <w:b w:val="1"/>
                <w:bCs w:val="1"/>
                <w:color w:val="706F6F"/>
              </w:rPr>
              <w:t>Andrew S. Fraser</w:t>
            </w:r>
            <w:r>
              <w:rPr>
                <w:rFonts w:ascii="Arial" w:cs="Arial" w:eastAsia="Arial" w:hAnsi="Arial"/>
                <w:sz w:val="18"/>
                <w:szCs w:val="18"/>
                <w:b w:val="1"/>
                <w:bCs w:val="1"/>
                <w:color w:val="706F6F"/>
                <w:vertAlign w:val="superscript"/>
              </w:rPr>
              <w:t>(4)</w:t>
            </w:r>
          </w:p>
        </w:tc>
        <w:tc>
          <w:tcPr>
            <w:tcW w:w="180" w:type="dxa"/>
            <w:vAlign w:val="bottom"/>
            <w:tcBorders>
              <w:bottom w:val="single" w:sz="8" w:color="006DB6"/>
            </w:tcBorders>
          </w:tcPr>
          <w:p>
            <w:pPr>
              <w:spacing w:after="0"/>
              <w:rPr>
                <w:sz w:val="24"/>
                <w:szCs w:val="24"/>
                <w:color w:val="auto"/>
              </w:rPr>
            </w:pPr>
          </w:p>
        </w:tc>
        <w:tc>
          <w:tcPr>
            <w:tcW w:w="860" w:type="dxa"/>
            <w:vAlign w:val="bottom"/>
            <w:tcBorders>
              <w:bottom w:val="single" w:sz="8" w:color="006DB6"/>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006DB6"/>
            </w:tcBorders>
          </w:tcPr>
          <w:p>
            <w:pPr>
              <w:spacing w:after="0"/>
              <w:rPr>
                <w:sz w:val="24"/>
                <w:szCs w:val="24"/>
                <w:color w:val="auto"/>
              </w:rPr>
            </w:pPr>
          </w:p>
        </w:tc>
        <w:tc>
          <w:tcPr>
            <w:tcW w:w="2060" w:type="dxa"/>
            <w:vAlign w:val="bottom"/>
            <w:tcBorders>
              <w:bottom w:val="single" w:sz="8" w:color="006DB6"/>
            </w:tcBorders>
            <w:gridSpan w:val="3"/>
          </w:tcPr>
          <w:p>
            <w:pPr>
              <w:jc w:val="right"/>
              <w:spacing w:after="0"/>
              <w:rPr>
                <w:sz w:val="20"/>
                <w:szCs w:val="20"/>
                <w:color w:val="auto"/>
              </w:rPr>
            </w:pPr>
            <w:r>
              <w:rPr>
                <w:rFonts w:ascii="Arial" w:cs="Arial" w:eastAsia="Arial" w:hAnsi="Arial"/>
                <w:sz w:val="14"/>
                <w:szCs w:val="14"/>
                <w:b w:val="1"/>
                <w:bCs w:val="1"/>
                <w:color w:val="706F6F"/>
              </w:rPr>
              <w:t>Peter L. McCann</w:t>
            </w:r>
            <w:r>
              <w:rPr>
                <w:rFonts w:ascii="Arial" w:cs="Arial" w:eastAsia="Arial" w:hAnsi="Arial"/>
                <w:sz w:val="18"/>
                <w:szCs w:val="18"/>
                <w:b w:val="1"/>
                <w:bCs w:val="1"/>
                <w:color w:val="706F6F"/>
                <w:vertAlign w:val="superscript"/>
              </w:rPr>
              <w:t>(5)</w:t>
            </w:r>
          </w:p>
        </w:tc>
        <w:tc>
          <w:tcPr>
            <w:tcW w:w="140" w:type="dxa"/>
            <w:vAlign w:val="bottom"/>
            <w:tcBorders>
              <w:bottom w:val="single" w:sz="8" w:color="006DB6"/>
            </w:tcBorders>
          </w:tcPr>
          <w:p>
            <w:pPr>
              <w:spacing w:after="0"/>
              <w:rPr>
                <w:sz w:val="24"/>
                <w:szCs w:val="24"/>
                <w:color w:val="auto"/>
              </w:rPr>
            </w:pPr>
          </w:p>
        </w:tc>
        <w:tc>
          <w:tcPr>
            <w:tcW w:w="820" w:type="dxa"/>
            <w:vAlign w:val="bottom"/>
            <w:tcBorders>
              <w:bottom w:val="single" w:sz="8" w:color="006DB6"/>
            </w:tcBorders>
          </w:tcPr>
          <w:p>
            <w:pPr>
              <w:spacing w:after="0"/>
              <w:rPr>
                <w:sz w:val="24"/>
                <w:szCs w:val="24"/>
                <w:color w:val="auto"/>
              </w:rPr>
            </w:pPr>
          </w:p>
        </w:tc>
      </w:tr>
      <w:tr>
        <w:trPr>
          <w:trHeight w:val="237"/>
        </w:trPr>
        <w:tc>
          <w:tcPr>
            <w:tcW w:w="3160" w:type="dxa"/>
            <w:vAlign w:val="bottom"/>
            <w:tcBorders>
              <w:bottom w:val="single" w:sz="8" w:color="006DB6"/>
            </w:tcBorders>
          </w:tcPr>
          <w:p>
            <w:pPr>
              <w:spacing w:after="0"/>
              <w:rPr>
                <w:sz w:val="20"/>
                <w:szCs w:val="20"/>
                <w:color w:val="auto"/>
              </w:rPr>
            </w:pPr>
          </w:p>
        </w:tc>
        <w:tc>
          <w:tcPr>
            <w:tcW w:w="26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28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320"/>
              <w:spacing w:after="0"/>
              <w:rPr>
                <w:sz w:val="20"/>
                <w:szCs w:val="20"/>
                <w:color w:val="auto"/>
              </w:rPr>
            </w:pPr>
            <w:r>
              <w:rPr>
                <w:rFonts w:ascii="Arial" w:cs="Arial" w:eastAsia="Arial" w:hAnsi="Arial"/>
                <w:sz w:val="14"/>
                <w:szCs w:val="14"/>
                <w:b w:val="1"/>
                <w:bCs w:val="1"/>
                <w:color w:val="706F6F"/>
              </w:rPr>
              <w:t>CIC</w:t>
            </w:r>
          </w:p>
        </w:tc>
        <w:tc>
          <w:tcPr>
            <w:tcW w:w="18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gridSpan w:val="2"/>
          </w:tcPr>
          <w:p>
            <w:pPr>
              <w:ind w:left="240"/>
              <w:spacing w:after="0"/>
              <w:rPr>
                <w:sz w:val="20"/>
                <w:szCs w:val="20"/>
                <w:color w:val="auto"/>
              </w:rPr>
            </w:pPr>
            <w:r>
              <w:rPr>
                <w:rFonts w:ascii="Arial" w:cs="Arial" w:eastAsia="Arial" w:hAnsi="Arial"/>
                <w:sz w:val="14"/>
                <w:szCs w:val="14"/>
                <w:b w:val="1"/>
                <w:bCs w:val="1"/>
                <w:color w:val="706F6F"/>
              </w:rPr>
              <w:t>DDR</w:t>
            </w:r>
          </w:p>
        </w:tc>
        <w:tc>
          <w:tcPr>
            <w:tcW w:w="2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60" w:type="dxa"/>
            <w:vAlign w:val="bottom"/>
            <w:tcBorders>
              <w:bottom w:val="single" w:sz="8" w:color="006DB6"/>
            </w:tcBorders>
          </w:tcPr>
          <w:p>
            <w:pPr>
              <w:jc w:val="right"/>
              <w:ind w:right="480"/>
              <w:spacing w:after="0"/>
              <w:rPr>
                <w:sz w:val="20"/>
                <w:szCs w:val="20"/>
                <w:color w:val="auto"/>
              </w:rPr>
            </w:pPr>
            <w:r>
              <w:rPr>
                <w:rFonts w:ascii="Arial" w:cs="Arial" w:eastAsia="Arial" w:hAnsi="Arial"/>
                <w:sz w:val="14"/>
                <w:szCs w:val="14"/>
                <w:b w:val="1"/>
                <w:bCs w:val="1"/>
                <w:color w:val="706F6F"/>
              </w:rPr>
              <w:t>CIC</w:t>
            </w:r>
          </w:p>
        </w:tc>
        <w:tc>
          <w:tcPr>
            <w:tcW w:w="140" w:type="dxa"/>
            <w:vAlign w:val="bottom"/>
            <w:tcBorders>
              <w:bottom w:val="single" w:sz="8" w:color="006DB6"/>
            </w:tcBorders>
          </w:tcPr>
          <w:p>
            <w:pPr>
              <w:spacing w:after="0"/>
              <w:rPr>
                <w:sz w:val="20"/>
                <w:szCs w:val="20"/>
                <w:color w:val="auto"/>
              </w:rPr>
            </w:pPr>
          </w:p>
        </w:tc>
        <w:tc>
          <w:tcPr>
            <w:tcW w:w="82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6F6F"/>
              </w:rPr>
              <w:t>DDR</w:t>
            </w:r>
          </w:p>
        </w:tc>
      </w:tr>
      <w:tr>
        <w:trPr>
          <w:trHeight w:val="23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4"/>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608,260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1,216,520</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548,080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1,096,160</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601,306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865,812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865,812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306,264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1,111,047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1,111,047</w:t>
            </w:r>
          </w:p>
        </w:tc>
      </w:tr>
      <w:tr>
        <w:trPr>
          <w:trHeight w:val="23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81"/>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48,360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1,209,566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2,082,332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865,812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854,344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2,255,567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1,111,047</w:t>
            </w:r>
          </w:p>
        </w:tc>
      </w:tr>
    </w:tbl>
    <w:p>
      <w:pPr>
        <w:spacing w:after="0" w:line="328" w:lineRule="exact"/>
        <w:rPr>
          <w:sz w:val="20"/>
          <w:szCs w:val="20"/>
          <w:color w:val="auto"/>
        </w:rPr>
      </w:pPr>
    </w:p>
    <w:p>
      <w:pPr>
        <w:ind w:left="260" w:right="20" w:hanging="252"/>
        <w:spacing w:after="0" w:line="248"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Reflects the value of unvested phantom units and performance share awards as of December 31, 2025 that would be accelerated as a result of the separation event based on Civeo’s share price of $22.87, which was the closing market price of Civeo’s common shares on December 31, 2025. For performance shares, the payout is assumed at target level. In addition, the amounts reported in the “Stock Awards” row would be realized by the NEOs in the event of the occurrence of a Change of Control (even without the occurrence of a qualified termination if the awards are not assumed by the successor in the Change of Control transaction) or upon the NEO’s death or disability, in each case, occurring on December 31, 2025. The treatment of Performance Share Awards during a Change of Control is described more fully under “Compensation Program Components—Other Items - - Executive and Agreements".</w:t>
      </w:r>
    </w:p>
    <w:p>
      <w:pPr>
        <w:spacing w:after="0" w:line="89" w:lineRule="exact"/>
        <w:rPr>
          <w:rFonts w:ascii="Arial" w:cs="Arial" w:eastAsia="Arial" w:hAnsi="Arial"/>
          <w:sz w:val="19"/>
          <w:szCs w:val="19"/>
          <w:color w:val="auto"/>
          <w:vertAlign w:val="superscript"/>
        </w:rPr>
      </w:pPr>
    </w:p>
    <w:p>
      <w:pPr>
        <w:ind w:left="260" w:right="400" w:hanging="252"/>
        <w:spacing w:after="0" w:line="222"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Reflects the estimated lump-sum present value of all future premiums which would be paid on behalf of the NEO under Civeo’s health and welfare benefit plans for the applicable continuation period specified in the applicable Executive Agreement.</w:t>
      </w:r>
    </w:p>
    <w:p>
      <w:pPr>
        <w:spacing w:after="0" w:line="94"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9"/>
          <w:szCs w:val="9"/>
          <w:color w:val="auto"/>
        </w:rPr>
      </w:pPr>
      <w:r>
        <w:rPr>
          <w:rFonts w:ascii="Arial" w:cs="Arial" w:eastAsia="Arial" w:hAnsi="Arial"/>
          <w:sz w:val="14"/>
          <w:szCs w:val="14"/>
          <w:color w:val="auto"/>
        </w:rPr>
        <w:t>Reflects the maximum amount of outplacement assistance that would be provided for the NEO pursuant to the applicable Executive Agreement.</w:t>
      </w:r>
    </w:p>
    <w:p>
      <w:pPr>
        <w:spacing w:after="0" w:line="122" w:lineRule="exact"/>
        <w:rPr>
          <w:rFonts w:ascii="Arial" w:cs="Arial" w:eastAsia="Arial" w:hAnsi="Arial"/>
          <w:sz w:val="9"/>
          <w:szCs w:val="9"/>
          <w:color w:val="auto"/>
        </w:rPr>
      </w:pPr>
    </w:p>
    <w:p>
      <w:pPr>
        <w:ind w:left="260" w:right="500" w:hanging="252"/>
        <w:spacing w:after="0" w:line="231"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for Mr. Fraser would be paid in Canadian dollars and are reflected in this table in U.S. dollars using the average exchange rate for 2025 of $0.7156.</w:t>
      </w:r>
    </w:p>
    <w:p>
      <w:pPr>
        <w:spacing w:after="0" w:line="93" w:lineRule="exact"/>
        <w:rPr>
          <w:rFonts w:ascii="Arial" w:cs="Arial" w:eastAsia="Arial" w:hAnsi="Arial"/>
          <w:sz w:val="19"/>
          <w:szCs w:val="19"/>
          <w:color w:val="auto"/>
          <w:vertAlign w:val="superscript"/>
        </w:rPr>
      </w:pPr>
    </w:p>
    <w:p>
      <w:pPr>
        <w:ind w:left="260" w:right="100" w:hanging="252"/>
        <w:spacing w:after="0" w:line="222"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and Outplacement Assistance for Mr. McCann would be paid in Australian dollars and are reflected in this table in U.S. dollars using the average exchange rate for 2025 of $0.6448.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Ratio Disclosure</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2025 annual total compensation of our median compensated employee was $56,805. Mr. Dodson’s 2025 annual total compensation was $3,775,348 and the ratio of these two amounts was 66:1.</w:t>
      </w:r>
    </w:p>
    <w:p>
      <w:pPr>
        <w:spacing w:after="0" w:line="6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We identified the median-compensated employee from our employee population as of December 31, 2025 using base salary or wages and overtime paid during fiscal 2025, which we annualized for any permanent employee who was not employed for the entire year. We calculated the 2025 annual total compensation of the median-compensated employee in accordance with the requirements of Item 402(c)(2)(x) of Regulation S-K. The 2025 annual total compensation of Mr. Dodson is the amount reported in the “Total” column of the Summary Compensation Table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87630</wp:posOffset>
            </wp:positionV>
            <wp:extent cx="394335" cy="1974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Disclosure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Pay Versus Performance Table</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discussed in the Compensation Discussion and Analysis above, our Compensation Committee has implemented an executive compensation program designed to link a substantial portion of our NEOs' realized compensation to the achievement of our financial, operational, and strategic objectives, and to align our executive pay with changes in the value of our shareholders’ investments. The following table sets forth additional compensation information for our NEOs, calculated in accordance with SEC regulations, for each of 2021 through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4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b w:val="1"/>
                <w:bCs w:val="1"/>
                <w:color w:val="706F6F"/>
              </w:rPr>
              <w:t>Summary</w:t>
            </w:r>
          </w:p>
        </w:tc>
        <w:tc>
          <w:tcPr>
            <w:tcW w:w="1080" w:type="dxa"/>
            <w:vAlign w:val="bottom"/>
          </w:tcPr>
          <w:p>
            <w:pPr>
              <w:spacing w:after="0"/>
              <w:rPr>
                <w:sz w:val="13"/>
                <w:szCs w:val="13"/>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b w:val="1"/>
                <w:bCs w:val="1"/>
                <w:color w:val="706F6F"/>
                <w:w w:val="96"/>
              </w:rPr>
              <w:t>Average Summary</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Average</w:t>
            </w:r>
          </w:p>
        </w:tc>
      </w:tr>
      <w:tr>
        <w:trPr>
          <w:trHeight w:val="148"/>
        </w:trPr>
        <w:tc>
          <w:tcPr>
            <w:tcW w:w="400" w:type="dxa"/>
            <w:vAlign w:val="bottom"/>
          </w:tcPr>
          <w:p>
            <w:pPr>
              <w:spacing w:after="0"/>
              <w:rPr>
                <w:sz w:val="12"/>
                <w:szCs w:val="1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b w:val="1"/>
                <w:bCs w:val="1"/>
                <w:color w:val="706F6F"/>
              </w:rPr>
              <w:t>Compensation</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1220" w:type="dxa"/>
            <w:vAlign w:val="bottom"/>
          </w:tcPr>
          <w:p>
            <w:pPr>
              <w:jc w:val="right"/>
              <w:ind w:right="37"/>
              <w:spacing w:after="0"/>
              <w:rPr>
                <w:sz w:val="20"/>
                <w:szCs w:val="20"/>
                <w:color w:val="auto"/>
              </w:rPr>
            </w:pPr>
            <w:r>
              <w:rPr>
                <w:rFonts w:ascii="Arial" w:cs="Arial" w:eastAsia="Arial" w:hAnsi="Arial"/>
                <w:sz w:val="13"/>
                <w:szCs w:val="13"/>
                <w:b w:val="1"/>
                <w:bCs w:val="1"/>
                <w:color w:val="706F6F"/>
              </w:rPr>
              <w:t>Compensation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r>
      <w:tr>
        <w:trPr>
          <w:trHeight w:val="152"/>
        </w:trPr>
        <w:tc>
          <w:tcPr>
            <w:tcW w:w="400" w:type="dxa"/>
            <w:vAlign w:val="bottom"/>
          </w:tcPr>
          <w:p>
            <w:pPr>
              <w:spacing w:after="0"/>
              <w:rPr>
                <w:sz w:val="13"/>
                <w:szCs w:val="13"/>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b w:val="1"/>
                <w:bCs w:val="1"/>
                <w:color w:val="706F6F"/>
              </w:rPr>
              <w:t>Table Total for Mr.</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706F6F"/>
              </w:rPr>
              <w:t>Actually Paid to</w:t>
            </w:r>
          </w:p>
        </w:tc>
        <w:tc>
          <w:tcPr>
            <w:tcW w:w="1220" w:type="dxa"/>
            <w:vAlign w:val="bottom"/>
          </w:tcPr>
          <w:p>
            <w:pPr>
              <w:jc w:val="right"/>
              <w:ind w:right="37"/>
              <w:spacing w:after="0"/>
              <w:rPr>
                <w:sz w:val="20"/>
                <w:szCs w:val="20"/>
                <w:color w:val="auto"/>
              </w:rPr>
            </w:pPr>
            <w:r>
              <w:rPr>
                <w:rFonts w:ascii="Arial" w:cs="Arial" w:eastAsia="Arial" w:hAnsi="Arial"/>
                <w:sz w:val="13"/>
                <w:szCs w:val="13"/>
                <w:b w:val="1"/>
                <w:bCs w:val="1"/>
                <w:color w:val="706F6F"/>
              </w:rPr>
              <w:t>Table Total for</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Actually Paid to</w:t>
            </w:r>
          </w:p>
        </w:tc>
      </w:tr>
      <w:tr>
        <w:trPr>
          <w:trHeight w:val="237"/>
        </w:trPr>
        <w:tc>
          <w:tcPr>
            <w:tcW w:w="400" w:type="dxa"/>
            <w:vAlign w:val="bottom"/>
          </w:tcPr>
          <w:p>
            <w:pPr>
              <w:spacing w:after="0"/>
              <w:rPr>
                <w:sz w:val="20"/>
                <w:szCs w:val="20"/>
                <w:color w:val="auto"/>
              </w:rPr>
            </w:pPr>
            <w:r>
              <w:rPr>
                <w:rFonts w:ascii="Arial" w:cs="Arial" w:eastAsia="Arial" w:hAnsi="Arial"/>
                <w:sz w:val="13"/>
                <w:szCs w:val="13"/>
                <w:b w:val="1"/>
                <w:bCs w:val="1"/>
                <w:color w:val="706F6F"/>
              </w:rPr>
              <w:t>Year</w:t>
            </w:r>
          </w:p>
        </w:tc>
        <w:tc>
          <w:tcPr>
            <w:tcW w:w="1300" w:type="dxa"/>
            <w:vAlign w:val="bottom"/>
          </w:tcPr>
          <w:p>
            <w:pPr>
              <w:jc w:val="right"/>
              <w:ind w:right="37"/>
              <w:spacing w:after="0"/>
              <w:rPr>
                <w:sz w:val="20"/>
                <w:szCs w:val="20"/>
                <w:color w:val="auto"/>
              </w:rPr>
            </w:pPr>
            <w:r>
              <w:rPr>
                <w:rFonts w:ascii="Arial" w:cs="Arial" w:eastAsia="Arial" w:hAnsi="Arial"/>
                <w:sz w:val="13"/>
                <w:szCs w:val="13"/>
                <w:b w:val="1"/>
                <w:bCs w:val="1"/>
                <w:color w:val="706F6F"/>
              </w:rPr>
              <w:t>Dodson</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706F6F"/>
              </w:rPr>
              <w:t xml:space="preserve">Mr. Dodson </w:t>
            </w:r>
            <w:r>
              <w:rPr>
                <w:rFonts w:ascii="Arial" w:cs="Arial" w:eastAsia="Arial" w:hAnsi="Arial"/>
                <w:sz w:val="16"/>
                <w:szCs w:val="16"/>
                <w:b w:val="1"/>
                <w:bCs w:val="1"/>
                <w:color w:val="706F6F"/>
                <w:vertAlign w:val="superscript"/>
              </w:rPr>
              <w:t>(1)</w:t>
            </w:r>
          </w:p>
        </w:tc>
        <w:tc>
          <w:tcPr>
            <w:tcW w:w="1220" w:type="dxa"/>
            <w:vAlign w:val="bottom"/>
          </w:tcPr>
          <w:p>
            <w:pPr>
              <w:jc w:val="right"/>
              <w:ind w:right="37"/>
              <w:spacing w:after="0"/>
              <w:rPr>
                <w:sz w:val="20"/>
                <w:szCs w:val="20"/>
                <w:color w:val="auto"/>
              </w:rPr>
            </w:pPr>
            <w:r>
              <w:rPr>
                <w:rFonts w:ascii="Arial" w:cs="Arial" w:eastAsia="Arial" w:hAnsi="Arial"/>
                <w:sz w:val="13"/>
                <w:szCs w:val="13"/>
                <w:b w:val="1"/>
                <w:bCs w:val="1"/>
                <w:color w:val="706F6F"/>
              </w:rPr>
              <w:t>other NEOs</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 xml:space="preserve">other NEOs </w:t>
            </w:r>
            <w:r>
              <w:rPr>
                <w:rFonts w:ascii="Arial" w:cs="Arial" w:eastAsia="Arial" w:hAnsi="Arial"/>
                <w:sz w:val="16"/>
                <w:szCs w:val="16"/>
                <w:b w:val="1"/>
                <w:bCs w:val="1"/>
                <w:color w:val="706F6F"/>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32315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706F6F"/>
              </w:rPr>
              <w:t>Value of Initial Fixed $100</w:t>
            </w:r>
          </w:p>
        </w:tc>
        <w:tc>
          <w:tcPr>
            <w:tcW w:w="1940" w:type="dxa"/>
            <w:vAlign w:val="bottom"/>
            <w:gridSpan w:val="2"/>
          </w:tcPr>
          <w:p>
            <w:pPr>
              <w:jc w:val="right"/>
              <w:spacing w:after="0"/>
              <w:rPr>
                <w:sz w:val="20"/>
                <w:szCs w:val="20"/>
                <w:color w:val="auto"/>
              </w:rPr>
            </w:pPr>
            <w:r>
              <w:rPr>
                <w:rFonts w:ascii="Arial" w:cs="Arial" w:eastAsia="Arial" w:hAnsi="Arial"/>
                <w:sz w:val="13"/>
                <w:szCs w:val="13"/>
                <w:b w:val="1"/>
                <w:bCs w:val="1"/>
                <w:color w:val="706F6F"/>
              </w:rPr>
              <w:t>Financial Performance</w:t>
            </w:r>
          </w:p>
        </w:tc>
      </w:tr>
      <w:tr>
        <w:trPr>
          <w:trHeight w:val="172"/>
        </w:trPr>
        <w:tc>
          <w:tcPr>
            <w:tcW w:w="22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706F6F"/>
              </w:rPr>
              <w:t>Investment Based On:</w:t>
            </w:r>
          </w:p>
        </w:tc>
        <w:tc>
          <w:tcPr>
            <w:tcW w:w="1940" w:type="dxa"/>
            <w:vAlign w:val="bottom"/>
            <w:gridSpan w:val="2"/>
          </w:tcPr>
          <w:p>
            <w:pPr>
              <w:jc w:val="right"/>
              <w:spacing w:after="0"/>
              <w:rPr>
                <w:sz w:val="20"/>
                <w:szCs w:val="20"/>
                <w:color w:val="auto"/>
              </w:rPr>
            </w:pPr>
            <w:r>
              <w:rPr>
                <w:rFonts w:ascii="Arial" w:cs="Arial" w:eastAsia="Arial" w:hAnsi="Arial"/>
                <w:sz w:val="13"/>
                <w:szCs w:val="13"/>
                <w:b w:val="1"/>
                <w:bCs w:val="1"/>
                <w:color w:val="706F6F"/>
              </w:rPr>
              <w:t>Measures ($'s in thousands):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5"/>
        </w:trPr>
        <w:tc>
          <w:tcPr>
            <w:tcW w:w="1040" w:type="dxa"/>
            <w:vAlign w:val="bottom"/>
          </w:tcPr>
          <w:p>
            <w:pPr>
              <w:spacing w:after="0"/>
              <w:rPr>
                <w:sz w:val="14"/>
                <w:szCs w:val="14"/>
                <w:color w:val="auto"/>
              </w:rPr>
            </w:pPr>
          </w:p>
        </w:tc>
        <w:tc>
          <w:tcPr>
            <w:tcW w:w="1160" w:type="dxa"/>
            <w:vAlign w:val="bottom"/>
            <w:gridSpan w:val="2"/>
          </w:tcPr>
          <w:p>
            <w:pPr>
              <w:jc w:val="right"/>
              <w:ind w:right="120"/>
              <w:spacing w:after="0" w:line="165" w:lineRule="exact"/>
              <w:rPr>
                <w:sz w:val="20"/>
                <w:szCs w:val="20"/>
                <w:color w:val="auto"/>
              </w:rPr>
            </w:pPr>
            <w:r>
              <w:rPr>
                <w:rFonts w:ascii="Arial" w:cs="Arial" w:eastAsia="Arial" w:hAnsi="Arial"/>
                <w:sz w:val="13"/>
                <w:szCs w:val="13"/>
                <w:b w:val="1"/>
                <w:bCs w:val="1"/>
                <w:color w:val="706F6F"/>
              </w:rPr>
              <w:t>Peer Group</w:t>
            </w:r>
            <w:r>
              <w:rPr>
                <w:rFonts w:ascii="Arial" w:cs="Arial" w:eastAsia="Arial" w:hAnsi="Arial"/>
                <w:sz w:val="16"/>
                <w:szCs w:val="16"/>
                <w:b w:val="1"/>
                <w:bCs w:val="1"/>
                <w:color w:val="706F6F"/>
                <w:vertAlign w:val="superscript"/>
              </w:rPr>
              <w:t>(3)</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Total</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Total</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8"/>
        </w:trPr>
        <w:tc>
          <w:tcPr>
            <w:tcW w:w="1040" w:type="dxa"/>
            <w:vAlign w:val="bottom"/>
          </w:tcPr>
          <w:p>
            <w:pPr>
              <w:jc w:val="right"/>
              <w:spacing w:after="0"/>
              <w:rPr>
                <w:sz w:val="20"/>
                <w:szCs w:val="20"/>
                <w:color w:val="auto"/>
              </w:rPr>
            </w:pPr>
            <w:r>
              <w:rPr>
                <w:rFonts w:ascii="Arial" w:cs="Arial" w:eastAsia="Arial" w:hAnsi="Arial"/>
                <w:sz w:val="13"/>
                <w:szCs w:val="13"/>
                <w:b w:val="1"/>
                <w:bCs w:val="1"/>
                <w:color w:val="706F6F"/>
              </w:rPr>
              <w:t>Shareholder</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Shareholder</w:t>
            </w:r>
          </w:p>
        </w:tc>
        <w:tc>
          <w:tcPr>
            <w:tcW w:w="1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706F6F"/>
              </w:rPr>
              <w:t>Adjusted</w:t>
            </w:r>
          </w:p>
        </w:tc>
      </w:tr>
      <w:tr>
        <w:trPr>
          <w:trHeight w:val="200"/>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706F6F"/>
              </w:rPr>
              <w:t xml:space="preserve">Return </w:t>
            </w:r>
            <w:r>
              <w:rPr>
                <w:rFonts w:ascii="Arial" w:cs="Arial" w:eastAsia="Arial" w:hAnsi="Arial"/>
                <w:sz w:val="16"/>
                <w:szCs w:val="16"/>
                <w:b w:val="1"/>
                <w:bCs w:val="1"/>
                <w:color w:val="706F6F"/>
                <w:vertAlign w:val="superscript"/>
              </w:rPr>
              <w:t>(2)</w:t>
            </w:r>
          </w:p>
        </w:tc>
        <w:tc>
          <w:tcPr>
            <w:tcW w:w="1160" w:type="dxa"/>
            <w:vAlign w:val="bottom"/>
            <w:tcBorders>
              <w:bottom w:val="single" w:sz="8" w:color="006DB6"/>
            </w:tcBorders>
            <w:gridSpan w:val="2"/>
          </w:tcPr>
          <w:p>
            <w:pPr>
              <w:jc w:val="right"/>
              <w:ind w:right="120"/>
              <w:spacing w:after="0"/>
              <w:rPr>
                <w:sz w:val="20"/>
                <w:szCs w:val="20"/>
                <w:color w:val="auto"/>
              </w:rPr>
            </w:pPr>
            <w:r>
              <w:rPr>
                <w:rFonts w:ascii="Arial" w:cs="Arial" w:eastAsia="Arial" w:hAnsi="Arial"/>
                <w:sz w:val="13"/>
                <w:szCs w:val="13"/>
                <w:b w:val="1"/>
                <w:bCs w:val="1"/>
                <w:color w:val="706F6F"/>
              </w:rPr>
              <w:t>Return</w:t>
            </w:r>
          </w:p>
        </w:tc>
        <w:tc>
          <w:tcPr>
            <w:tcW w:w="1140" w:type="dxa"/>
            <w:vAlign w:val="bottom"/>
            <w:tcBorders>
              <w:bottom w:val="single" w:sz="8" w:color="006DB6"/>
            </w:tcBorders>
          </w:tcPr>
          <w:p>
            <w:pPr>
              <w:ind w:left="300"/>
              <w:spacing w:after="0"/>
              <w:rPr>
                <w:sz w:val="20"/>
                <w:szCs w:val="20"/>
                <w:color w:val="auto"/>
              </w:rPr>
            </w:pPr>
            <w:r>
              <w:rPr>
                <w:rFonts w:ascii="Arial" w:cs="Arial" w:eastAsia="Arial" w:hAnsi="Arial"/>
                <w:sz w:val="13"/>
                <w:szCs w:val="13"/>
                <w:b w:val="1"/>
                <w:bCs w:val="1"/>
                <w:color w:val="706F6F"/>
              </w:rPr>
              <w:t>Net income</w:t>
            </w:r>
          </w:p>
        </w:tc>
        <w:tc>
          <w:tcPr>
            <w:tcW w:w="80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EBITDA </w:t>
            </w:r>
            <w:r>
              <w:rPr>
                <w:rFonts w:ascii="Arial" w:cs="Arial" w:eastAsia="Arial" w:hAnsi="Arial"/>
                <w:sz w:val="16"/>
                <w:szCs w:val="16"/>
                <w:b w:val="1"/>
                <w:bCs w:val="1"/>
                <w:color w:val="706F6F"/>
                <w:vertAlign w:val="superscript"/>
              </w:rPr>
              <w:t>(4)</w:t>
            </w:r>
          </w:p>
        </w:tc>
      </w:tr>
    </w:tbl>
    <w:p>
      <w:pPr>
        <w:spacing w:after="0" w:line="18" w:lineRule="exact"/>
        <w:rPr>
          <w:sz w:val="20"/>
          <w:szCs w:val="20"/>
          <w:color w:val="auto"/>
        </w:rPr>
      </w:pPr>
    </w:p>
    <w:p>
      <w:pPr>
        <w:sectPr>
          <w:pgSz w:w="11900" w:h="16838" w:orient="portrait"/>
          <w:cols w:equalWidth="0" w:num="2">
            <w:col w:w="6080" w:space="20"/>
            <w:col w:w="5140"/>
          </w:cols>
          <w:pgMar w:left="320" w:top="125" w:right="339" w:bottom="1440" w:gutter="0" w:footer="0" w:header="0"/>
          <w:type w:val="continuous"/>
        </w:sectPr>
      </w:pPr>
    </w:p>
    <w:tbl>
      <w:tblPr>
        <w:tblLayout w:type="fixed"/>
        <w:tblInd w:w="1020" w:type="dxa"/>
        <w:tblCellMar>
          <w:top w:w="0" w:type="dxa"/>
          <w:left w:w="0" w:type="dxa"/>
          <w:bottom w:w="0" w:type="dxa"/>
          <w:right w:w="0" w:type="dxa"/>
        </w:tblCellMar>
      </w:tblPr>
      <w:tr>
        <w:trPr>
          <w:trHeight w:val="190"/>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2025</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3,775,348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3,647,595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1,051,390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1,017,097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(20,071)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88,177</w:t>
            </w: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3,887,328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3,275,141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1,092,021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893,890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(17,067)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79,937</w:t>
            </w: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1"/>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6,311,862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2,111,457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1,743,879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799,567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30,157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102,034</w:t>
            </w: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4,717,785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7,588,418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1,479,626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2,103,054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3,997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112,769</w:t>
            </w: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1"/>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2021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5,058,691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5,758,550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1,419,852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1,553,294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1,350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109,140</w:t>
            </w:r>
          </w:p>
        </w:tc>
      </w:tr>
    </w:tbl>
    <w:p>
      <w:pPr>
        <w:spacing w:after="0" w:line="215" w:lineRule="exact"/>
        <w:rPr>
          <w:sz w:val="20"/>
          <w:szCs w:val="20"/>
          <w:color w:val="auto"/>
        </w:rPr>
      </w:pPr>
    </w:p>
    <w:p>
      <w:pPr>
        <w:ind w:left="260" w:right="340" w:hanging="252"/>
        <w:spacing w:after="0" w:line="231"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Amounts represent compensation “actually paid” to our Principal Executive Officer ("PEO"), Mr. Dodson, and the average compensation actually paid to our remaining NEOs for the relevant fiscal year, as determined under SEC rules (and described below), which includes the individuals indicated in the table below for each fiscal year:</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420" w:type="dxa"/>
            <w:vAlign w:val="bottom"/>
          </w:tcPr>
          <w:p>
            <w:pPr>
              <w:ind w:left="20"/>
              <w:spacing w:after="0"/>
              <w:rPr>
                <w:sz w:val="20"/>
                <w:szCs w:val="20"/>
                <w:color w:val="auto"/>
              </w:rPr>
            </w:pPr>
            <w:r>
              <w:rPr>
                <w:rFonts w:ascii="Arial" w:cs="Arial" w:eastAsia="Arial" w:hAnsi="Arial"/>
                <w:sz w:val="13"/>
                <w:szCs w:val="13"/>
                <w:b w:val="1"/>
                <w:bCs w:val="1"/>
                <w:color w:val="706F6F"/>
              </w:rPr>
              <w:t>Year</w:t>
            </w:r>
          </w:p>
        </w:tc>
        <w:tc>
          <w:tcPr>
            <w:tcW w:w="2140" w:type="dxa"/>
            <w:vAlign w:val="bottom"/>
          </w:tcPr>
          <w:p>
            <w:pPr>
              <w:ind w:left="740"/>
              <w:spacing w:after="0"/>
              <w:rPr>
                <w:sz w:val="20"/>
                <w:szCs w:val="20"/>
                <w:color w:val="auto"/>
              </w:rPr>
            </w:pPr>
            <w:r>
              <w:rPr>
                <w:rFonts w:ascii="Arial" w:cs="Arial" w:eastAsia="Arial" w:hAnsi="Arial"/>
                <w:sz w:val="13"/>
                <w:szCs w:val="13"/>
                <w:b w:val="1"/>
                <w:bCs w:val="1"/>
                <w:color w:val="706F6F"/>
              </w:rPr>
              <w:t>PEO</w:t>
            </w:r>
          </w:p>
        </w:tc>
        <w:tc>
          <w:tcPr>
            <w:tcW w:w="8080" w:type="dxa"/>
            <w:vAlign w:val="bottom"/>
          </w:tcPr>
          <w:p>
            <w:pPr>
              <w:jc w:val="right"/>
              <w:spacing w:after="0"/>
              <w:rPr>
                <w:sz w:val="20"/>
                <w:szCs w:val="20"/>
                <w:color w:val="auto"/>
              </w:rPr>
            </w:pPr>
            <w:r>
              <w:rPr>
                <w:rFonts w:ascii="Arial" w:cs="Arial" w:eastAsia="Arial" w:hAnsi="Arial"/>
                <w:sz w:val="13"/>
                <w:szCs w:val="13"/>
                <w:b w:val="1"/>
                <w:bCs w:val="1"/>
                <w:color w:val="706F6F"/>
              </w:rPr>
              <w:t>other NEOs</w:t>
            </w:r>
          </w:p>
        </w:tc>
      </w:tr>
      <w:tr>
        <w:trPr>
          <w:trHeight w:val="28"/>
        </w:trPr>
        <w:tc>
          <w:tcPr>
            <w:tcW w:w="420" w:type="dxa"/>
            <w:vAlign w:val="bottom"/>
            <w:tcBorders>
              <w:bottom w:val="single" w:sz="8" w:color="006DB6"/>
            </w:tcBorders>
          </w:tcPr>
          <w:p>
            <w:pPr>
              <w:spacing w:after="0"/>
              <w:rPr>
                <w:sz w:val="2"/>
                <w:szCs w:val="2"/>
                <w:color w:val="auto"/>
              </w:rPr>
            </w:pPr>
          </w:p>
        </w:tc>
        <w:tc>
          <w:tcPr>
            <w:tcW w:w="2140" w:type="dxa"/>
            <w:vAlign w:val="bottom"/>
            <w:tcBorders>
              <w:bottom w:val="single" w:sz="8" w:color="006DB6"/>
            </w:tcBorders>
          </w:tcPr>
          <w:p>
            <w:pPr>
              <w:spacing w:after="0"/>
              <w:rPr>
                <w:sz w:val="2"/>
                <w:szCs w:val="2"/>
                <w:color w:val="auto"/>
              </w:rPr>
            </w:pPr>
          </w:p>
        </w:tc>
        <w:tc>
          <w:tcPr>
            <w:tcW w:w="8080" w:type="dxa"/>
            <w:vAlign w:val="bottom"/>
            <w:tcBorders>
              <w:bottom w:val="single" w:sz="8" w:color="006DB6"/>
            </w:tcBorders>
          </w:tcPr>
          <w:p>
            <w:pPr>
              <w:spacing w:after="0"/>
              <w:rPr>
                <w:sz w:val="2"/>
                <w:szCs w:val="2"/>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2025</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Andrew S. Fraser, E. Collin Gerry and Peter L. McCann</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2024</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Barclay H. Brewer, Andrew S. Fraser, E. Collin Gerry, 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2"/>
        </w:trPr>
        <w:tc>
          <w:tcPr>
            <w:tcW w:w="420" w:type="dxa"/>
            <w:vAlign w:val="bottom"/>
          </w:tcPr>
          <w:p>
            <w:pPr>
              <w:ind w:left="20"/>
              <w:spacing w:after="0"/>
              <w:rPr>
                <w:sz w:val="20"/>
                <w:szCs w:val="20"/>
                <w:color w:val="auto"/>
              </w:rPr>
            </w:pPr>
            <w:r>
              <w:rPr>
                <w:rFonts w:ascii="Arial" w:cs="Arial" w:eastAsia="Arial" w:hAnsi="Arial"/>
                <w:sz w:val="14"/>
                <w:szCs w:val="14"/>
                <w:color w:val="auto"/>
              </w:rPr>
              <w:t>2023</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2022</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2021</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bl>
    <w:p>
      <w:pPr>
        <w:spacing w:after="0" w:line="183" w:lineRule="exact"/>
        <w:rPr>
          <w:sz w:val="20"/>
          <w:szCs w:val="20"/>
          <w:color w:val="auto"/>
        </w:rPr>
      </w:pPr>
    </w:p>
    <w:p>
      <w:pPr>
        <w:ind w:left="260" w:right="40"/>
        <w:spacing w:after="0" w:line="242" w:lineRule="auto"/>
        <w:rPr>
          <w:sz w:val="20"/>
          <w:szCs w:val="20"/>
          <w:color w:val="auto"/>
        </w:rPr>
      </w:pPr>
      <w:r>
        <w:rPr>
          <w:rFonts w:ascii="Arial" w:cs="Arial" w:eastAsia="Arial" w:hAnsi="Arial"/>
          <w:sz w:val="16"/>
          <w:szCs w:val="16"/>
          <w:color w:val="auto"/>
        </w:rPr>
        <w:t>Compensation actually paid to our NEOs represents the “Total” compensation reported in the Summary Compensation Table for the applicable fiscal year adjusted in accordance with SEC rules, as set forth for 2025 in the table below. The dollar amounts shown do not reflect the value of compensation actually received by our NEOs during the applicable year. Instead, the dollar amounts include the values (or changes in value) of unvested and vested equity awards during the applicable year based on year-end share prices, vesting date share prices, various accounting valuation assumptions and projected performance related to our performance-based shares. "Compensation actually paid", determined in accordance with SEC rules, will generally fluctuate due to share price achievement and varying levels of projected and actual achievement of performance goals applicable to our performance-based shares. For a discussion of how our Compensation Committee assesses performance and our NEOs' pay each year, see the Compensation Discussion and Analysis in the annual proxy statement for each of 2022 through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color w:val="auto"/>
              </w:rPr>
              <w:t>Average of other</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PEO</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NEOs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b w:val="1"/>
                <w:bCs w:val="1"/>
                <w:color w:val="706F6F"/>
              </w:rPr>
              <w:t>2025</w:t>
            </w:r>
          </w:p>
        </w:tc>
        <w:tc>
          <w:tcPr>
            <w:tcW w:w="72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706F6F"/>
              </w:rPr>
              <w:t>2025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160" w:type="dxa"/>
            <w:vAlign w:val="bottom"/>
            <w:tcBorders>
              <w:bottom w:val="single" w:sz="8" w:color="006DB6"/>
            </w:tcBorders>
          </w:tcPr>
          <w:p>
            <w:pPr>
              <w:spacing w:after="0"/>
              <w:rPr>
                <w:sz w:val="2"/>
                <w:szCs w:val="2"/>
                <w:color w:val="auto"/>
              </w:rPr>
            </w:pPr>
          </w:p>
        </w:tc>
        <w:tc>
          <w:tcPr>
            <w:tcW w:w="1020" w:type="dxa"/>
            <w:vAlign w:val="bottom"/>
            <w:tcBorders>
              <w:bottom w:val="single" w:sz="8" w:color="006DB6"/>
            </w:tcBorders>
          </w:tcPr>
          <w:p>
            <w:pPr>
              <w:spacing w:after="0"/>
              <w:rPr>
                <w:sz w:val="2"/>
                <w:szCs w:val="2"/>
                <w:color w:val="auto"/>
              </w:rPr>
            </w:pPr>
          </w:p>
        </w:tc>
        <w:tc>
          <w:tcPr>
            <w:tcW w:w="280" w:type="dxa"/>
            <w:vAlign w:val="bottom"/>
            <w:tcBorders>
              <w:bottom w:val="single" w:sz="8" w:color="006DB6"/>
            </w:tcBorders>
          </w:tcPr>
          <w:p>
            <w:pPr>
              <w:spacing w:after="0"/>
              <w:rPr>
                <w:sz w:val="2"/>
                <w:szCs w:val="2"/>
                <w:color w:val="auto"/>
              </w:rPr>
            </w:pPr>
          </w:p>
        </w:tc>
        <w:tc>
          <w:tcPr>
            <w:tcW w:w="340" w:type="dxa"/>
            <w:vAlign w:val="bottom"/>
            <w:tcBorders>
              <w:bottom w:val="single" w:sz="8" w:color="006DB6"/>
            </w:tcBorders>
          </w:tcPr>
          <w:p>
            <w:pPr>
              <w:spacing w:after="0"/>
              <w:rPr>
                <w:sz w:val="2"/>
                <w:szCs w:val="2"/>
                <w:color w:val="auto"/>
              </w:rPr>
            </w:pPr>
          </w:p>
        </w:tc>
        <w:tc>
          <w:tcPr>
            <w:tcW w:w="720" w:type="dxa"/>
            <w:vAlign w:val="bottom"/>
            <w:tcBorders>
              <w:bottom w:val="single" w:sz="8" w:color="006DB6"/>
            </w:tcBorders>
          </w:tcPr>
          <w:p>
            <w:pPr>
              <w:spacing w:after="0"/>
              <w:rPr>
                <w:sz w:val="2"/>
                <w:szCs w:val="2"/>
                <w:color w:val="auto"/>
              </w:rPr>
            </w:pPr>
          </w:p>
        </w:tc>
        <w:tc>
          <w:tcPr>
            <w:tcW w:w="220" w:type="dxa"/>
            <w:vAlign w:val="bottom"/>
            <w:tcBorders>
              <w:bottom w:val="single" w:sz="8" w:color="006DB6"/>
            </w:tcBorders>
          </w:tcPr>
          <w:p>
            <w:pPr>
              <w:spacing w:after="0"/>
              <w:rPr>
                <w:sz w:val="2"/>
                <w:szCs w:val="2"/>
                <w:color w:val="auto"/>
              </w:rPr>
            </w:pPr>
          </w:p>
        </w:tc>
        <w:tc>
          <w:tcPr>
            <w:tcW w:w="280" w:type="dxa"/>
            <w:vAlign w:val="bottom"/>
            <w:tcBorders>
              <w:bottom w:val="single" w:sz="8" w:color="006DB6"/>
            </w:tcBorders>
          </w:tcPr>
          <w:p>
            <w:pPr>
              <w:spacing w:after="0"/>
              <w:rPr>
                <w:sz w:val="2"/>
                <w:szCs w:val="2"/>
                <w:color w:val="auto"/>
              </w:rPr>
            </w:pPr>
          </w:p>
        </w:tc>
        <w:tc>
          <w:tcPr>
            <w:tcW w:w="380" w:type="dxa"/>
            <w:vAlign w:val="bottom"/>
            <w:tcBorders>
              <w:bottom w:val="single" w:sz="8" w:color="006DB6"/>
            </w:tcBorders>
          </w:tcPr>
          <w:p>
            <w:pPr>
              <w:spacing w:after="0"/>
              <w:rPr>
                <w:sz w:val="2"/>
                <w:szCs w:val="2"/>
                <w:color w:val="auto"/>
              </w:rPr>
            </w:pPr>
          </w:p>
        </w:tc>
        <w:tc>
          <w:tcPr>
            <w:tcW w:w="680" w:type="dxa"/>
            <w:vAlign w:val="bottom"/>
            <w:tcBorders>
              <w:bottom w:val="single" w:sz="8" w:color="006DB6"/>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Summary Compensation Table Total</w:t>
            </w:r>
          </w:p>
        </w:tc>
        <w:tc>
          <w:tcPr>
            <w:tcW w:w="10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3,775,348</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1,051,390</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Grant Date Fair Value of Stock Awards Granted in Fiscal Year Reported in Summary</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w w:val="99"/>
              </w:rPr>
              <w:t>(2,569,485)</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(531,015)</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Compensation Table</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8"/>
              </w:rPr>
              <w:t>Fair Value at Fiscal Year-End of Outstanding and Unvested Stock Awards Granted in Fiscal</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2,270,070</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469,135</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9"/>
              </w:rPr>
              <w:t>Change in Fair Value from Prior Fiscal Year-End to Current Fiscal Year-End of Outstanding</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(161,703)</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(13,154)</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and Unvested Stock Awards Granted in Prior Fiscal Years</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7"/>
              </w:rPr>
              <w:t>Change in Fair Value from Prior Fiscal Year-End to Vesting Date of Stock Awards Granted in</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566,577</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55,063</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Prior Years for which Applicable Vesting Conditions were Satisfied During Fiscal 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Fair Value at Prior Fiscal Year-End of Stock Awards Granted in Prior Years that were</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(301,088)</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(26,476)</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Forfeited During Fiscal 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Value of Dividends or Other Earnings Paid on Stock Awards in Fiscal Year Not Otherwise</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67,876</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12,154</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Included in Summary Compensation Table</w:t>
            </w: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Compensation Actually Paid</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706F6F"/>
              </w:rPr>
              <w:t>equals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3,647,595</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1,017,097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Adjustments for stock options are not included as the NEOs do not have any outstanding options, and Civeo has not issued any options since it became an independent, publicly traded company in 2014. Adjustments for pension plans are not included as the Company does not offer a pension plan for which the NEOs are eligible.</w:t>
      </w:r>
    </w:p>
    <w:p>
      <w:pPr>
        <w:spacing w:after="0" w:line="82" w:lineRule="exact"/>
        <w:rPr>
          <w:sz w:val="20"/>
          <w:szCs w:val="20"/>
          <w:color w:val="auto"/>
        </w:rPr>
      </w:pPr>
    </w:p>
    <w:p>
      <w:pPr>
        <w:ind w:left="260" w:right="60" w:hanging="252"/>
        <w:spacing w:after="0" w:line="231" w:lineRule="auto"/>
        <w:tabs>
          <w:tab w:leader="none" w:pos="264"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TSR represents cumulative TSR on an initial base investment of $100 for the measurement periods beginning on December 31, 2020 and ending on December 31 of each of 2021, 2022, 2023, 2024 and 2025.</w:t>
      </w:r>
    </w:p>
    <w:p>
      <w:pPr>
        <w:spacing w:after="0" w:line="80"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3"/>
        </w:numPr>
        <w:rPr>
          <w:rFonts w:ascii="Arial" w:cs="Arial" w:eastAsia="Arial" w:hAnsi="Arial"/>
          <w:sz w:val="9"/>
          <w:szCs w:val="9"/>
          <w:color w:val="auto"/>
        </w:rPr>
      </w:pPr>
      <w:r>
        <w:rPr>
          <w:rFonts w:ascii="Arial" w:cs="Arial" w:eastAsia="Arial" w:hAnsi="Arial"/>
          <w:sz w:val="14"/>
          <w:szCs w:val="14"/>
          <w:color w:val="auto"/>
        </w:rPr>
        <w:t>For each relevant fiscal year, represents the cumulative TSR (the "Peer Group TSR") of the PHLX Oil Service Sector Index.</w:t>
      </w:r>
    </w:p>
    <w:p>
      <w:pPr>
        <w:spacing w:after="0" w:line="122" w:lineRule="exact"/>
        <w:rPr>
          <w:rFonts w:ascii="Arial" w:cs="Arial" w:eastAsia="Arial" w:hAnsi="Arial"/>
          <w:sz w:val="9"/>
          <w:szCs w:val="9"/>
          <w:color w:val="auto"/>
        </w:rPr>
      </w:pPr>
    </w:p>
    <w:p>
      <w:pPr>
        <w:ind w:left="280" w:hanging="272"/>
        <w:spacing w:after="0"/>
        <w:tabs>
          <w:tab w:leader="none" w:pos="280" w:val="left"/>
        </w:tabs>
        <w:numPr>
          <w:ilvl w:val="0"/>
          <w:numId w:val="53"/>
        </w:numPr>
        <w:rPr>
          <w:rFonts w:ascii="Arial" w:cs="Arial" w:eastAsia="Arial" w:hAnsi="Arial"/>
          <w:sz w:val="9"/>
          <w:szCs w:val="9"/>
          <w:color w:val="auto"/>
        </w:rPr>
      </w:pPr>
      <w:r>
        <w:rPr>
          <w:rFonts w:ascii="Arial" w:cs="Arial" w:eastAsia="Arial" w:hAnsi="Arial"/>
          <w:sz w:val="14"/>
          <w:szCs w:val="14"/>
          <w:color w:val="auto"/>
        </w:rPr>
        <w:t>Adjusted EBITDA is a non-GAAP measure. See Appendix A for further information including a reconciliation of Adjusted EBITDA to the most comparable GAAP measure.</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Relationship Graphs</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provides a graphical depiction of the relationships between compensation actually paid to our PEO and the average of the compensation actually paid to our remaining NEOs, and our cumulative TSR and Peer Group TSR, for each of the five years in the period ended December 31, 2025. 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966460" cy="35572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646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charts compare each of our key financial results for the last five fiscal years to compensation actually paid to our PEO and, on average, to our other NEOs for each of the five fiscal years in the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966460" cy="6515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6460" cy="651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Tabular Disclosure</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list includes the most important financial and non-financial measures used to link executive compensation and Civeo's performance during the fiscal year ended December 31, 2025.</w:t>
      </w:r>
    </w:p>
    <w:p>
      <w:pPr>
        <w:spacing w:after="0" w:line="61" w:lineRule="exact"/>
        <w:rPr>
          <w:sz w:val="20"/>
          <w:szCs w:val="20"/>
          <w:color w:val="auto"/>
        </w:rPr>
      </w:pPr>
    </w:p>
    <w:p>
      <w:pPr>
        <w:ind w:left="860" w:hanging="155"/>
        <w:spacing w:after="0"/>
        <w:tabs>
          <w:tab w:leader="none" w:pos="860" w:val="left"/>
        </w:tabs>
        <w:numPr>
          <w:ilvl w:val="0"/>
          <w:numId w:val="54"/>
        </w:numPr>
        <w:rPr>
          <w:rFonts w:ascii="Arial" w:cs="Arial" w:eastAsia="Arial" w:hAnsi="Arial"/>
          <w:sz w:val="16"/>
          <w:szCs w:val="16"/>
          <w:color w:val="006DB6"/>
        </w:rPr>
      </w:pPr>
      <w:r>
        <w:rPr>
          <w:rFonts w:ascii="Arial" w:cs="Arial" w:eastAsia="Arial" w:hAnsi="Arial"/>
          <w:sz w:val="16"/>
          <w:szCs w:val="16"/>
          <w:color w:val="auto"/>
        </w:rPr>
        <w:t>AICP EBITDA</w:t>
      </w:r>
    </w:p>
    <w:p>
      <w:pPr>
        <w:spacing w:after="0" w:line="113" w:lineRule="exact"/>
        <w:rPr>
          <w:rFonts w:ascii="Arial" w:cs="Arial" w:eastAsia="Arial" w:hAnsi="Arial"/>
          <w:sz w:val="16"/>
          <w:szCs w:val="16"/>
          <w:color w:val="006DB6"/>
        </w:rPr>
      </w:pPr>
    </w:p>
    <w:p>
      <w:pPr>
        <w:ind w:left="860" w:hanging="155"/>
        <w:spacing w:after="0"/>
        <w:tabs>
          <w:tab w:leader="none" w:pos="860" w:val="left"/>
        </w:tabs>
        <w:numPr>
          <w:ilvl w:val="0"/>
          <w:numId w:val="54"/>
        </w:numPr>
        <w:rPr>
          <w:rFonts w:ascii="Arial" w:cs="Arial" w:eastAsia="Arial" w:hAnsi="Arial"/>
          <w:sz w:val="16"/>
          <w:szCs w:val="16"/>
          <w:color w:val="006DB6"/>
        </w:rPr>
      </w:pPr>
      <w:r>
        <w:rPr>
          <w:rFonts w:ascii="Arial" w:cs="Arial" w:eastAsia="Arial" w:hAnsi="Arial"/>
          <w:sz w:val="16"/>
          <w:szCs w:val="16"/>
          <w:color w:val="auto"/>
        </w:rPr>
        <w:t>Cash flows provided by operating activities</w:t>
      </w:r>
    </w:p>
    <w:p>
      <w:pPr>
        <w:spacing w:after="0" w:line="113" w:lineRule="exact"/>
        <w:rPr>
          <w:rFonts w:ascii="Arial" w:cs="Arial" w:eastAsia="Arial" w:hAnsi="Arial"/>
          <w:sz w:val="16"/>
          <w:szCs w:val="16"/>
          <w:color w:val="006DB6"/>
        </w:rPr>
      </w:pPr>
    </w:p>
    <w:p>
      <w:pPr>
        <w:ind w:left="860" w:hanging="155"/>
        <w:spacing w:after="0"/>
        <w:tabs>
          <w:tab w:leader="none" w:pos="860" w:val="left"/>
        </w:tabs>
        <w:numPr>
          <w:ilvl w:val="0"/>
          <w:numId w:val="54"/>
        </w:numPr>
        <w:rPr>
          <w:rFonts w:ascii="Arial" w:cs="Arial" w:eastAsia="Arial" w:hAnsi="Arial"/>
          <w:sz w:val="16"/>
          <w:szCs w:val="16"/>
          <w:color w:val="006DB6"/>
        </w:rPr>
      </w:pPr>
      <w:r>
        <w:rPr>
          <w:rFonts w:ascii="Arial" w:cs="Arial" w:eastAsia="Arial" w:hAnsi="Arial"/>
          <w:sz w:val="16"/>
          <w:szCs w:val="16"/>
          <w:color w:val="auto"/>
        </w:rPr>
        <w:t>Relative TSR</w:t>
      </w:r>
    </w:p>
    <w:p>
      <w:pPr>
        <w:spacing w:after="0" w:line="126" w:lineRule="exact"/>
        <w:rPr>
          <w:rFonts w:ascii="Arial" w:cs="Arial" w:eastAsia="Arial" w:hAnsi="Arial"/>
          <w:sz w:val="16"/>
          <w:szCs w:val="16"/>
          <w:color w:val="006DB6"/>
        </w:rPr>
      </w:pPr>
    </w:p>
    <w:p>
      <w:pPr>
        <w:ind w:left="860" w:hanging="155"/>
        <w:spacing w:after="0"/>
        <w:tabs>
          <w:tab w:leader="none" w:pos="860" w:val="left"/>
        </w:tabs>
        <w:numPr>
          <w:ilvl w:val="0"/>
          <w:numId w:val="54"/>
        </w:numPr>
        <w:rPr>
          <w:rFonts w:ascii="Arial" w:cs="Arial" w:eastAsia="Arial" w:hAnsi="Arial"/>
          <w:sz w:val="16"/>
          <w:szCs w:val="16"/>
          <w:color w:val="006DB6"/>
        </w:rPr>
      </w:pPr>
      <w:r>
        <w:rPr>
          <w:rFonts w:ascii="Arial" w:cs="Arial" w:eastAsia="Arial" w:hAnsi="Arial"/>
          <w:sz w:val="16"/>
          <w:szCs w:val="16"/>
          <w:color w:val="auto"/>
        </w:rPr>
        <w:t>Safety - TRIR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560705</wp:posOffset>
            </wp:positionV>
            <wp:extent cx="394335" cy="1974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5575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3</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Approval of an Amendment to the 2014 Equity Participation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2014 Equity Participation Plan of Civeo Corporation (the “EPP”) was originally approved on May 4, 2014, by Oil States International, Inc., our sole shareholder at the time. The EPP was amended and restated on July 17, 2015 and again on May 12, 2016, and thereafter amended effective as of January 1, 2017, May 10, 2018, June 9, 2020 and May 17, 2023. Our board of directors most recently approved an amendment to the EPP on March 25, 2026, subject to shareholder approval.</w:t>
      </w:r>
    </w:p>
    <w:p>
      <w:pPr>
        <w:spacing w:after="0" w:line="6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amendment will increase the share reserve authorized under the EPP and extend the outside date after which incentive stock options may no longer be granted under the EPP to March 25, 2036. If approved, the number of shares reserved for issuance pursuant to awards under the EPP will be increased by 520,920 shares. We arrived at this number of shares after considering the number of shares remaining available for grant in the EPP, anticipated future share usage, and advice from our compensation consultant, among other factors. We are submitting the amendment of the EPP to our shareholders for approval of this increased share reserve.</w:t>
      </w:r>
    </w:p>
    <w:p>
      <w:pPr>
        <w:spacing w:after="0" w:line="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refer to this proposal herein as the EPP Proposal and to the EPP, as amended, as the “Amended EPP.” If the EPP Proposal is approved, the EPP will be amended effective as of the date of the annual general meeting.</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of March 30, 2026, Civeo had in the aggregate 61,451 unvested restricted share awards and restricted share units and deferred share awards outstanding; and 372,691 performance share awards outstanding (assuming target performance). A total of 475,843 phantom unit awards, which may be settled only in cash, were also outstanding as of such date. Shares available for future grant under the EPP totaled 865,883 and would total 1,386,803 if the EPP Proposal is approved by the shareholders. As of March 30, 2026 there were approximately 10,943,297 Civeo common shares outstanding. The potential share dilution from the 520,920 additional common shares to be reserved for issuance under the Amended EPP, for which shareholder approval is being requested, is 4.76% of the Company’s outstanding common shares as of March 30, 2026. If the amendment to the EPP is approved, the Company’s total potential share dilution would increase from 4.76% of the Company’s outstanding common shares as of March 30, 2026 to 12.67%.</w:t>
      </w:r>
    </w:p>
    <w:p>
      <w:pPr>
        <w:spacing w:after="0" w:line="8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consultants, and employees of Civeo.</w:t>
      </w:r>
    </w:p>
    <w:p>
      <w:pPr>
        <w:spacing w:after="0" w:line="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Although this discussion summarizes the principal terms and conditions of Amended EPP, it does not purport to be complete and is qualified in its entirety by reference to the Amended EPP, a copy of which is attached as Appendix B to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Purpose</w:t>
      </w:r>
    </w:p>
    <w:p>
      <w:pPr>
        <w:spacing w:after="0" w:line="1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purpose of the Amended EPP is to provide an additional incentive for employees, directors and consultants to further the growth, development and financial success of Civeo by personally benefiting through the ownership of company shares and/or rights which recognize such growth, development and financial success, and to enable Civeo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Effect of Amendment</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Amended EPP increases the number of shares which may be issued pursuant to awards thereunder from 865,883 to 1,386,803 and extends the outside date after which incentive stock options may no longer be granted under the EPP to March 25, 2036. In all other respects the terms of the EPP remain unchanged.</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Best Practice Features of the Amended EPP</w:t>
      </w:r>
    </w:p>
    <w:p>
      <w:pPr>
        <w:spacing w:after="0" w:line="128" w:lineRule="exact"/>
        <w:rPr>
          <w:sz w:val="20"/>
          <w:szCs w:val="20"/>
          <w:color w:val="auto"/>
        </w:rPr>
      </w:pPr>
    </w:p>
    <w:p>
      <w:pPr>
        <w:ind w:left="200" w:right="500" w:hanging="192"/>
        <w:spacing w:after="0" w:line="304" w:lineRule="auto"/>
        <w:tabs>
          <w:tab w:leader="none" w:pos="17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No Repricing of Options or SARs. The Amended EPP continues to prohibit repricing, replacement and regranting of options or SARs at lower prices unless approved by our shareholders.</w:t>
      </w:r>
    </w:p>
    <w:p>
      <w:pPr>
        <w:spacing w:after="0" w:line="33" w:lineRule="exact"/>
        <w:rPr>
          <w:rFonts w:ascii="Arial" w:cs="Arial" w:eastAsia="Arial" w:hAnsi="Arial"/>
          <w:sz w:val="16"/>
          <w:szCs w:val="16"/>
          <w:color w:val="006DB6"/>
        </w:rPr>
      </w:pPr>
    </w:p>
    <w:p>
      <w:pPr>
        <w:ind w:left="200" w:right="460" w:hanging="192"/>
        <w:spacing w:after="0" w:line="286" w:lineRule="auto"/>
        <w:tabs>
          <w:tab w:leader="none" w:pos="17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No Discounted Options or SARs. Options and SARs may not be granted with an exercise price below the closing price of our common shares on the NYSE on the trading day previous to date of grant.</w:t>
      </w:r>
    </w:p>
    <w:p>
      <w:pPr>
        <w:spacing w:after="0" w:line="61" w:lineRule="exact"/>
        <w:rPr>
          <w:rFonts w:ascii="Arial" w:cs="Arial" w:eastAsia="Arial" w:hAnsi="Arial"/>
          <w:sz w:val="16"/>
          <w:szCs w:val="16"/>
          <w:color w:val="006DB6"/>
        </w:rPr>
      </w:pPr>
    </w:p>
    <w:p>
      <w:pPr>
        <w:ind w:left="180" w:hanging="172"/>
        <w:spacing w:after="0"/>
        <w:tabs>
          <w:tab w:leader="none" w:pos="18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Limited terms for Options and SARs. Options and SARs granted under the Amended EPP are limited to 10-year terms.</w:t>
      </w:r>
    </w:p>
    <w:p>
      <w:pPr>
        <w:spacing w:after="0" w:line="113" w:lineRule="exact"/>
        <w:rPr>
          <w:rFonts w:ascii="Arial" w:cs="Arial" w:eastAsia="Arial" w:hAnsi="Arial"/>
          <w:sz w:val="16"/>
          <w:szCs w:val="16"/>
          <w:color w:val="006DB6"/>
        </w:rPr>
      </w:pPr>
    </w:p>
    <w:p>
      <w:pPr>
        <w:ind w:left="200" w:right="480" w:hanging="192"/>
        <w:spacing w:after="0" w:line="286" w:lineRule="auto"/>
        <w:tabs>
          <w:tab w:leader="none" w:pos="17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Minimum Vesting. Subject to limited exceptions with regard to director equity awards that vest at the next annual meeting, in the case of a change in control or upon the recipient’s death, disability or termination without cause, awards under the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Amended EPP will have a minimum vesting period of one year from the date of grant. This limit applies to award covering 95% of the share reserve under the Amended EPP.</w:t>
      </w:r>
    </w:p>
    <w:p>
      <w:pPr>
        <w:spacing w:after="0" w:line="61" w:lineRule="exact"/>
        <w:rPr>
          <w:sz w:val="20"/>
          <w:szCs w:val="20"/>
          <w:color w:val="auto"/>
        </w:rPr>
      </w:pPr>
    </w:p>
    <w:p>
      <w:pPr>
        <w:ind w:left="200" w:right="60" w:hanging="192"/>
        <w:spacing w:after="0" w:line="265"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No Liberal Share Counting. Shares that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64" w:lineRule="exact"/>
        <w:rPr>
          <w:rFonts w:ascii="Arial" w:cs="Arial" w:eastAsia="Arial" w:hAnsi="Arial"/>
          <w:sz w:val="16"/>
          <w:szCs w:val="16"/>
          <w:color w:val="006DB6"/>
        </w:rPr>
      </w:pPr>
    </w:p>
    <w:p>
      <w:pPr>
        <w:ind w:left="200" w:right="260" w:hanging="192"/>
        <w:spacing w:after="0" w:line="304"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Dividends and Dividend Equivalents. Dividends and Dividend Equivalents are not permitted on options or SARs and may not be paid out on any award prior to the time the underlying award vests.</w:t>
      </w:r>
    </w:p>
    <w:p>
      <w:pPr>
        <w:spacing w:after="0" w:line="33" w:lineRule="exact"/>
        <w:rPr>
          <w:rFonts w:ascii="Arial" w:cs="Arial" w:eastAsia="Arial" w:hAnsi="Arial"/>
          <w:sz w:val="16"/>
          <w:szCs w:val="16"/>
          <w:color w:val="006DB6"/>
        </w:rPr>
      </w:pPr>
    </w:p>
    <w:p>
      <w:pPr>
        <w:ind w:left="200" w:right="680" w:hanging="192"/>
        <w:spacing w:after="0" w:line="304"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Annual Limitation on Director Awards. The aggregate value of awards (as determined on the grant date) granted under the Amended EPP to any individual non-employee director may not exceed $500,000 in any calendar year.</w:t>
      </w:r>
    </w:p>
    <w:p>
      <w:pPr>
        <w:spacing w:after="0" w:line="33" w:lineRule="exact"/>
        <w:rPr>
          <w:rFonts w:ascii="Arial" w:cs="Arial" w:eastAsia="Arial" w:hAnsi="Arial"/>
          <w:sz w:val="16"/>
          <w:szCs w:val="16"/>
          <w:color w:val="006DB6"/>
        </w:rPr>
      </w:pPr>
    </w:p>
    <w:p>
      <w:pPr>
        <w:ind w:left="180" w:hanging="172"/>
        <w:spacing w:after="0"/>
        <w:tabs>
          <w:tab w:leader="none" w:pos="18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Awards Subject to Clawback Policy. All awards granted under the Amended EPP will be subject to our clawback policy, as amended from time to time.</w:t>
      </w:r>
    </w:p>
    <w:p>
      <w:pPr>
        <w:spacing w:after="0" w:line="113" w:lineRule="exact"/>
        <w:rPr>
          <w:rFonts w:ascii="Arial" w:cs="Arial" w:eastAsia="Arial" w:hAnsi="Arial"/>
          <w:sz w:val="16"/>
          <w:szCs w:val="16"/>
          <w:color w:val="006DB6"/>
        </w:rPr>
      </w:pPr>
    </w:p>
    <w:p>
      <w:pPr>
        <w:ind w:left="200" w:right="100" w:hanging="192"/>
        <w:spacing w:after="0" w:line="304"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No Transferability. Awards generally may not be transferred, except by will or the laws of descent and distribution, unless approved by the Compensation Committee.</w:t>
      </w:r>
    </w:p>
    <w:p>
      <w:pPr>
        <w:spacing w:after="0" w:line="33" w:lineRule="exact"/>
        <w:rPr>
          <w:rFonts w:ascii="Arial" w:cs="Arial" w:eastAsia="Arial" w:hAnsi="Arial"/>
          <w:sz w:val="16"/>
          <w:szCs w:val="16"/>
          <w:color w:val="006DB6"/>
        </w:rPr>
      </w:pPr>
    </w:p>
    <w:p>
      <w:pPr>
        <w:ind w:left="200" w:right="380" w:hanging="192"/>
        <w:spacing w:after="0" w:line="286"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No “Evergreen” Provision. Shares authorized for issuance under the Amended EPP will not be replenished automatically. Any additional shares to be issued over and above the amount for which we are seeking authorization must be approved by our shareholders.</w:t>
      </w:r>
    </w:p>
    <w:p>
      <w:pPr>
        <w:spacing w:after="0" w:line="61" w:lineRule="exact"/>
        <w:rPr>
          <w:rFonts w:ascii="Arial" w:cs="Arial" w:eastAsia="Arial" w:hAnsi="Arial"/>
          <w:sz w:val="16"/>
          <w:szCs w:val="16"/>
          <w:color w:val="006DB6"/>
        </w:rPr>
      </w:pPr>
    </w:p>
    <w:p>
      <w:pPr>
        <w:ind w:left="180" w:hanging="172"/>
        <w:spacing w:after="0"/>
        <w:tabs>
          <w:tab w:leader="none" w:pos="18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No Automatic Grants. There are no automatic grants to new participants or “reload” grants when outstanding awards are exercised, expire or are forfeited.</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No Tax Gross-ups. Participants do not receive tax gross-ups under the Amended EPP.</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Administration</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EPP is, and the Amended EPP will be, administered by the Compensation Committee or any successor committee so appointed by the board of directors. Subject to the express terms of the Amended EPP, the Compensation Committee has the authority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Eligibility</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 As of March 30, 2026, a total of approximately 3,532 employees, a de minimis number of consultants, and each of our ten non-employee directors were eligible to receive grants under the EPP.</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Shares Subject to the EPP</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Subject to shareholder approval of this EPP Proposal, up to an aggregate of 1,386,803 common shares will be available for issuance under the Amended EPP. If shareholder approval is not obtained, the EPP will continue as in effect immediately prior to the amendment. The closing price of our common stock on March 30, 2026 as reported on the NYSE was $26.27.</w:t>
      </w:r>
    </w:p>
    <w:p>
      <w:pPr>
        <w:spacing w:after="0" w:line="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number of shares subject to awards under the Amended EPP is subject to adjustment by the Compensation Committee in the event of changes in the outstanding common shares by reason of share dividends or other distributions,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152400</wp:posOffset>
            </wp:positionV>
            <wp:extent cx="394335" cy="1974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Awards</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Under the terms of the Amended EPP, the Compensation Committee, and at the Compensation Committee’s sole discretion the Chief Executive Officer, may grant deferred shares, dividend equivalents, options, SARs, performance awards, restricted shares, or share payments. Options may consist of either “incentive stock options,” as defined in Section 422 of the Code, or nonqualified options.</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006DB6"/>
        </w:rPr>
        <w:t xml:space="preserve">Options. </w:t>
      </w:r>
      <w:r>
        <w:rPr>
          <w:rFonts w:ascii="Arial" w:cs="Arial" w:eastAsia="Arial" w:hAnsi="Arial"/>
          <w:sz w:val="16"/>
          <w:szCs w:val="16"/>
          <w:color w:val="000000"/>
        </w:rPr>
        <w:t>Options are evidenced by option agreements, which provide the terms and conditions upon which options are granted and may be exercised. The</w:t>
      </w:r>
      <w:r>
        <w:rPr>
          <w:rFonts w:ascii="Arial" w:cs="Arial" w:eastAsia="Arial" w:hAnsi="Arial"/>
          <w:sz w:val="16"/>
          <w:szCs w:val="16"/>
          <w:b w:val="1"/>
          <w:bCs w:val="1"/>
          <w:color w:val="006DB6"/>
        </w:rPr>
        <w:t xml:space="preserve"> </w:t>
      </w:r>
      <w:r>
        <w:rPr>
          <w:rFonts w:ascii="Arial" w:cs="Arial" w:eastAsia="Arial" w:hAnsi="Arial"/>
          <w:sz w:val="16"/>
          <w:szCs w:val="16"/>
          <w:color w:val="000000"/>
        </w:rPr>
        <w:t>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which other than in the event of an earlier death, disability or termination without cause, will be over a minimum vesting period of one year from the date of its grant. Subject to this minimum vesting provision,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7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 combination of the consideration provided above. No dividends or dividend equivalents will be paid with respect to any options. The terms and conditions of the respective option agreements need not be identical.</w:t>
      </w:r>
    </w:p>
    <w:p>
      <w:pPr>
        <w:spacing w:after="0" w:line="8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 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7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006DB6"/>
        </w:rPr>
        <w:t xml:space="preserve">SARs. </w:t>
      </w:r>
      <w:r>
        <w:rPr>
          <w:rFonts w:ascii="Arial" w:cs="Arial" w:eastAsia="Arial" w:hAnsi="Arial"/>
          <w:sz w:val="16"/>
          <w:szCs w:val="16"/>
          <w:color w:val="000000"/>
        </w:rPr>
        <w:t>Under the Amended EPP, Civeo may grant Eligible Individuals share appreciation rights or SARs. A SAR, entitles the holder to receive upon exercise</w:t>
      </w:r>
      <w:r>
        <w:rPr>
          <w:rFonts w:ascii="Arial" w:cs="Arial" w:eastAsia="Arial" w:hAnsi="Arial"/>
          <w:sz w:val="16"/>
          <w:szCs w:val="16"/>
          <w:b w:val="1"/>
          <w:bCs w:val="1"/>
          <w:color w:val="006DB6"/>
        </w:rPr>
        <w:t xml:space="preserve"> </w:t>
      </w:r>
      <w:r>
        <w:rPr>
          <w:rFonts w:ascii="Arial" w:cs="Arial" w:eastAsia="Arial" w:hAnsi="Arial"/>
          <w:sz w:val="16"/>
          <w:szCs w:val="16"/>
          <w:color w:val="000000"/>
        </w:rPr>
        <w:t>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006DB6"/>
        </w:rPr>
        <w:t xml:space="preserve">Restricted Share Awards. </w:t>
      </w:r>
      <w:r>
        <w:rPr>
          <w:rFonts w:ascii="Arial" w:cs="Arial" w:eastAsia="Arial" w:hAnsi="Arial"/>
          <w:sz w:val="16"/>
          <w:szCs w:val="16"/>
          <w:color w:val="000000"/>
        </w:rPr>
        <w:t>Under the Amended EPP, Civeo may grant Eligible Individuals awards of restricted shares consisting of common shares that are</w:t>
      </w:r>
      <w:r>
        <w:rPr>
          <w:rFonts w:ascii="Arial" w:cs="Arial" w:eastAsia="Arial" w:hAnsi="Arial"/>
          <w:sz w:val="16"/>
          <w:szCs w:val="16"/>
          <w:b w:val="1"/>
          <w:bCs w:val="1"/>
          <w:color w:val="006DB6"/>
        </w:rPr>
        <w:t xml:space="preserve"> </w:t>
      </w:r>
      <w:r>
        <w:rPr>
          <w:rFonts w:ascii="Arial" w:cs="Arial" w:eastAsia="Arial" w:hAnsi="Arial"/>
          <w:sz w:val="16"/>
          <w:szCs w:val="16"/>
          <w:color w:val="000000"/>
        </w:rPr>
        <w:t>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stock awards under the Amended EPP need not be identical. After the restricted shares are issued, the Compensation Committee may, on such terms and conditions as it deems appropriate, and subject to the terms of the Amended EPP, remove any or all of such restrictions.</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accrue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and such dividends shall not be paid out unless and until the underlying award vests. Further, any common shares issued as a distribution on restricted shares shall be subject to the terms set forth in the restricted share agreement under which such restricted shares were issued.</w:t>
      </w:r>
    </w:p>
    <w:p>
      <w:pPr>
        <w:spacing w:after="0" w:line="8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b w:val="1"/>
          <w:bCs w:val="1"/>
          <w:color w:val="006DB6"/>
        </w:rPr>
        <w:t xml:space="preserve">Performance Awards. </w:t>
      </w:r>
      <w:r>
        <w:rPr>
          <w:rFonts w:ascii="Arial" w:cs="Arial" w:eastAsia="Arial" w:hAnsi="Arial"/>
          <w:sz w:val="16"/>
          <w:szCs w:val="16"/>
          <w:color w:val="000000"/>
        </w:rPr>
        <w:t>Civeo may grant performance awards to Eligible Individuals selected by the Compensation Committee. The value of such</w:t>
      </w:r>
      <w:r>
        <w:rPr>
          <w:rFonts w:ascii="Arial" w:cs="Arial" w:eastAsia="Arial" w:hAnsi="Arial"/>
          <w:sz w:val="16"/>
          <w:szCs w:val="16"/>
          <w:b w:val="1"/>
          <w:bCs w:val="1"/>
          <w:color w:val="006DB6"/>
        </w:rPr>
        <w:t xml:space="preserve"> </w:t>
      </w:r>
      <w:r>
        <w:rPr>
          <w:rFonts w:ascii="Arial" w:cs="Arial" w:eastAsia="Arial" w:hAnsi="Arial"/>
          <w:sz w:val="16"/>
          <w:szCs w:val="16"/>
          <w:color w:val="000000"/>
        </w:rPr>
        <w:t>performance awards may be linked to the achievement of such specific performance objectives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w:t>
      </w:r>
    </w:p>
    <w:p>
      <w:pPr>
        <w:spacing w:after="0" w:line="8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b w:val="1"/>
          <w:bCs w:val="1"/>
          <w:color w:val="006DB6"/>
        </w:rPr>
        <w:t xml:space="preserve">Dividend Equivalents. </w:t>
      </w:r>
      <w:r>
        <w:rPr>
          <w:rFonts w:ascii="Arial" w:cs="Arial" w:eastAsia="Arial" w:hAnsi="Arial"/>
          <w:sz w:val="16"/>
          <w:szCs w:val="16"/>
          <w:color w:val="000000"/>
        </w:rPr>
        <w:t>Civeo may grant dividend equivalents to any Eligible Individuals selected by the Compensation Committee based on the dividends</w:t>
      </w:r>
      <w:r>
        <w:rPr>
          <w:rFonts w:ascii="Arial" w:cs="Arial" w:eastAsia="Arial" w:hAnsi="Arial"/>
          <w:sz w:val="16"/>
          <w:szCs w:val="16"/>
          <w:b w:val="1"/>
          <w:bCs w:val="1"/>
          <w:color w:val="006DB6"/>
        </w:rPr>
        <w:t xml:space="preserve"> </w:t>
      </w:r>
      <w:r>
        <w:rPr>
          <w:rFonts w:ascii="Arial" w:cs="Arial" w:eastAsia="Arial" w:hAnsi="Arial"/>
          <w:sz w:val="16"/>
          <w:szCs w:val="16"/>
          <w:color w:val="000000"/>
        </w:rPr>
        <w:t>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 such formula and at such time and subject to such limitations as may be determined by the Compensation Committee. Dividend equivalents shall not be paid out prior to the time the underlying restricted share units or performance award vests.</w:t>
      </w:r>
    </w:p>
    <w:p>
      <w:pPr>
        <w:spacing w:after="0" w:line="6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color w:val="006DB6"/>
        </w:rPr>
        <w:t xml:space="preserve">Share Payments. </w:t>
      </w:r>
      <w:r>
        <w:rPr>
          <w:rFonts w:ascii="Arial" w:cs="Arial" w:eastAsia="Arial" w:hAnsi="Arial"/>
          <w:sz w:val="16"/>
          <w:szCs w:val="16"/>
          <w:color w:val="000000"/>
        </w:rPr>
        <w:t>Civeo may make share payments to any Eligible Individuals selected by the Compensation Committee in the manner determined from</w:t>
      </w:r>
      <w:r>
        <w:rPr>
          <w:rFonts w:ascii="Arial" w:cs="Arial" w:eastAsia="Arial" w:hAnsi="Arial"/>
          <w:sz w:val="16"/>
          <w:szCs w:val="16"/>
          <w:b w:val="1"/>
          <w:bCs w:val="1"/>
          <w:color w:val="006DB6"/>
        </w:rPr>
        <w:t xml:space="preserve"> </w:t>
      </w:r>
      <w:r>
        <w:rPr>
          <w:rFonts w:ascii="Arial" w:cs="Arial" w:eastAsia="Arial" w:hAnsi="Arial"/>
          <w:sz w:val="16"/>
          <w:szCs w:val="16"/>
          <w:color w:val="000000"/>
        </w:rPr>
        <w:t>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7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006DB6"/>
        </w:rPr>
        <w:t xml:space="preserve">Restricted Share Units. </w:t>
      </w:r>
      <w:r>
        <w:rPr>
          <w:rFonts w:ascii="Arial" w:cs="Arial" w:eastAsia="Arial" w:hAnsi="Arial"/>
          <w:sz w:val="16"/>
          <w:szCs w:val="16"/>
          <w:color w:val="000000"/>
        </w:rPr>
        <w:t>Civeo may grant restricted share units to any Eligible Individuals selected by the Compensation Committee in the manner</w:t>
      </w:r>
      <w:r>
        <w:rPr>
          <w:rFonts w:ascii="Arial" w:cs="Arial" w:eastAsia="Arial" w:hAnsi="Arial"/>
          <w:sz w:val="16"/>
          <w:szCs w:val="16"/>
          <w:b w:val="1"/>
          <w:bCs w:val="1"/>
          <w:color w:val="006DB6"/>
        </w:rPr>
        <w:t xml:space="preserve"> </w:t>
      </w:r>
      <w:r>
        <w:rPr>
          <w:rFonts w:ascii="Arial" w:cs="Arial" w:eastAsia="Arial" w:hAnsi="Arial"/>
          <w:sz w:val="16"/>
          <w:szCs w:val="16"/>
          <w:color w:val="000000"/>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of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w:t>
      </w:r>
    </w:p>
    <w:p>
      <w:pPr>
        <w:spacing w:after="0" w:line="8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006DB6"/>
        </w:rPr>
        <w:t xml:space="preserve">Minimum Vesting. </w:t>
      </w:r>
      <w:r>
        <w:rPr>
          <w:rFonts w:ascii="Arial" w:cs="Arial" w:eastAsia="Arial" w:hAnsi="Arial"/>
          <w:sz w:val="16"/>
          <w:szCs w:val="16"/>
          <w:color w:val="000000"/>
        </w:rPr>
        <w:t>Subject to limited exceptions with regard to director equity awards that vest at the next annual meeting, in the case of a change in control</w:t>
      </w:r>
      <w:r>
        <w:rPr>
          <w:rFonts w:ascii="Arial" w:cs="Arial" w:eastAsia="Arial" w:hAnsi="Arial"/>
          <w:sz w:val="16"/>
          <w:szCs w:val="16"/>
          <w:b w:val="1"/>
          <w:bCs w:val="1"/>
          <w:color w:val="006DB6"/>
        </w:rPr>
        <w:t xml:space="preserve"> </w:t>
      </w:r>
      <w:r>
        <w:rPr>
          <w:rFonts w:ascii="Arial" w:cs="Arial" w:eastAsia="Arial" w:hAnsi="Arial"/>
          <w:sz w:val="16"/>
          <w:szCs w:val="16"/>
          <w:color w:val="000000"/>
        </w:rPr>
        <w:t>or upon the recipient’s death, disability or termination without cause, awards under the Amended EPP will have a minimum vesting period of one year from the date of grant. This limit applies to award covering 95% of the share reserve under the Amended EPP.</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Individual Award Limitations</w:t>
      </w:r>
      <w:r>
        <w:rPr>
          <w:rFonts w:ascii="Arial" w:cs="Arial" w:eastAsia="Arial" w:hAnsi="Arial"/>
          <w:sz w:val="16"/>
          <w:szCs w:val="16"/>
          <w:b w:val="1"/>
          <w:bCs w:val="1"/>
          <w:i w:val="1"/>
          <w:iCs w:val="1"/>
          <w:color w:val="B6B6B6"/>
        </w:rPr>
        <w:t>.</w:t>
      </w:r>
      <w:r>
        <w:rPr>
          <w:rFonts w:ascii="Arial" w:cs="Arial" w:eastAsia="Arial" w:hAnsi="Arial"/>
          <w:sz w:val="16"/>
          <w:szCs w:val="16"/>
          <w:b w:val="1"/>
          <w:bCs w:val="1"/>
          <w:color w:val="006DB6"/>
        </w:rPr>
        <w:t xml:space="preserve"> </w:t>
      </w:r>
      <w:r>
        <w:rPr>
          <w:rFonts w:ascii="Arial" w:cs="Arial" w:eastAsia="Arial" w:hAnsi="Arial"/>
          <w:sz w:val="16"/>
          <w:szCs w:val="16"/>
          <w:color w:val="000000"/>
        </w:rPr>
        <w:t>Under the Amended EPP, no individual may be granted during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175260</wp:posOffset>
            </wp:positionV>
            <wp:extent cx="394335" cy="1974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options and/or SARs covering more than 250,000 common shares;</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restricted shares, deferred shares or share payments covering more than 250,000 common shares; or</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performance awards denominated in cash having a value determined on the grant date in excess of $5,000,000.</w:t>
      </w:r>
    </w:p>
    <w:p>
      <w:pPr>
        <w:spacing w:after="0" w:line="11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b w:val="1"/>
          <w:bCs w:val="1"/>
          <w:color w:val="006DB6"/>
        </w:rPr>
        <w:t>Non-employee Director Awards</w:t>
      </w:r>
      <w:r>
        <w:rPr>
          <w:rFonts w:ascii="Arial" w:cs="Arial" w:eastAsia="Arial" w:hAnsi="Arial"/>
          <w:sz w:val="16"/>
          <w:szCs w:val="16"/>
          <w:b w:val="1"/>
          <w:bCs w:val="1"/>
          <w:i w:val="1"/>
          <w:iCs w:val="1"/>
          <w:color w:val="929292"/>
        </w:rPr>
        <w:t>.</w:t>
      </w:r>
      <w:r>
        <w:rPr>
          <w:rFonts w:ascii="Arial" w:cs="Arial" w:eastAsia="Arial" w:hAnsi="Arial"/>
          <w:sz w:val="16"/>
          <w:szCs w:val="16"/>
          <w:b w:val="1"/>
          <w:bCs w:val="1"/>
          <w:color w:val="006DB6"/>
        </w:rPr>
        <w:t xml:space="preserve"> </w:t>
      </w:r>
      <w:r>
        <w:rPr>
          <w:rFonts w:ascii="Arial" w:cs="Arial" w:eastAsia="Arial" w:hAnsi="Arial"/>
          <w:sz w:val="16"/>
          <w:szCs w:val="16"/>
          <w:color w:val="000000"/>
        </w:rPr>
        <w:t>The aggregate grant date fair value of awards under the Amended EPP to any individual non-employee director may not</w:t>
      </w:r>
      <w:r>
        <w:rPr>
          <w:rFonts w:ascii="Arial" w:cs="Arial" w:eastAsia="Arial" w:hAnsi="Arial"/>
          <w:sz w:val="16"/>
          <w:szCs w:val="16"/>
          <w:b w:val="1"/>
          <w:bCs w:val="1"/>
          <w:color w:val="006DB6"/>
        </w:rPr>
        <w:t xml:space="preserve"> </w:t>
      </w:r>
      <w:r>
        <w:rPr>
          <w:rFonts w:ascii="Arial" w:cs="Arial" w:eastAsia="Arial" w:hAnsi="Arial"/>
          <w:sz w:val="16"/>
          <w:szCs w:val="16"/>
          <w:color w:val="000000"/>
        </w:rPr>
        <w:t>exceed $500,000 in any calendar year.</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Transfer Provisions</w:t>
      </w:r>
    </w:p>
    <w:p>
      <w:pPr>
        <w:spacing w:after="0" w:line="12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However, an Eligible Individual may, with Compensation Committee consent transfer a non-qualified option to family members subject to any restrictions or limitations as determined by the Compensation Committee in its discretion. Only an optionee may exercise an option, right or award during the optionee's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Adjustments on Changes in Capitalization, Merger or Sale of Assets</w:t>
      </w:r>
    </w:p>
    <w:p>
      <w:pPr>
        <w:spacing w:after="0" w:line="1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2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 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 (ii) provide either in the terms of an award or by action taken prior to such transaction or event, that it cannot be exercised after such transaction or event; (iii) 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 (iv) 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applicable performance objectives of any outstanding award.</w:t>
      </w:r>
    </w:p>
    <w:p>
      <w:pPr>
        <w:spacing w:after="0" w:line="28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Notwithstanding any of the powers described above, except to the extent that an award agreement specifies to the contrary, in the event of a change of control (as defined by the Amended EPP) of Civeo, all outstanding awards that are not assumed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Amendment and Termination of the Amended EPP</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of directors or the Compensation Committee may amend, suspend or terminate the Amended EPP at any time, except that they may not change any award previously granted under the Amended EPP in a manner that would materially alter or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 as a matter of applicable law, regulation or rule.</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No awards may be granted after the Amended EPP has terminated or while the Amended EPP is suspended. No incentive option may be granted under the Amended EPP after March 25, 2036.</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U.S. Income Tax Considerations</w:t>
      </w:r>
    </w:p>
    <w:p>
      <w:pPr>
        <w:spacing w:after="0" w:line="14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spacing w:after="0" w:line="7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b w:val="1"/>
          <w:bCs w:val="1"/>
          <w:color w:val="006DB6"/>
        </w:rPr>
        <w:t>Options</w:t>
      </w:r>
      <w:r>
        <w:rPr>
          <w:rFonts w:ascii="Arial" w:cs="Arial" w:eastAsia="Arial" w:hAnsi="Arial"/>
          <w:sz w:val="16"/>
          <w:szCs w:val="16"/>
          <w:b w:val="1"/>
          <w:bCs w:val="1"/>
          <w:i w:val="1"/>
          <w:iCs w:val="1"/>
          <w:color w:val="929292"/>
        </w:rPr>
        <w:t>.</w:t>
      </w:r>
      <w:r>
        <w:rPr>
          <w:rFonts w:ascii="Arial" w:cs="Arial" w:eastAsia="Arial" w:hAnsi="Arial"/>
          <w:sz w:val="16"/>
          <w:szCs w:val="16"/>
          <w:b w:val="1"/>
          <w:bCs w:val="1"/>
          <w:color w:val="006DB6"/>
        </w:rPr>
        <w:t xml:space="preserve"> </w:t>
      </w:r>
      <w:r>
        <w:rPr>
          <w:rFonts w:ascii="Arial" w:cs="Arial" w:eastAsia="Arial" w:hAnsi="Arial"/>
          <w:sz w:val="16"/>
          <w:szCs w:val="16"/>
          <w:color w:val="000000"/>
        </w:rPr>
        <w:t>The grant of an option is not a taxable event. In general, a participant who receives an option that does not qualify as an “incentive stock option”</w:t>
      </w:r>
      <w:r>
        <w:rPr>
          <w:rFonts w:ascii="Arial" w:cs="Arial" w:eastAsia="Arial" w:hAnsi="Arial"/>
          <w:sz w:val="16"/>
          <w:szCs w:val="16"/>
          <w:b w:val="1"/>
          <w:bCs w:val="1"/>
          <w:color w:val="006DB6"/>
        </w:rPr>
        <w:t xml:space="preserve"> </w:t>
      </w:r>
      <w:r>
        <w:rPr>
          <w:rFonts w:ascii="Arial" w:cs="Arial" w:eastAsia="Arial" w:hAnsi="Arial"/>
          <w:sz w:val="16"/>
          <w:szCs w:val="16"/>
          <w:color w:val="000000"/>
        </w:rPr>
        <w:t>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6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deduction limitations under Section 162(m) of the Code.</w:t>
      </w:r>
    </w:p>
    <w:p>
      <w:pPr>
        <w:spacing w:after="0" w:line="8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006DB6"/>
        </w:rPr>
        <w:t>SARs</w:t>
      </w:r>
      <w:r>
        <w:rPr>
          <w:rFonts w:ascii="Arial" w:cs="Arial" w:eastAsia="Arial" w:hAnsi="Arial"/>
          <w:sz w:val="16"/>
          <w:szCs w:val="16"/>
          <w:b w:val="1"/>
          <w:bCs w:val="1"/>
          <w:i w:val="1"/>
          <w:iCs w:val="1"/>
          <w:color w:val="929292"/>
        </w:rPr>
        <w:t>.</w:t>
      </w:r>
      <w:r>
        <w:rPr>
          <w:rFonts w:ascii="Arial" w:cs="Arial" w:eastAsia="Arial" w:hAnsi="Arial"/>
          <w:sz w:val="16"/>
          <w:szCs w:val="16"/>
          <w:b w:val="1"/>
          <w:bCs w:val="1"/>
          <w:color w:val="006DB6"/>
        </w:rPr>
        <w:t xml:space="preserve"> </w:t>
      </w:r>
      <w:r>
        <w:rPr>
          <w:rFonts w:ascii="Arial" w:cs="Arial" w:eastAsia="Arial" w:hAnsi="Arial"/>
          <w:sz w:val="16"/>
          <w:szCs w:val="16"/>
          <w:color w:val="000000"/>
        </w:rPr>
        <w:t>The grant of a SAR will not result in any immediate tax consequence to us or to the participant. Generally, the participant will realize ordinary income</w:t>
      </w:r>
      <w:r>
        <w:rPr>
          <w:rFonts w:ascii="Arial" w:cs="Arial" w:eastAsia="Arial" w:hAnsi="Arial"/>
          <w:sz w:val="16"/>
          <w:szCs w:val="16"/>
          <w:b w:val="1"/>
          <w:bCs w:val="1"/>
          <w:color w:val="006DB6"/>
        </w:rPr>
        <w:t xml:space="preserve"> </w:t>
      </w:r>
      <w:r>
        <w:rPr>
          <w:rFonts w:ascii="Arial" w:cs="Arial" w:eastAsia="Arial" w:hAnsi="Arial"/>
          <w:sz w:val="16"/>
          <w:szCs w:val="16"/>
          <w:color w:val="000000"/>
        </w:rPr>
        <w:t>upon the exercise of a SAR, equal to the value of the shares or the cash payment issued or made in settlement of the award, and we will be entitled to a corresponding deduction, subject to the deduction limitations under Section 162(m) of the Code.</w:t>
      </w:r>
    </w:p>
    <w:p>
      <w:pPr>
        <w:spacing w:after="0" w:line="77"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006DB6"/>
        </w:rPr>
        <w:t>Restricted Shares, Restricted Share Units and Share Payments</w:t>
      </w:r>
      <w:r>
        <w:rPr>
          <w:rFonts w:ascii="Arial" w:cs="Arial" w:eastAsia="Arial" w:hAnsi="Arial"/>
          <w:sz w:val="16"/>
          <w:szCs w:val="16"/>
          <w:color w:val="000000"/>
        </w:rPr>
        <w:t>. In general, a participant who receives restricted shares, restricted share units or share</w:t>
      </w:r>
      <w:r>
        <w:rPr>
          <w:rFonts w:ascii="Arial" w:cs="Arial" w:eastAsia="Arial" w:hAnsi="Arial"/>
          <w:sz w:val="16"/>
          <w:szCs w:val="16"/>
          <w:b w:val="1"/>
          <w:bCs w:val="1"/>
          <w:color w:val="006DB6"/>
        </w:rPr>
        <w:t xml:space="preserve"> </w:t>
      </w:r>
      <w:r>
        <w:rPr>
          <w:rFonts w:ascii="Arial" w:cs="Arial" w:eastAsia="Arial" w:hAnsi="Arial"/>
          <w:sz w:val="16"/>
          <w:szCs w:val="16"/>
          <w:color w:val="000000"/>
        </w:rPr>
        <w:t>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68"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b w:val="1"/>
          <w:bCs w:val="1"/>
          <w:color w:val="006DB6"/>
        </w:rPr>
        <w:t xml:space="preserve">Tax Deductibility Limitation. </w:t>
      </w:r>
      <w:r>
        <w:rPr>
          <w:rFonts w:ascii="Arial" w:cs="Arial" w:eastAsia="Arial" w:hAnsi="Arial"/>
          <w:sz w:val="16"/>
          <w:szCs w:val="16"/>
          <w:color w:val="000000"/>
        </w:rPr>
        <w:t>Section 162(m) of the Code provides that certain compensation received in any year by a “covered employee” in excess of</w:t>
      </w:r>
      <w:r>
        <w:rPr>
          <w:rFonts w:ascii="Arial" w:cs="Arial" w:eastAsia="Arial" w:hAnsi="Arial"/>
          <w:sz w:val="16"/>
          <w:szCs w:val="16"/>
          <w:b w:val="1"/>
          <w:bCs w:val="1"/>
          <w:color w:val="006DB6"/>
        </w:rPr>
        <w:t xml:space="preserve"> </w:t>
      </w:r>
      <w:r>
        <w:rPr>
          <w:rFonts w:ascii="Arial" w:cs="Arial" w:eastAsia="Arial" w:hAnsi="Arial"/>
          <w:sz w:val="16"/>
          <w:szCs w:val="16"/>
          <w:color w:val="000000"/>
        </w:rPr>
        <w:t>$1,000,000 is non-deductible by us for federal income tax purposes. The Committee expects that it will award compensation that is or may become non-deductible, and expects to consider whether it believes such grants are in our best interest, balancing tax efficiency with long-term strategic objectives.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color w:val="006DB6"/>
        </w:rPr>
        <w:t xml:space="preserve">Section 409A. </w:t>
      </w:r>
      <w:r>
        <w:rPr>
          <w:rFonts w:ascii="Arial" w:cs="Arial" w:eastAsia="Arial" w:hAnsi="Arial"/>
          <w:sz w:val="16"/>
          <w:szCs w:val="16"/>
          <w:color w:val="000000"/>
        </w:rPr>
        <w:t>Section 409A of the Code generally provides that any deferred compensation arrangement must satisfy specific requirements, both in</w:t>
      </w:r>
      <w:r>
        <w:rPr>
          <w:rFonts w:ascii="Arial" w:cs="Arial" w:eastAsia="Arial" w:hAnsi="Arial"/>
          <w:sz w:val="16"/>
          <w:szCs w:val="16"/>
          <w:b w:val="1"/>
          <w:bCs w:val="1"/>
          <w:color w:val="006DB6"/>
        </w:rPr>
        <w:t xml:space="preserve"> </w:t>
      </w:r>
      <w:r>
        <w:rPr>
          <w:rFonts w:ascii="Arial" w:cs="Arial" w:eastAsia="Arial" w:hAnsi="Arial"/>
          <w:sz w:val="16"/>
          <w:szCs w:val="16"/>
          <w:color w:val="000000"/>
        </w:rPr>
        <w:t>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 but cannot guarantee such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152400</wp:posOffset>
            </wp:positionV>
            <wp:extent cx="394335" cy="196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006DB6"/>
        </w:rPr>
        <w:t xml:space="preserve">Change of Control. </w:t>
      </w:r>
      <w:r>
        <w:rPr>
          <w:rFonts w:ascii="Arial" w:cs="Arial" w:eastAsia="Arial" w:hAnsi="Arial"/>
          <w:sz w:val="16"/>
          <w:szCs w:val="16"/>
          <w:color w:val="000000"/>
        </w:rPr>
        <w:t>The acceleration of the exercisability or the vesting of a grant or award upon the occurrence of a change of control may result in an</w:t>
      </w:r>
      <w:r>
        <w:rPr>
          <w:rFonts w:ascii="Arial" w:cs="Arial" w:eastAsia="Arial" w:hAnsi="Arial"/>
          <w:sz w:val="16"/>
          <w:szCs w:val="16"/>
          <w:b w:val="1"/>
          <w:bCs w:val="1"/>
          <w:color w:val="006DB6"/>
        </w:rPr>
        <w:t xml:space="preserve"> </w:t>
      </w:r>
      <w:r>
        <w:rPr>
          <w:rFonts w:ascii="Arial" w:cs="Arial" w:eastAsia="Arial" w:hAnsi="Arial"/>
          <w:sz w:val="16"/>
          <w:szCs w:val="16"/>
          <w:color w:val="000000"/>
        </w:rPr>
        <w:t>“excess parachute payment” within the meaning of Section 280G of the Code. A “parachute payment” occurs when an employee receives payments contingent upon a change of control that exceed an amount equal to three times his or her “base amount.” The term “base amount” generally means the average annual compensation paid to such employee during the five-year period preceding the change of control. An “excess parachute payment” is the excess of all parachute payments made to the employee on account of a change of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Existing Plan Benefits</w:t>
      </w:r>
    </w:p>
    <w:p>
      <w:pPr>
        <w:spacing w:after="0" w:line="14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 xml:space="preserve">Future awards under the Amended EPP will be made at the discretion of the Compensation Committee. Therefore, the benefits and amounts that will be received or allocated under the Amended EPP are not determinable and it is not possible to predict the benefits or amount that will be received by, or allocated to, particular individuals or groups of employees. See the Grants of Plan-Based Awards Table on page </w:t>
      </w:r>
      <w:r>
        <w:rPr>
          <w:rFonts w:ascii="Arial" w:cs="Arial" w:eastAsia="Arial" w:hAnsi="Arial"/>
          <w:sz w:val="16"/>
          <w:szCs w:val="16"/>
          <w:u w:val="single" w:color="auto"/>
          <w:color w:val="0000FF"/>
        </w:rPr>
        <w:t>46</w:t>
      </w:r>
      <w:r>
        <w:rPr>
          <w:rFonts w:ascii="Arial" w:cs="Arial" w:eastAsia="Arial" w:hAnsi="Arial"/>
          <w:sz w:val="16"/>
          <w:szCs w:val="16"/>
          <w:color w:val="auto"/>
        </w:rPr>
        <w:t xml:space="preserve"> for information on awards granted in 2025 under the EPP to certain of the Company’s executive officers. No options or SARs have been granted under the EPP since its adoption in 2014.</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Equity Compensation Plan Information</w:t>
      </w:r>
    </w:p>
    <w:p>
      <w:pPr>
        <w:spacing w:after="0" w:line="128"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following table sets forth information regarding our equity compensation plans as of December 31, 2025, without regard to the additional share requested under this proposal.</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400" w:type="dxa"/>
            <w:vAlign w:val="bottom"/>
          </w:tcPr>
          <w:p>
            <w:pPr>
              <w:jc w:val="right"/>
              <w:ind w:right="19"/>
              <w:spacing w:after="0"/>
              <w:rPr>
                <w:sz w:val="20"/>
                <w:szCs w:val="20"/>
                <w:color w:val="auto"/>
              </w:rPr>
            </w:pPr>
            <w:r>
              <w:rPr>
                <w:rFonts w:ascii="Arial" w:cs="Arial" w:eastAsia="Arial" w:hAnsi="Arial"/>
                <w:sz w:val="16"/>
                <w:szCs w:val="16"/>
                <w:b w:val="1"/>
                <w:bCs w:val="1"/>
                <w:color w:val="70706F"/>
              </w:rPr>
              <w:t>Number of Securities to</w:t>
            </w:r>
          </w:p>
        </w:tc>
        <w:tc>
          <w:tcPr>
            <w:tcW w:w="1920" w:type="dxa"/>
            <w:vAlign w:val="bottom"/>
          </w:tcPr>
          <w:p>
            <w:pPr>
              <w:jc w:val="right"/>
              <w:ind w:right="19"/>
              <w:spacing w:after="0"/>
              <w:rPr>
                <w:sz w:val="20"/>
                <w:szCs w:val="20"/>
                <w:color w:val="auto"/>
              </w:rPr>
            </w:pPr>
            <w:r>
              <w:rPr>
                <w:rFonts w:ascii="Arial" w:cs="Arial" w:eastAsia="Arial" w:hAnsi="Arial"/>
                <w:sz w:val="16"/>
                <w:szCs w:val="16"/>
                <w:b w:val="1"/>
                <w:bCs w:val="1"/>
                <w:color w:val="70706F"/>
              </w:rPr>
              <w:t>Weighted- Average</w:t>
            </w:r>
          </w:p>
        </w:tc>
        <w:tc>
          <w:tcPr>
            <w:tcW w:w="1740" w:type="dxa"/>
            <w:vAlign w:val="bottom"/>
          </w:tcPr>
          <w:p>
            <w:pPr>
              <w:spacing w:after="0"/>
              <w:rPr>
                <w:sz w:val="17"/>
                <w:szCs w:val="17"/>
                <w:color w:val="auto"/>
              </w:rPr>
            </w:pPr>
          </w:p>
        </w:tc>
      </w:tr>
      <w:tr>
        <w:trPr>
          <w:trHeight w:val="189"/>
        </w:trPr>
        <w:tc>
          <w:tcPr>
            <w:tcW w:w="5120" w:type="dxa"/>
            <w:vAlign w:val="bottom"/>
          </w:tcPr>
          <w:p>
            <w:pPr>
              <w:spacing w:after="0"/>
              <w:rPr>
                <w:sz w:val="16"/>
                <w:szCs w:val="16"/>
                <w:color w:val="auto"/>
              </w:rPr>
            </w:pPr>
          </w:p>
        </w:tc>
        <w:tc>
          <w:tcPr>
            <w:tcW w:w="2400" w:type="dxa"/>
            <w:vAlign w:val="bottom"/>
          </w:tcPr>
          <w:p>
            <w:pPr>
              <w:jc w:val="right"/>
              <w:ind w:right="19"/>
              <w:spacing w:after="0"/>
              <w:rPr>
                <w:sz w:val="20"/>
                <w:szCs w:val="20"/>
                <w:color w:val="auto"/>
              </w:rPr>
            </w:pPr>
            <w:r>
              <w:rPr>
                <w:rFonts w:ascii="Arial" w:cs="Arial" w:eastAsia="Arial" w:hAnsi="Arial"/>
                <w:sz w:val="16"/>
                <w:szCs w:val="16"/>
                <w:b w:val="1"/>
                <w:bCs w:val="1"/>
                <w:color w:val="70706F"/>
              </w:rPr>
              <w:t>be Issued Upon Exercise</w:t>
            </w:r>
          </w:p>
        </w:tc>
        <w:tc>
          <w:tcPr>
            <w:tcW w:w="1920" w:type="dxa"/>
            <w:vAlign w:val="bottom"/>
          </w:tcPr>
          <w:p>
            <w:pPr>
              <w:jc w:val="right"/>
              <w:ind w:right="19"/>
              <w:spacing w:after="0"/>
              <w:rPr>
                <w:sz w:val="20"/>
                <w:szCs w:val="20"/>
                <w:color w:val="auto"/>
              </w:rPr>
            </w:pPr>
            <w:r>
              <w:rPr>
                <w:rFonts w:ascii="Arial" w:cs="Arial" w:eastAsia="Arial" w:hAnsi="Arial"/>
                <w:sz w:val="16"/>
                <w:szCs w:val="16"/>
                <w:b w:val="1"/>
                <w:bCs w:val="1"/>
                <w:color w:val="70706F"/>
              </w:rPr>
              <w:t>Exercise Price of</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70706F"/>
              </w:rPr>
              <w:t>Number of Securities</w:t>
            </w:r>
          </w:p>
        </w:tc>
      </w:tr>
      <w:tr>
        <w:trPr>
          <w:trHeight w:val="189"/>
        </w:trPr>
        <w:tc>
          <w:tcPr>
            <w:tcW w:w="5120" w:type="dxa"/>
            <w:vAlign w:val="bottom"/>
          </w:tcPr>
          <w:p>
            <w:pPr>
              <w:spacing w:after="0"/>
              <w:rPr>
                <w:sz w:val="16"/>
                <w:szCs w:val="16"/>
                <w:color w:val="auto"/>
              </w:rPr>
            </w:pPr>
          </w:p>
        </w:tc>
        <w:tc>
          <w:tcPr>
            <w:tcW w:w="2400" w:type="dxa"/>
            <w:vAlign w:val="bottom"/>
          </w:tcPr>
          <w:p>
            <w:pPr>
              <w:jc w:val="right"/>
              <w:ind w:right="19"/>
              <w:spacing w:after="0"/>
              <w:rPr>
                <w:sz w:val="20"/>
                <w:szCs w:val="20"/>
                <w:color w:val="auto"/>
              </w:rPr>
            </w:pPr>
            <w:r>
              <w:rPr>
                <w:rFonts w:ascii="Arial" w:cs="Arial" w:eastAsia="Arial" w:hAnsi="Arial"/>
                <w:sz w:val="16"/>
                <w:szCs w:val="16"/>
                <w:b w:val="1"/>
                <w:bCs w:val="1"/>
                <w:color w:val="70706F"/>
              </w:rPr>
              <w:t>of Outstanding Options,</w:t>
            </w:r>
          </w:p>
        </w:tc>
        <w:tc>
          <w:tcPr>
            <w:tcW w:w="1920" w:type="dxa"/>
            <w:vAlign w:val="bottom"/>
          </w:tcPr>
          <w:p>
            <w:pPr>
              <w:jc w:val="right"/>
              <w:ind w:right="19"/>
              <w:spacing w:after="0"/>
              <w:rPr>
                <w:sz w:val="20"/>
                <w:szCs w:val="20"/>
                <w:color w:val="auto"/>
              </w:rPr>
            </w:pPr>
            <w:r>
              <w:rPr>
                <w:rFonts w:ascii="Arial" w:cs="Arial" w:eastAsia="Arial" w:hAnsi="Arial"/>
                <w:sz w:val="16"/>
                <w:szCs w:val="16"/>
                <w:b w:val="1"/>
                <w:bCs w:val="1"/>
                <w:color w:val="70706F"/>
              </w:rPr>
              <w:t>Outstanding Options,</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70706F"/>
              </w:rPr>
              <w:t>Remaining Available</w:t>
            </w:r>
          </w:p>
        </w:tc>
      </w:tr>
      <w:tr>
        <w:trPr>
          <w:trHeight w:val="251"/>
        </w:trPr>
        <w:tc>
          <w:tcPr>
            <w:tcW w:w="5120" w:type="dxa"/>
            <w:vAlign w:val="bottom"/>
            <w:tcBorders>
              <w:bottom w:val="single" w:sz="8" w:color="006DB6"/>
            </w:tcBorders>
          </w:tcPr>
          <w:p>
            <w:pPr>
              <w:ind w:left="20"/>
              <w:spacing w:after="0"/>
              <w:rPr>
                <w:sz w:val="20"/>
                <w:szCs w:val="20"/>
                <w:color w:val="auto"/>
              </w:rPr>
            </w:pPr>
            <w:r>
              <w:rPr>
                <w:rFonts w:ascii="Arial" w:cs="Arial" w:eastAsia="Arial" w:hAnsi="Arial"/>
                <w:sz w:val="16"/>
                <w:szCs w:val="16"/>
                <w:b w:val="1"/>
                <w:bCs w:val="1"/>
                <w:color w:val="70706F"/>
              </w:rPr>
              <w:t>Plan Category</w:t>
            </w:r>
          </w:p>
        </w:tc>
        <w:tc>
          <w:tcPr>
            <w:tcW w:w="2400" w:type="dxa"/>
            <w:vAlign w:val="bottom"/>
            <w:tcBorders>
              <w:bottom w:val="single" w:sz="8" w:color="006DB6"/>
            </w:tcBorders>
          </w:tcPr>
          <w:p>
            <w:pPr>
              <w:jc w:val="right"/>
              <w:ind w:right="19"/>
              <w:spacing w:after="0"/>
              <w:rPr>
                <w:sz w:val="20"/>
                <w:szCs w:val="20"/>
                <w:color w:val="auto"/>
              </w:rPr>
            </w:pPr>
            <w:r>
              <w:rPr>
                <w:rFonts w:ascii="Arial" w:cs="Arial" w:eastAsia="Arial" w:hAnsi="Arial"/>
                <w:sz w:val="16"/>
                <w:szCs w:val="16"/>
                <w:b w:val="1"/>
                <w:bCs w:val="1"/>
                <w:color w:val="70706F"/>
              </w:rPr>
              <w:t>Warrants and Rights</w:t>
            </w:r>
            <w:r>
              <w:rPr>
                <w:rFonts w:ascii="Arial" w:cs="Arial" w:eastAsia="Arial" w:hAnsi="Arial"/>
                <w:sz w:val="21"/>
                <w:szCs w:val="21"/>
                <w:b w:val="1"/>
                <w:bCs w:val="1"/>
                <w:color w:val="70706F"/>
                <w:vertAlign w:val="superscript"/>
              </w:rPr>
              <w:t>(1)</w:t>
            </w:r>
          </w:p>
        </w:tc>
        <w:tc>
          <w:tcPr>
            <w:tcW w:w="1920" w:type="dxa"/>
            <w:vAlign w:val="bottom"/>
            <w:tcBorders>
              <w:bottom w:val="single" w:sz="8" w:color="006DB6"/>
            </w:tcBorders>
          </w:tcPr>
          <w:p>
            <w:pPr>
              <w:jc w:val="right"/>
              <w:ind w:right="19"/>
              <w:spacing w:after="0"/>
              <w:rPr>
                <w:sz w:val="20"/>
                <w:szCs w:val="20"/>
                <w:color w:val="auto"/>
              </w:rPr>
            </w:pPr>
            <w:r>
              <w:rPr>
                <w:rFonts w:ascii="Arial" w:cs="Arial" w:eastAsia="Arial" w:hAnsi="Arial"/>
                <w:sz w:val="16"/>
                <w:szCs w:val="16"/>
                <w:b w:val="1"/>
                <w:bCs w:val="1"/>
                <w:color w:val="70706F"/>
              </w:rPr>
              <w:t>Warrants and Rights</w:t>
            </w:r>
            <w:r>
              <w:rPr>
                <w:rFonts w:ascii="Arial" w:cs="Arial" w:eastAsia="Arial" w:hAnsi="Arial"/>
                <w:sz w:val="21"/>
                <w:szCs w:val="21"/>
                <w:b w:val="1"/>
                <w:bCs w:val="1"/>
                <w:color w:val="70706F"/>
                <w:vertAlign w:val="superscript"/>
              </w:rPr>
              <w:t>(2)</w:t>
            </w:r>
          </w:p>
        </w:tc>
        <w:tc>
          <w:tcPr>
            <w:tcW w:w="1740" w:type="dxa"/>
            <w:vAlign w:val="bottom"/>
            <w:tcBorders>
              <w:bottom w:val="single" w:sz="8" w:color="006DB6"/>
            </w:tcBorders>
          </w:tcPr>
          <w:p>
            <w:pPr>
              <w:jc w:val="right"/>
              <w:spacing w:after="0"/>
              <w:rPr>
                <w:sz w:val="20"/>
                <w:szCs w:val="20"/>
                <w:color w:val="auto"/>
              </w:rPr>
            </w:pPr>
            <w:r>
              <w:rPr>
                <w:rFonts w:ascii="Arial" w:cs="Arial" w:eastAsia="Arial" w:hAnsi="Arial"/>
                <w:sz w:val="16"/>
                <w:szCs w:val="16"/>
                <w:b w:val="1"/>
                <w:bCs w:val="1"/>
                <w:color w:val="70706F"/>
              </w:rPr>
              <w:t>for Future Issuance</w:t>
            </w:r>
          </w:p>
        </w:tc>
      </w:tr>
      <w:tr>
        <w:trPr>
          <w:trHeight w:val="23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2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384,733</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898,335</w:t>
            </w: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17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6"/>
                <w:szCs w:val="16"/>
                <w:color w:val="auto"/>
              </w:rPr>
              <w:t>Total</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384,733</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740" w:type="dxa"/>
            <w:vAlign w:val="bottom"/>
          </w:tcPr>
          <w:p>
            <w:pPr>
              <w:jc w:val="right"/>
              <w:spacing w:after="0"/>
              <w:rPr>
                <w:sz w:val="20"/>
                <w:szCs w:val="20"/>
                <w:color w:val="auto"/>
              </w:rPr>
            </w:pPr>
            <w:r>
              <w:rPr>
                <w:rFonts w:ascii="Arial" w:cs="Arial" w:eastAsia="Arial" w:hAnsi="Arial"/>
                <w:sz w:val="16"/>
                <w:szCs w:val="16"/>
                <w:color w:val="auto"/>
              </w:rPr>
              <w:t>898,335</w:t>
            </w:r>
          </w:p>
        </w:tc>
      </w:tr>
    </w:tbl>
    <w:p>
      <w:pPr>
        <w:spacing w:after="0" w:line="204" w:lineRule="exact"/>
        <w:rPr>
          <w:sz w:val="20"/>
          <w:szCs w:val="20"/>
          <w:color w:val="auto"/>
        </w:rPr>
      </w:pPr>
    </w:p>
    <w:p>
      <w:pPr>
        <w:ind w:left="340" w:right="200" w:hanging="8"/>
        <w:spacing w:after="0" w:line="241" w:lineRule="auto"/>
        <w:tabs>
          <w:tab w:leader="none" w:pos="498" w:val="left"/>
        </w:tabs>
        <w:numPr>
          <w:ilvl w:val="0"/>
          <w:numId w:val="58"/>
        </w:numPr>
        <w:rPr>
          <w:rFonts w:ascii="Arial" w:cs="Arial" w:eastAsia="Arial" w:hAnsi="Arial"/>
          <w:sz w:val="20"/>
          <w:szCs w:val="20"/>
          <w:color w:val="auto"/>
          <w:vertAlign w:val="superscript"/>
        </w:rPr>
      </w:pPr>
      <w:r>
        <w:rPr>
          <w:rFonts w:ascii="Arial" w:cs="Arial" w:eastAsia="Arial" w:hAnsi="Arial"/>
          <w:sz w:val="15"/>
          <w:szCs w:val="15"/>
          <w:color w:val="auto"/>
        </w:rPr>
        <w:t>Represents zero outstanding options and 384,733 outstanding awards of performance shares (at target performance), restricted stock and deferred shares units.</w:t>
      </w:r>
    </w:p>
    <w:p>
      <w:pPr>
        <w:spacing w:after="0" w:line="95" w:lineRule="exact"/>
        <w:rPr>
          <w:rFonts w:ascii="Arial" w:cs="Arial" w:eastAsia="Arial" w:hAnsi="Arial"/>
          <w:sz w:val="20"/>
          <w:szCs w:val="20"/>
          <w:color w:val="auto"/>
          <w:vertAlign w:val="superscript"/>
        </w:rPr>
      </w:pPr>
    </w:p>
    <w:p>
      <w:pPr>
        <w:ind w:left="340" w:right="140" w:hanging="8"/>
        <w:spacing w:after="0" w:line="241" w:lineRule="auto"/>
        <w:tabs>
          <w:tab w:leader="none" w:pos="498" w:val="left"/>
        </w:tabs>
        <w:numPr>
          <w:ilvl w:val="0"/>
          <w:numId w:val="58"/>
        </w:numPr>
        <w:rPr>
          <w:rFonts w:ascii="Arial" w:cs="Arial" w:eastAsia="Arial" w:hAnsi="Arial"/>
          <w:sz w:val="20"/>
          <w:szCs w:val="20"/>
          <w:color w:val="auto"/>
          <w:vertAlign w:val="superscript"/>
        </w:rPr>
      </w:pPr>
      <w:r>
        <w:rPr>
          <w:rFonts w:ascii="Arial" w:cs="Arial" w:eastAsia="Arial" w:hAnsi="Arial"/>
          <w:sz w:val="15"/>
          <w:szCs w:val="15"/>
          <w:color w:val="auto"/>
        </w:rPr>
        <w:t>Represents the weighted average exercise price of zero outstanding options. The outstanding awards of performance share awards, restricted stock units and deferred share units do not have an exercise price associated with the awards.</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Securities Registration</w:t>
      </w:r>
    </w:p>
    <w:p>
      <w:pPr>
        <w:spacing w:after="0" w:line="12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We intend to register the additional 520,920 available for issuance under the Amended EPP under a Registration Statement on Form S-8 to be filed with the SEC following approval of the Amended EPP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743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127" w:lineRule="exact"/>
        <w:rPr>
          <w:sz w:val="20"/>
          <w:szCs w:val="20"/>
          <w:color w:val="auto"/>
        </w:rPr>
      </w:pPr>
    </w:p>
    <w:p>
      <w:pPr>
        <w:ind w:left="160" w:right="320"/>
        <w:spacing w:after="0" w:line="266"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the EPP Proposal.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45"/>
          <w:szCs w:val="45"/>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557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4</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2026 and the internal control over financial reporting of Civeo at December 31, 2026. E&amp;Y has audited Civeo’s, or its predecessor’s, as applicable, consolidated financial statements beginning with the year ended December 31, 2010 through the year ended December 31, 2025. Our board of directors is asking shareholders to ratify the appointment of E&amp;Y as Civeo’s auditors for the year ending December 31, 2026 and until the next annual general meeting of shareholders and to authorize the directors, acting through the Audit Committee, to determine the remuneration to be paid to E&amp;Y for 2026. If the appointment is not ratified, the Audit Committee will consider whether it is appropriate to appoint another independent registered public accounting firm for 2027. Even if the selection is ratified, the Audit Committee in its discretion may appoint a different independent registered public accounting firm at any time during the year.</w:t>
      </w:r>
    </w:p>
    <w:p>
      <w:pPr>
        <w:spacing w:after="0" w:line="6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March 3, 2026.</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058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332" w:lineRule="exact"/>
        <w:rPr>
          <w:sz w:val="20"/>
          <w:szCs w:val="20"/>
          <w:color w:val="auto"/>
        </w:rPr>
      </w:pPr>
    </w:p>
    <w:p>
      <w:pPr>
        <w:ind w:left="160" w:right="160"/>
        <w:spacing w:after="0" w:line="265" w:lineRule="auto"/>
        <w:rPr>
          <w:sz w:val="20"/>
          <w:szCs w:val="20"/>
          <w:color w:val="auto"/>
        </w:rPr>
      </w:pPr>
      <w:r>
        <w:rPr>
          <w:rFonts w:ascii="Arial" w:cs="Arial" w:eastAsia="Arial" w:hAnsi="Arial"/>
          <w:sz w:val="16"/>
          <w:szCs w:val="16"/>
          <w:color w:val="auto"/>
        </w:rPr>
        <w:t xml:space="preserve">The board of directors recommends that shareholders vote “ </w:t>
      </w:r>
      <w:r>
        <w:rPr>
          <w:rFonts w:ascii="Arial" w:cs="Arial" w:eastAsia="Arial" w:hAnsi="Arial"/>
          <w:sz w:val="16"/>
          <w:szCs w:val="16"/>
          <w:b w:val="1"/>
          <w:bCs w:val="1"/>
          <w:color w:val="006DB6"/>
        </w:rPr>
        <w:t>FOR</w:t>
      </w:r>
      <w:r>
        <w:rPr>
          <w:rFonts w:ascii="Arial" w:cs="Arial" w:eastAsia="Arial" w:hAnsi="Arial"/>
          <w:sz w:val="16"/>
          <w:szCs w:val="16"/>
          <w:color w:val="auto"/>
        </w:rPr>
        <w:t>” the ratification of the appointment of E&amp;Y as Civeo’s independent registered public accounting firm for the year ending December 31, 2026 and until the next annual general meeting of shareholders and the authorization of the directors of Civeo, acting through the Audit Committee, to determine the remuneration to be paid to E&amp;Y for 2026.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2025 and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20" w:type="dxa"/>
            <w:vAlign w:val="bottom"/>
            <w:tcBorders>
              <w:bottom w:val="single" w:sz="8" w:color="006DB6"/>
            </w:tcBorders>
          </w:tcPr>
          <w:p>
            <w:pPr>
              <w:spacing w:after="0"/>
              <w:rPr>
                <w:sz w:val="19"/>
                <w:szCs w:val="19"/>
                <w:color w:val="auto"/>
              </w:rPr>
            </w:pPr>
          </w:p>
        </w:tc>
        <w:tc>
          <w:tcPr>
            <w:tcW w:w="260" w:type="dxa"/>
            <w:vAlign w:val="bottom"/>
            <w:tcBorders>
              <w:bottom w:val="single" w:sz="8" w:color="006DB6"/>
            </w:tcBorders>
          </w:tcPr>
          <w:p>
            <w:pPr>
              <w:spacing w:after="0"/>
              <w:rPr>
                <w:sz w:val="19"/>
                <w:szCs w:val="19"/>
                <w:color w:val="auto"/>
              </w:rPr>
            </w:pPr>
          </w:p>
        </w:tc>
        <w:tc>
          <w:tcPr>
            <w:tcW w:w="64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2025</w:t>
            </w:r>
          </w:p>
        </w:tc>
        <w:tc>
          <w:tcPr>
            <w:tcW w:w="1120" w:type="dxa"/>
            <w:vAlign w:val="bottom"/>
            <w:tcBorders>
              <w:bottom w:val="single" w:sz="8" w:color="006DB6"/>
            </w:tcBorders>
            <w:gridSpan w:val="2"/>
          </w:tcPr>
          <w:p>
            <w:pPr>
              <w:ind w:left="400"/>
              <w:spacing w:after="0"/>
              <w:rPr>
                <w:sz w:val="20"/>
                <w:szCs w:val="20"/>
                <w:color w:val="auto"/>
              </w:rPr>
            </w:pPr>
            <w:r>
              <w:rPr>
                <w:rFonts w:ascii="Arial" w:cs="Arial" w:eastAsia="Arial" w:hAnsi="Arial"/>
                <w:sz w:val="14"/>
                <w:szCs w:val="14"/>
                <w:b w:val="1"/>
                <w:bCs w:val="1"/>
                <w:color w:val="706F6F"/>
              </w:rPr>
              <w:t>2024</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2,113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78</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2,196</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891540</wp:posOffset>
            </wp:positionV>
            <wp:extent cx="394335" cy="196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 Fees</w:t>
      </w:r>
    </w:p>
    <w:p>
      <w:pPr>
        <w:spacing w:after="0" w:line="14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Audit-Related Fees</w:t>
      </w:r>
    </w:p>
    <w:p>
      <w:pPr>
        <w:spacing w:after="0" w:line="13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Fees for audit-related services are fees paid for assurance and related services that are reasonably related to the performance of the audit or review of our financial statements not reported above under “Audit Fees” and principally include assurance services related to Australian sustainability disclosures required by statute or regulation, due diligence in connection with acquisitions, accounting consultations and audits in connection with acquisitions and internal control reviews.</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Tax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professional services provided for tax compliance, tax advice and tax planning, except those rendered in connection with the audit.</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All Other Fees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for access to an accounting research tool.</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Pre-Approval Policy</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so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Chief Accounting Officer.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2025 and 2024 were pre-approved in accordance with our pre-approval policy. None of the services related to the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Chief Accounting Officer to encourage compliance with independence regulations.</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Report</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board of directors appointed the undersigned independent directors as members of the Audit Committee and adopted a written charter setting forth the procedures and responsibilities of the committee. Responsibilities of the Audit Committee include overseeing the integrity of Civeo's financial statements and effectiveness of internal control over financial reporting, as well as overseeing risks related to the financial reporting process, regulatory compliance, litigation and cybersecurity, among other things.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During 2025, and earlier in 2026 in preparation for the filing with the SEC of Civeo’s Annual Report on Form 10-K for the year ended December 31, 2025,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70" w:lineRule="exact"/>
        <w:rPr>
          <w:sz w:val="20"/>
          <w:szCs w:val="20"/>
          <w:color w:val="auto"/>
        </w:rPr>
      </w:pPr>
    </w:p>
    <w:p>
      <w:pPr>
        <w:ind w:left="200" w:right="320" w:hanging="192"/>
        <w:spacing w:after="0" w:line="299"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reviewed and discussed with management and E&amp;Y (1) the audited annual financial statements and quarterly financial statements, (2) related periodic reports filed with the SEC and (3) quarterly earnings press releases;</w:t>
      </w:r>
    </w:p>
    <w:p>
      <w:pPr>
        <w:ind w:left="180" w:hanging="172"/>
        <w:spacing w:after="0"/>
        <w:tabs>
          <w:tab w:leader="none" w:pos="18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reviewed the overall scope and plans for the audit and the results of E&amp;Y’s examinations;</w:t>
      </w:r>
    </w:p>
    <w:p>
      <w:pPr>
        <w:spacing w:after="0" w:line="86" w:lineRule="exact"/>
        <w:rPr>
          <w:rFonts w:ascii="Arial" w:cs="Arial" w:eastAsia="Arial" w:hAnsi="Arial"/>
          <w:sz w:val="16"/>
          <w:szCs w:val="16"/>
          <w:color w:val="006DB6"/>
        </w:rPr>
      </w:pPr>
    </w:p>
    <w:p>
      <w:pPr>
        <w:ind w:left="200" w:right="280" w:hanging="192"/>
        <w:spacing w:after="0" w:line="275"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spacing w:after="0" w:line="15" w:lineRule="exact"/>
        <w:rPr>
          <w:rFonts w:ascii="Arial" w:cs="Arial" w:eastAsia="Arial" w:hAnsi="Arial"/>
          <w:sz w:val="16"/>
          <w:szCs w:val="16"/>
          <w:color w:val="006DB6"/>
        </w:rPr>
      </w:pPr>
    </w:p>
    <w:p>
      <w:pPr>
        <w:ind w:left="200" w:right="660" w:hanging="192"/>
        <w:spacing w:after="0" w:line="304"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spacing w:after="0" w:line="6" w:lineRule="exact"/>
        <w:rPr>
          <w:rFonts w:ascii="Arial" w:cs="Arial" w:eastAsia="Arial" w:hAnsi="Arial"/>
          <w:sz w:val="16"/>
          <w:szCs w:val="16"/>
          <w:color w:val="006DB6"/>
        </w:rPr>
      </w:pPr>
    </w:p>
    <w:p>
      <w:pPr>
        <w:ind w:left="200" w:right="360" w:hanging="192"/>
        <w:spacing w:after="0" w:line="286"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received the written disclosures and the letter from E&amp;Y required by applicable requirements of the PCAOB regarding E&amp;Y’s communications with the Audit Committee concerning independence;</w:t>
      </w:r>
    </w:p>
    <w:p>
      <w:pPr>
        <w:spacing w:after="0" w:line="20" w:lineRule="exact"/>
        <w:rPr>
          <w:rFonts w:ascii="Arial" w:cs="Arial" w:eastAsia="Arial" w:hAnsi="Arial"/>
          <w:sz w:val="16"/>
          <w:szCs w:val="16"/>
          <w:color w:val="006DB6"/>
        </w:rPr>
      </w:pPr>
    </w:p>
    <w:p>
      <w:pPr>
        <w:ind w:left="200" w:right="20" w:hanging="192"/>
        <w:spacing w:after="0" w:line="265"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spacing w:after="0" w:line="37" w:lineRule="exact"/>
        <w:rPr>
          <w:rFonts w:ascii="Arial" w:cs="Arial" w:eastAsia="Arial" w:hAnsi="Arial"/>
          <w:sz w:val="16"/>
          <w:szCs w:val="16"/>
          <w:color w:val="006DB6"/>
        </w:rPr>
      </w:pPr>
    </w:p>
    <w:p>
      <w:pPr>
        <w:ind w:left="200" w:right="100" w:hanging="192"/>
        <w:spacing w:after="0" w:line="266"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2025 for filing with the SEC; and</w:t>
      </w:r>
    </w:p>
    <w:p>
      <w:pPr>
        <w:spacing w:after="0" w:line="36" w:lineRule="exact"/>
        <w:rPr>
          <w:rFonts w:ascii="Arial" w:cs="Arial" w:eastAsia="Arial" w:hAnsi="Arial"/>
          <w:sz w:val="16"/>
          <w:szCs w:val="16"/>
          <w:color w:val="006DB6"/>
        </w:rPr>
      </w:pPr>
    </w:p>
    <w:p>
      <w:pPr>
        <w:ind w:left="200" w:right="40" w:hanging="192"/>
        <w:spacing w:after="0" w:line="275" w:lineRule="auto"/>
        <w:tabs>
          <w:tab w:leader="none" w:pos="170" w:val="left"/>
        </w:tabs>
        <w:numPr>
          <w:ilvl w:val="0"/>
          <w:numId w:val="59"/>
        </w:numPr>
        <w:rPr>
          <w:rFonts w:ascii="Arial" w:cs="Arial" w:eastAsia="Arial" w:hAnsi="Arial"/>
          <w:sz w:val="16"/>
          <w:szCs w:val="16"/>
          <w:color w:val="006DB6"/>
        </w:rPr>
      </w:pPr>
      <w:r>
        <w:rPr>
          <w:rFonts w:ascii="Arial" w:cs="Arial" w:eastAsia="Arial" w:hAnsi="Arial"/>
          <w:sz w:val="16"/>
          <w:szCs w:val="16"/>
          <w:color w:val="auto"/>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spacing w:after="0" w:line="5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2025 and on the representations of the independent auditors included in their report on Civeo’s financial statements.</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8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i w:val="1"/>
          <w:iCs w:val="1"/>
          <w:color w:val="006DB6"/>
        </w:rPr>
        <w:t>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 Ronald Blankenship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26DCE"/>
        </w:rPr>
        <w:t>Jay K. Grewal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6DCE"/>
        </w:rPr>
        <w:t>Charles Szalkowski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6DCE"/>
        </w:rPr>
        <w:t>Jeffrey B. Scofield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773430</wp:posOffset>
            </wp:positionV>
            <wp:extent cx="394335" cy="1968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ind w:right="980"/>
        <w:spacing w:after="0" w:line="298" w:lineRule="auto"/>
        <w:rPr>
          <w:sz w:val="20"/>
          <w:szCs w:val="20"/>
          <w:color w:val="auto"/>
        </w:rPr>
      </w:pPr>
      <w:r>
        <w:rPr>
          <w:rFonts w:ascii="Arial" w:cs="Arial" w:eastAsia="Arial" w:hAnsi="Arial"/>
          <w:sz w:val="45"/>
          <w:szCs w:val="45"/>
          <w:b w:val="1"/>
          <w:bCs w:val="1"/>
          <w:color w:val="006DB6"/>
        </w:rPr>
        <w:t>Security Ownership of Management and Certain Beneficial Owners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Civeo with respect to the beneficial ownership of Civeo’s shares as of March 30, 2026 by:</w:t>
      </w:r>
    </w:p>
    <w:p>
      <w:pPr>
        <w:spacing w:after="0" w:line="127"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006DB6"/>
        </w:rPr>
      </w:pPr>
      <w:r>
        <w:rPr>
          <w:rFonts w:ascii="Arial" w:cs="Arial" w:eastAsia="Arial" w:hAnsi="Arial"/>
          <w:sz w:val="16"/>
          <w:szCs w:val="16"/>
          <w:color w:val="auto"/>
        </w:rPr>
        <w:t>each shareholder known by Civeo to own more than 5% of Civeo’s outstanding shares;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60"/>
        </w:numPr>
        <w:rPr>
          <w:rFonts w:ascii="Arial" w:cs="Arial" w:eastAsia="Arial" w:hAnsi="Arial"/>
          <w:sz w:val="16"/>
          <w:szCs w:val="16"/>
          <w:color w:val="006DB6"/>
        </w:rPr>
      </w:pPr>
      <w:r>
        <w:rPr>
          <w:rFonts w:ascii="Arial" w:cs="Arial" w:eastAsia="Arial" w:hAnsi="Arial"/>
          <w:sz w:val="16"/>
          <w:szCs w:val="16"/>
          <w:color w:val="auto"/>
        </w:rPr>
        <w:t>each of Civeo’s current directors;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60"/>
        </w:numPr>
        <w:rPr>
          <w:rFonts w:ascii="Arial" w:cs="Arial" w:eastAsia="Arial" w:hAnsi="Arial"/>
          <w:sz w:val="16"/>
          <w:szCs w:val="16"/>
          <w:color w:val="006DB6"/>
        </w:rPr>
      </w:pPr>
      <w:r>
        <w:rPr>
          <w:rFonts w:ascii="Arial" w:cs="Arial" w:eastAsia="Arial" w:hAnsi="Arial"/>
          <w:sz w:val="16"/>
          <w:szCs w:val="16"/>
          <w:color w:val="auto"/>
        </w:rPr>
        <w:t>each of Civeo’s named executive officers;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60"/>
        </w:numPr>
        <w:rPr>
          <w:rFonts w:ascii="Arial" w:cs="Arial" w:eastAsia="Arial" w:hAnsi="Arial"/>
          <w:sz w:val="16"/>
          <w:szCs w:val="16"/>
          <w:color w:val="006DB6"/>
        </w:rPr>
      </w:pPr>
      <w:r>
        <w:rPr>
          <w:rFonts w:ascii="Arial" w:cs="Arial" w:eastAsia="Arial" w:hAnsi="Arial"/>
          <w:sz w:val="16"/>
          <w:szCs w:val="16"/>
          <w:color w:val="auto"/>
        </w:rPr>
        <w:t>all of Civeo’s current directors and executive officers as a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Unvested performance awards for Civeo's executive officers are not included in this table.</w:t>
      </w:r>
    </w:p>
    <w:p>
      <w:pPr>
        <w:spacing w:after="0" w:line="8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3140" w:type="dxa"/>
            <w:vAlign w:val="bottom"/>
            <w:tcBorders>
              <w:bottom w:val="single" w:sz="8" w:color="006DB6"/>
            </w:tcBorders>
            <w:gridSpan w:val="2"/>
          </w:tcPr>
          <w:p>
            <w:pPr>
              <w:jc w:val="right"/>
              <w:ind w:right="759"/>
              <w:spacing w:after="0"/>
              <w:rPr>
                <w:sz w:val="20"/>
                <w:szCs w:val="20"/>
                <w:color w:val="auto"/>
              </w:rPr>
            </w:pPr>
            <w:r>
              <w:rPr>
                <w:rFonts w:ascii="Arial" w:cs="Arial" w:eastAsia="Arial" w:hAnsi="Arial"/>
                <w:sz w:val="14"/>
                <w:szCs w:val="14"/>
                <w:b w:val="1"/>
                <w:bCs w:val="1"/>
                <w:color w:val="70706F"/>
              </w:rPr>
              <w:t>Beneficial Ownership</w:t>
            </w:r>
          </w:p>
        </w:tc>
        <w:tc>
          <w:tcPr>
            <w:tcW w:w="0" w:type="dxa"/>
            <w:vAlign w:val="bottom"/>
          </w:tcPr>
          <w:p>
            <w:pPr>
              <w:spacing w:after="0"/>
              <w:rPr>
                <w:sz w:val="1"/>
                <w:szCs w:val="1"/>
                <w:color w:val="auto"/>
              </w:rPr>
            </w:pPr>
          </w:p>
        </w:tc>
      </w:tr>
      <w:tr>
        <w:trPr>
          <w:trHeight w:val="180"/>
        </w:trPr>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70706F"/>
              </w:rPr>
              <w:t>Name and Address of Beneficial Owners</w:t>
            </w:r>
            <w:r>
              <w:rPr>
                <w:rFonts w:ascii="Arial" w:cs="Arial" w:eastAsia="Arial" w:hAnsi="Arial"/>
                <w:sz w:val="18"/>
                <w:szCs w:val="18"/>
                <w:b w:val="1"/>
                <w:bCs w:val="1"/>
                <w:color w:val="70706F"/>
                <w:vertAlign w:val="superscript"/>
              </w:rPr>
              <w:t>(1)</w:t>
            </w:r>
          </w:p>
        </w:tc>
        <w:tc>
          <w:tcPr>
            <w:tcW w:w="1860" w:type="dxa"/>
            <w:vAlign w:val="bottom"/>
          </w:tcPr>
          <w:p>
            <w:pPr>
              <w:jc w:val="right"/>
              <w:ind w:right="300"/>
              <w:spacing w:after="0"/>
              <w:rPr>
                <w:sz w:val="20"/>
                <w:szCs w:val="20"/>
                <w:color w:val="auto"/>
              </w:rPr>
            </w:pPr>
            <w:r>
              <w:rPr>
                <w:rFonts w:ascii="Arial" w:cs="Arial" w:eastAsia="Arial" w:hAnsi="Arial"/>
                <w:sz w:val="14"/>
                <w:szCs w:val="14"/>
                <w:b w:val="1"/>
                <w:bCs w:val="1"/>
                <w:color w:val="70706F"/>
              </w:rPr>
              <w:t>Common</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70706F"/>
              </w:rPr>
              <w:t>Percentage</w:t>
            </w:r>
            <w:r>
              <w:rPr>
                <w:rFonts w:ascii="Arial" w:cs="Arial" w:eastAsia="Arial" w:hAnsi="Arial"/>
                <w:sz w:val="18"/>
                <w:szCs w:val="18"/>
                <w:b w:val="1"/>
                <w:bCs w:val="1"/>
                <w:color w:val="70706F"/>
                <w:vertAlign w:val="superscript"/>
              </w:rPr>
              <w:t>(2)</w:t>
            </w:r>
          </w:p>
        </w:tc>
        <w:tc>
          <w:tcPr>
            <w:tcW w:w="0" w:type="dxa"/>
            <w:vAlign w:val="bottom"/>
          </w:tcPr>
          <w:p>
            <w:pPr>
              <w:spacing w:after="0"/>
              <w:rPr>
                <w:sz w:val="1"/>
                <w:szCs w:val="1"/>
                <w:color w:val="auto"/>
              </w:rPr>
            </w:pPr>
          </w:p>
        </w:tc>
      </w:tr>
      <w:tr>
        <w:trPr>
          <w:trHeight w:val="232"/>
        </w:trPr>
        <w:tc>
          <w:tcPr>
            <w:tcW w:w="8100" w:type="dxa"/>
            <w:vAlign w:val="bottom"/>
            <w:tcBorders>
              <w:bottom w:val="single" w:sz="8" w:color="006DB6"/>
            </w:tcBorders>
            <w:vMerge w:val="continue"/>
          </w:tcPr>
          <w:p>
            <w:pPr>
              <w:spacing w:after="0"/>
              <w:rPr>
                <w:sz w:val="20"/>
                <w:szCs w:val="20"/>
                <w:color w:val="auto"/>
              </w:rPr>
            </w:pPr>
          </w:p>
        </w:tc>
        <w:tc>
          <w:tcPr>
            <w:tcW w:w="186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706F"/>
              </w:rPr>
              <w:t>Shares</w:t>
            </w:r>
          </w:p>
        </w:tc>
        <w:tc>
          <w:tcPr>
            <w:tcW w:w="1280" w:type="dxa"/>
            <w:vAlign w:val="bottom"/>
            <w:tcBorders>
              <w:bottom w:val="single" w:sz="8" w:color="006DB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line="216" w:lineRule="exact"/>
              <w:rPr>
                <w:sz w:val="20"/>
                <w:szCs w:val="20"/>
                <w:color w:val="auto"/>
              </w:rPr>
            </w:pPr>
            <w:r>
              <w:rPr>
                <w:rFonts w:ascii="Arial" w:cs="Arial" w:eastAsia="Arial" w:hAnsi="Arial"/>
                <w:sz w:val="16"/>
                <w:szCs w:val="16"/>
                <w:b w:val="1"/>
                <w:bCs w:val="1"/>
                <w:color w:val="006DB6"/>
              </w:rPr>
              <w:t>Horizon Kinetics Asset Management LLC</w:t>
            </w:r>
            <w:r>
              <w:rPr>
                <w:rFonts w:ascii="Arial" w:cs="Arial" w:eastAsia="Arial" w:hAnsi="Arial"/>
                <w:sz w:val="21"/>
                <w:szCs w:val="21"/>
                <w:b w:val="1"/>
                <w:bCs w:val="1"/>
                <w:color w:val="006DB6"/>
                <w:vertAlign w:val="superscript"/>
              </w:rPr>
              <w:t>(3)</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2,449,487</w:t>
            </w:r>
          </w:p>
        </w:tc>
        <w:tc>
          <w:tcPr>
            <w:tcW w:w="1280" w:type="dxa"/>
            <w:vAlign w:val="bottom"/>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470 Park Avenue South, 4th Floor South</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New York, NY 10016</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Engine Capital LP</w:t>
            </w:r>
            <w:r>
              <w:rPr>
                <w:rFonts w:ascii="Arial" w:cs="Arial" w:eastAsia="Arial" w:hAnsi="Arial"/>
                <w:sz w:val="21"/>
                <w:szCs w:val="21"/>
                <w:b w:val="1"/>
                <w:bCs w:val="1"/>
                <w:color w:val="006DB6"/>
                <w:vertAlign w:val="superscript"/>
              </w:rPr>
              <w:t>(4)</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911,930</w:t>
            </w:r>
          </w:p>
        </w:tc>
        <w:tc>
          <w:tcPr>
            <w:tcW w:w="128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1345 6th Ave, 33rd Floor</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New York, NY 10105</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The TCW Group Inc</w:t>
            </w:r>
            <w:r>
              <w:rPr>
                <w:rFonts w:ascii="Arial" w:cs="Arial" w:eastAsia="Arial" w:hAnsi="Arial"/>
                <w:sz w:val="21"/>
                <w:szCs w:val="21"/>
                <w:b w:val="1"/>
                <w:bCs w:val="1"/>
                <w:color w:val="006DB6"/>
                <w:vertAlign w:val="superscript"/>
              </w:rPr>
              <w:t>(5)</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744,535</w:t>
            </w:r>
          </w:p>
        </w:tc>
        <w:tc>
          <w:tcPr>
            <w:tcW w:w="128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515 South Flower Street</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Los Angeles, CA 90071</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Dimensional Fund Advisors</w:t>
            </w:r>
            <w:r>
              <w:rPr>
                <w:rFonts w:ascii="Arial" w:cs="Arial" w:eastAsia="Arial" w:hAnsi="Arial"/>
                <w:sz w:val="21"/>
                <w:szCs w:val="21"/>
                <w:b w:val="1"/>
                <w:bCs w:val="1"/>
                <w:color w:val="006DB6"/>
                <w:vertAlign w:val="superscript"/>
              </w:rPr>
              <w:t>(6)</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616,983</w:t>
            </w:r>
          </w:p>
        </w:tc>
        <w:tc>
          <w:tcPr>
            <w:tcW w:w="128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6300 Bee Cave Rd, Bldg. 1</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Austin, TX 78746</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66,703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261,466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3,267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Fraser</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54,942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50,822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27,508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66,178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27,508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46,359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Jeffrey B. Scofield</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5,618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Daniel B. Silvers</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11,634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50,863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42,880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current directors and executive officers as a group (14 persons)</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715,748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9"/>
          <w:szCs w:val="9"/>
          <w:color w:val="auto"/>
        </w:rPr>
      </w:pPr>
      <w:r>
        <w:rPr>
          <w:rFonts w:ascii="Arial" w:cs="Arial" w:eastAsia="Arial" w:hAnsi="Arial"/>
          <w:sz w:val="14"/>
          <w:szCs w:val="14"/>
          <w:color w:val="auto"/>
        </w:rPr>
        <w:t>Less than one percent.</w:t>
      </w:r>
    </w:p>
    <w:p>
      <w:pPr>
        <w:spacing w:after="0" w:line="82"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9"/>
          <w:szCs w:val="9"/>
          <w:color w:val="auto"/>
        </w:rPr>
      </w:pPr>
      <w:r>
        <w:rPr>
          <w:rFonts w:ascii="Arial" w:cs="Arial" w:eastAsia="Arial" w:hAnsi="Arial"/>
          <w:sz w:val="14"/>
          <w:szCs w:val="14"/>
          <w:color w:val="auto"/>
        </w:rPr>
        <w:t>Unless otherwise indicated, the address of each beneficial owner is c/o Civeo Corporation, Three Allen Center, 333 Clay Street, Suite 4400, Houston, Texas 77002.</w:t>
      </w:r>
    </w:p>
    <w:p>
      <w:pPr>
        <w:spacing w:after="0" w:line="122" w:lineRule="exact"/>
        <w:rPr>
          <w:rFonts w:ascii="Arial" w:cs="Arial" w:eastAsia="Arial" w:hAnsi="Arial"/>
          <w:sz w:val="9"/>
          <w:szCs w:val="9"/>
          <w:color w:val="auto"/>
        </w:rPr>
      </w:pPr>
    </w:p>
    <w:p>
      <w:pPr>
        <w:ind w:left="260" w:right="240" w:hanging="252"/>
        <w:spacing w:after="0" w:line="231" w:lineRule="auto"/>
        <w:tabs>
          <w:tab w:leader="none" w:pos="264"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Based on total shares outstanding of 10,943,297 as of March 30, 2026 and the number of shares that could be issued upon the exercise of outstanding options held by a person that are currently exercisable.</w:t>
      </w:r>
    </w:p>
    <w:p>
      <w:pPr>
        <w:sectPr>
          <w:pgSz w:w="11900" w:h="16838" w:orient="portrait"/>
          <w:cols w:equalWidth="0" w:num="1">
            <w:col w:w="11240"/>
          </w:cols>
          <w:pgMar w:left="320" w:top="969" w:right="339" w:bottom="1440" w:gutter="0" w:footer="0" w:header="0"/>
        </w:sectPr>
      </w:pPr>
    </w:p>
    <w:p>
      <w:pPr>
        <w:spacing w:after="0" w:line="337"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color w:val="006DB6"/>
        </w:rPr>
        <w:t>Security Ownership of Management and Certain Beneficial Owners</w:t>
      </w:r>
    </w:p>
    <w:p>
      <w:pPr>
        <w:spacing w:after="0" w:line="200" w:lineRule="exact"/>
        <w:rPr>
          <w:sz w:val="20"/>
          <w:szCs w:val="20"/>
          <w:color w:val="auto"/>
        </w:rPr>
      </w:pPr>
    </w:p>
    <w:p>
      <w:pPr>
        <w:spacing w:after="0" w:line="377" w:lineRule="exact"/>
        <w:rPr>
          <w:sz w:val="20"/>
          <w:szCs w:val="20"/>
          <w:color w:val="auto"/>
        </w:rPr>
      </w:pPr>
    </w:p>
    <w:p>
      <w:pPr>
        <w:ind w:left="260" w:right="240" w:hanging="252"/>
        <w:spacing w:after="0" w:line="231" w:lineRule="auto"/>
        <w:tabs>
          <w:tab w:leader="none" w:pos="264"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pursuant to the Exchange Act on January 28, 2026, as of December 31, 2025, Horizon Kinetics Asset Management LLC has beneficial ownership of 2,449,487 shares and sole voting and dispositive power over those shares.</w:t>
      </w:r>
    </w:p>
    <w:p>
      <w:pPr>
        <w:spacing w:after="0" w:line="80" w:lineRule="exact"/>
        <w:rPr>
          <w:rFonts w:ascii="Arial" w:cs="Arial" w:eastAsia="Arial" w:hAnsi="Arial"/>
          <w:sz w:val="19"/>
          <w:szCs w:val="19"/>
          <w:color w:val="auto"/>
          <w:vertAlign w:val="superscript"/>
        </w:rPr>
      </w:pPr>
    </w:p>
    <w:p>
      <w:pPr>
        <w:ind w:left="260" w:hanging="252"/>
        <w:spacing w:after="0" w:line="236" w:lineRule="auto"/>
        <w:tabs>
          <w:tab w:leader="none" w:pos="264"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Based on a Schedule 13D filed pursuant to the Exchange Act on February 18, 2026, as of February 13, 2026, filed by Engine Capital, L.P. ("Engine Capital"); Engine Jet Capital, L.P. ("Engine Jet"); Engine Lift Capital, LP ("Engine Lift"); Engine Capital Management, LP ("Engine Management"); Engine Capital Management GP, LLC ("Engine GP"); Engine Investments, LLC ("Engine Investments"); Engine Investments II, LLC ("Engine Investments II"); and Arnaud Ajdler. Engine Management, as the investment manager of each of Engine Capital, Engine Jet and Engine Lift, may be deemed to have beneficial ownership of 911,930 shares owned in the aggregate by Engine Capital, Engine Jet and Engine Lift and sole voting and dispositive power of those shares. Engine GP, as the general partner of Engine Management, may be deemed to have beneficial ownership of 911,930 shares owned in the aggregate by Engine Capital, Engine Jet and Engine Lift and sole voting and dispositive power of those shares. Mr. Ajdler, as the managing partner of Engine Management and the managing member of each of Engine GP, Engine Investments and Engine Investments II, may be deemed to have beneficial ownership of 911,930 shares owned in the aggregate by Engine Capital, Engine Jet and Engine Lift and sole voting and dispositive power of those shares. Engine Investments, as the general partner of each of Engine Capital and Engine Jet, may be deemed to beneficially own the 834,288 shares owned in the aggregate by Engine Capital and Engine Jet and sole voting and dispositive power of those shares. Engine Capital directly owns 768,827 shares and has sole voting and dispositive power of those shares. Engine Lift directly owns 77,642 shares and has sole voting and dispositive power of those shares. Engine Investments II, as the general partner of Engine Lift, may be deemed to have beneficial ownership of the 77,642 shares owned by Engine Lift and sole voting and dispositive power of those shares. Engine Jet directly owns 65,461 shares and has sole voting and dispositive power of those shares.</w:t>
      </w:r>
    </w:p>
    <w:p>
      <w:pPr>
        <w:spacing w:after="0" w:line="234" w:lineRule="exact"/>
        <w:rPr>
          <w:rFonts w:ascii="Arial" w:cs="Arial" w:eastAsia="Arial" w:hAnsi="Arial"/>
          <w:sz w:val="19"/>
          <w:szCs w:val="19"/>
          <w:color w:val="auto"/>
          <w:vertAlign w:val="superscript"/>
        </w:rPr>
      </w:pPr>
    </w:p>
    <w:p>
      <w:pPr>
        <w:ind w:left="260" w:right="140" w:hanging="252"/>
        <w:spacing w:after="0" w:line="231" w:lineRule="auto"/>
        <w:tabs>
          <w:tab w:leader="none" w:pos="264"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 filed pursuant to the Exchange Act on February 12, 2024, as of December 31, 2023, The TCW Group, Inc. has beneficial ownership of 744,535 shares and shared voting and dispositive power over those shares. TCW Group has not filed an updated Schedule 13G since 2024.</w:t>
      </w:r>
    </w:p>
    <w:p>
      <w:pPr>
        <w:spacing w:after="0" w:line="80" w:lineRule="exact"/>
        <w:rPr>
          <w:rFonts w:ascii="Arial" w:cs="Arial" w:eastAsia="Arial" w:hAnsi="Arial"/>
          <w:sz w:val="19"/>
          <w:szCs w:val="19"/>
          <w:color w:val="auto"/>
          <w:vertAlign w:val="superscript"/>
        </w:rPr>
      </w:pPr>
    </w:p>
    <w:p>
      <w:pPr>
        <w:ind w:left="260" w:right="160" w:hanging="252"/>
        <w:spacing w:after="0" w:line="305" w:lineRule="auto"/>
        <w:tabs>
          <w:tab w:leader="none" w:pos="264" w:val="left"/>
        </w:tabs>
        <w:numPr>
          <w:ilvl w:val="0"/>
          <w:numId w:val="63"/>
        </w:numPr>
        <w:rPr>
          <w:rFonts w:ascii="Arial" w:cs="Arial" w:eastAsia="Arial" w:hAnsi="Arial"/>
          <w:sz w:val="9"/>
          <w:szCs w:val="9"/>
          <w:color w:val="auto"/>
        </w:rPr>
      </w:pPr>
      <w:r>
        <w:rPr>
          <w:rFonts w:ascii="Arial" w:cs="Arial" w:eastAsia="Arial" w:hAnsi="Arial"/>
          <w:sz w:val="14"/>
          <w:szCs w:val="14"/>
          <w:color w:val="auto"/>
        </w:rPr>
        <w:t>Based on a Schedule 13G filed pursuant to the Exchange Act on January 21, 2026, as of December 31, 2025, Dimensional Fund Advisors LP has beneficial ownership of 616,983 shares and shared voting and dispositive power over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800735</wp:posOffset>
            </wp:positionV>
            <wp:extent cx="394335" cy="1968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spacing w:after="0"/>
        <w:rPr>
          <w:sz w:val="20"/>
          <w:szCs w:val="20"/>
          <w:color w:val="auto"/>
        </w:rPr>
      </w:pPr>
      <w:r>
        <w:rPr>
          <w:rFonts w:ascii="Arial" w:cs="Arial" w:eastAsia="Arial" w:hAnsi="Arial"/>
          <w:sz w:val="45"/>
          <w:szCs w:val="45"/>
          <w:b w:val="1"/>
          <w:bCs w:val="1"/>
          <w:color w:val="006DB6"/>
        </w:rPr>
        <w:t>Additional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 about the Annual General Meeting</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appendices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Why am I receiving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During the annual general meeting, you will be asked to vote on several proposals, including:</w:t>
      </w:r>
    </w:p>
    <w:p>
      <w:pPr>
        <w:spacing w:after="0" w:line="113" w:lineRule="exact"/>
        <w:rPr>
          <w:sz w:val="20"/>
          <w:szCs w:val="20"/>
          <w:color w:val="auto"/>
        </w:rPr>
      </w:pPr>
    </w:p>
    <w:p>
      <w:pPr>
        <w:ind w:left="200" w:right="260" w:hanging="192"/>
        <w:spacing w:after="0" w:line="286" w:lineRule="auto"/>
        <w:tabs>
          <w:tab w:leader="none" w:pos="17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the election of six persons as Class II and Class III members of Civeo’s board of directors: Bradley J. Dodson, Martin A. Lambert, Constance B. Moore, Richard A. Navarre, Daniel B. Silvers and Timothy O. Wall;</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the approval, on an advisory basis, of the compensation of Civeo’s named executive officers;</w:t>
      </w:r>
    </w:p>
    <w:p>
      <w:pPr>
        <w:spacing w:after="0" w:line="126" w:lineRule="exact"/>
        <w:rPr>
          <w:rFonts w:ascii="Arial" w:cs="Arial" w:eastAsia="Arial" w:hAnsi="Arial"/>
          <w:sz w:val="16"/>
          <w:szCs w:val="16"/>
          <w:color w:val="006DB6"/>
        </w:rPr>
      </w:pPr>
    </w:p>
    <w:p>
      <w:pPr>
        <w:ind w:left="200" w:right="40" w:hanging="192"/>
        <w:spacing w:after="0" w:line="286" w:lineRule="auto"/>
        <w:tabs>
          <w:tab w:leader="none" w:pos="17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the approval of an amendment to the EPP to increase the number of shares available for issuance thereunder by 520,920 shares, subject to adjustment in accordance with the terms of the EPP;</w:t>
      </w:r>
    </w:p>
    <w:p>
      <w:pPr>
        <w:spacing w:after="0" w:line="47" w:lineRule="exact"/>
        <w:rPr>
          <w:rFonts w:ascii="Arial" w:cs="Arial" w:eastAsia="Arial" w:hAnsi="Arial"/>
          <w:sz w:val="16"/>
          <w:szCs w:val="16"/>
          <w:color w:val="006DB6"/>
        </w:rPr>
      </w:pPr>
    </w:p>
    <w:p>
      <w:pPr>
        <w:ind w:left="200" w:right="120" w:hanging="192"/>
        <w:spacing w:after="0" w:line="275" w:lineRule="auto"/>
        <w:tabs>
          <w:tab w:leader="none" w:pos="17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the ratification of the appointment of Ernst &amp; Young LLP as Civeo’s independent registered public accounting firm for the year ending December 31, 2026 and until the next annual general meeting of shareholders and the authorization of the directors, acting through the Audit Committee, to determine the remuneration to be paid to Ernst &amp; Young LLP for 2026; and</w:t>
      </w:r>
    </w:p>
    <w:p>
      <w:pPr>
        <w:spacing w:after="0" w:line="69" w:lineRule="exact"/>
        <w:rPr>
          <w:rFonts w:ascii="Arial" w:cs="Arial" w:eastAsia="Arial" w:hAnsi="Arial"/>
          <w:sz w:val="16"/>
          <w:szCs w:val="16"/>
          <w:color w:val="006DB6"/>
        </w:rPr>
      </w:pPr>
    </w:p>
    <w:p>
      <w:pPr>
        <w:ind w:left="180" w:hanging="172"/>
        <w:spacing w:after="0"/>
        <w:tabs>
          <w:tab w:leader="none" w:pos="180" w:val="left"/>
        </w:tabs>
        <w:numPr>
          <w:ilvl w:val="0"/>
          <w:numId w:val="64"/>
        </w:numPr>
        <w:rPr>
          <w:rFonts w:ascii="Arial" w:cs="Arial" w:eastAsia="Arial" w:hAnsi="Arial"/>
          <w:sz w:val="16"/>
          <w:szCs w:val="16"/>
          <w:color w:val="006DB6"/>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knows of no matters, other than those stated in this proxy statement, to be presented for consideration at the annual general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Your vote is important and we encourage you to vote as soon as possible. Even if you plan to attend the annual general meeting, we recommend that you vote your shares prior to the meeting so that your vote will be counted if you later decide not to attend.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of shareholders is required to approve the proposals at the annual general meeting?</w:t>
      </w:r>
    </w:p>
    <w:p>
      <w:pPr>
        <w:spacing w:after="0" w:line="127" w:lineRule="exact"/>
        <w:rPr>
          <w:sz w:val="20"/>
          <w:szCs w:val="20"/>
          <w:color w:val="auto"/>
        </w:rPr>
      </w:pPr>
    </w:p>
    <w:p>
      <w:pPr>
        <w:ind w:left="200" w:hanging="192"/>
        <w:spacing w:after="0"/>
        <w:tabs>
          <w:tab w:leader="none" w:pos="2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Director Proposal and the Auditor Proposal, you may vote either “FOR” or “WITHHOLD.” A plurality of the votes cast by shareholders at the</w:t>
      </w:r>
    </w:p>
    <w:p>
      <w:pPr>
        <w:spacing w:after="0" w:line="21" w:lineRule="exact"/>
        <w:rPr>
          <w:rFonts w:ascii="Arial" w:cs="Arial" w:eastAsia="Arial" w:hAnsi="Arial"/>
          <w:sz w:val="16"/>
          <w:szCs w:val="16"/>
          <w:color w:val="auto"/>
        </w:rPr>
      </w:pPr>
    </w:p>
    <w:p>
      <w:pPr>
        <w:ind w:right="140"/>
        <w:spacing w:after="0" w:line="257" w:lineRule="auto"/>
        <w:rPr>
          <w:rFonts w:ascii="Arial" w:cs="Arial" w:eastAsia="Arial" w:hAnsi="Arial"/>
          <w:sz w:val="16"/>
          <w:szCs w:val="16"/>
          <w:color w:val="auto"/>
        </w:rPr>
      </w:pPr>
      <w:r>
        <w:rPr>
          <w:rFonts w:ascii="Arial" w:cs="Arial" w:eastAsia="Arial" w:hAnsi="Arial"/>
          <w:sz w:val="16"/>
          <w:szCs w:val="16"/>
          <w:color w:val="auto"/>
        </w:rPr>
        <w:t>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spacing w:after="0" w:line="8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For the Say-on-Pay Proposal and the EPP Proposal, you may vote “FOR”, “AGAINST” or “ABSTAIN”. To approve the Say-on-Pay Proposal and the EPP Proposal, the votes cast in favor of the proposal must exceed the votes cast against the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does the board of directors recommend?</w:t>
      </w:r>
    </w:p>
    <w:p>
      <w:pPr>
        <w:spacing w:after="0" w:line="127" w:lineRule="exact"/>
        <w:rPr>
          <w:sz w:val="20"/>
          <w:szCs w:val="20"/>
          <w:color w:val="auto"/>
        </w:rPr>
      </w:pPr>
    </w:p>
    <w:p>
      <w:pPr>
        <w:ind w:right="340" w:firstLine="8"/>
        <w:spacing w:after="0" w:line="286" w:lineRule="auto"/>
        <w:tabs>
          <w:tab w:leader="none" w:pos="1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board of directors recommends shareholders of Civeo vote “FOR” each of the director nominees named in the Director Proposal, the Say-on-Pay Proposal, the EPP Proposal and the Auditor Proposal.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When and where will the annual general meeting be held?</w:t>
      </w:r>
    </w:p>
    <w:p>
      <w:pPr>
        <w:spacing w:after="0" w:line="113" w:lineRule="exact"/>
        <w:rPr>
          <w:sz w:val="20"/>
          <w:szCs w:val="20"/>
          <w:color w:val="auto"/>
        </w:rPr>
      </w:pPr>
    </w:p>
    <w:p>
      <w:pPr>
        <w:jc w:val="both"/>
        <w:ind w:firstLine="8"/>
        <w:spacing w:after="0" w:line="275" w:lineRule="auto"/>
        <w:tabs>
          <w:tab w:leader="none" w:pos="1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annual general meeting will be held virtually, conducted via live audio webcast, on May 27, 2026 at 9:00 a.m., local time. You will be able to attend the annual general meeting by visiting www.virtualshareholdermeeting.com/CVEO2026, where you will be able to listen to the meeting live, submit questions and vote.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attend the annual general meeting?</w:t>
      </w:r>
    </w:p>
    <w:p>
      <w:pPr>
        <w:spacing w:after="0" w:line="127" w:lineRule="exact"/>
        <w:rPr>
          <w:sz w:val="20"/>
          <w:szCs w:val="20"/>
          <w:color w:val="auto"/>
        </w:rPr>
      </w:pPr>
    </w:p>
    <w:p>
      <w:pPr>
        <w:ind w:right="60" w:firstLine="8"/>
        <w:spacing w:after="0" w:line="286" w:lineRule="auto"/>
        <w:tabs>
          <w:tab w:leader="none" w:pos="19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attend the annual general meeting, vote your shares and submit questions during the meeting, shareholders and duly appointed proxyholders can visit www.virtualshareholdermeeting.com/CVEO2026.</w:t>
      </w:r>
    </w:p>
    <w:p>
      <w:pPr>
        <w:spacing w:after="0" w:line="48" w:lineRule="exact"/>
        <w:rPr>
          <w:sz w:val="20"/>
          <w:szCs w:val="20"/>
          <w:color w:val="auto"/>
        </w:rPr>
      </w:pPr>
    </w:p>
    <w:p>
      <w:pPr>
        <w:jc w:val="both"/>
        <w:ind w:left="200" w:right="380" w:hanging="192"/>
        <w:spacing w:after="0" w:line="275" w:lineRule="auto"/>
        <w:tabs>
          <w:tab w:leader="none" w:pos="170" w:val="left"/>
        </w:tabs>
        <w:numPr>
          <w:ilvl w:val="0"/>
          <w:numId w:val="69"/>
        </w:numPr>
        <w:rPr>
          <w:rFonts w:ascii="Arial" w:cs="Arial" w:eastAsia="Arial" w:hAnsi="Arial"/>
          <w:sz w:val="16"/>
          <w:szCs w:val="16"/>
          <w:color w:val="006DB6"/>
        </w:rPr>
      </w:pPr>
      <w:r>
        <w:rPr>
          <w:rFonts w:ascii="Arial" w:cs="Arial" w:eastAsia="Arial" w:hAnsi="Arial"/>
          <w:sz w:val="16"/>
          <w:szCs w:val="16"/>
          <w:color w:val="auto"/>
        </w:rPr>
        <w:t>Before attending the meeting, you will be directed to the Registration Page. Please complete the registration form with your name and control number included in your voting instruction form or proxy card or otherwise provided to you by your broker, trustee or other nominee, as described below. Your control number is located on the form of proxy or in the email notification you received.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left="200" w:right="380" w:hanging="192"/>
        <w:spacing w:after="0" w:line="296" w:lineRule="auto"/>
        <w:tabs>
          <w:tab w:leader="none" w:pos="170" w:val="left"/>
        </w:tabs>
        <w:numPr>
          <w:ilvl w:val="0"/>
          <w:numId w:val="70"/>
        </w:numPr>
        <w:rPr>
          <w:rFonts w:ascii="Arial" w:cs="Arial" w:eastAsia="Arial" w:hAnsi="Arial"/>
          <w:sz w:val="16"/>
          <w:szCs w:val="16"/>
          <w:color w:val="006DB6"/>
        </w:rPr>
      </w:pPr>
      <w:r>
        <w:rPr>
          <w:rFonts w:ascii="Arial" w:cs="Arial" w:eastAsia="Arial" w:hAnsi="Arial"/>
          <w:sz w:val="16"/>
          <w:szCs w:val="16"/>
          <w:color w:val="auto"/>
        </w:rPr>
        <w:t xml:space="preserve">Once registration information has been entered, shareholders and duly appointed proxyholders can participate in the meeting by clicking </w:t>
      </w:r>
      <w:r>
        <w:rPr>
          <w:rFonts w:ascii="Arial" w:cs="Arial" w:eastAsia="Arial" w:hAnsi="Arial"/>
          <w:sz w:val="16"/>
          <w:szCs w:val="16"/>
          <w:b w:val="1"/>
          <w:bCs w:val="1"/>
          <w:color w:val="auto"/>
        </w:rPr>
        <w:t>“Register &amp;</w:t>
      </w:r>
      <w:r>
        <w:rPr>
          <w:rFonts w:ascii="Arial" w:cs="Arial" w:eastAsia="Arial" w:hAnsi="Arial"/>
          <w:sz w:val="16"/>
          <w:szCs w:val="16"/>
          <w:color w:val="auto"/>
        </w:rPr>
        <w:t xml:space="preserve"> </w:t>
      </w:r>
      <w:r>
        <w:rPr>
          <w:rFonts w:ascii="Arial" w:cs="Arial" w:eastAsia="Arial" w:hAnsi="Arial"/>
          <w:sz w:val="16"/>
          <w:szCs w:val="16"/>
          <w:b w:val="1"/>
          <w:bCs w:val="1"/>
          <w:color w:val="auto"/>
        </w:rPr>
        <w:t>Join”</w:t>
      </w:r>
      <w:r>
        <w:rPr>
          <w:rFonts w:ascii="Arial" w:cs="Arial" w:eastAsia="Arial" w:hAnsi="Arial"/>
          <w:sz w:val="16"/>
          <w:szCs w:val="16"/>
          <w:color w:val="auto"/>
        </w:rPr>
        <w:t>.</w:t>
      </w:r>
    </w:p>
    <w:p>
      <w:pPr>
        <w:spacing w:after="0" w:line="45" w:lineRule="exact"/>
        <w:rPr>
          <w:rFonts w:ascii="Arial" w:cs="Arial" w:eastAsia="Arial" w:hAnsi="Arial"/>
          <w:sz w:val="16"/>
          <w:szCs w:val="16"/>
          <w:color w:val="006DB6"/>
        </w:rPr>
      </w:pPr>
    </w:p>
    <w:p>
      <w:pPr>
        <w:ind w:left="200" w:right="660" w:hanging="192"/>
        <w:spacing w:after="0" w:line="296" w:lineRule="auto"/>
        <w:tabs>
          <w:tab w:leader="none" w:pos="170" w:val="left"/>
        </w:tabs>
        <w:numPr>
          <w:ilvl w:val="0"/>
          <w:numId w:val="70"/>
        </w:numPr>
        <w:rPr>
          <w:rFonts w:ascii="Arial" w:cs="Arial" w:eastAsia="Arial" w:hAnsi="Arial"/>
          <w:sz w:val="16"/>
          <w:szCs w:val="16"/>
          <w:color w:val="006DB6"/>
        </w:rPr>
      </w:pPr>
      <w:r>
        <w:rPr>
          <w:rFonts w:ascii="Arial" w:cs="Arial" w:eastAsia="Arial" w:hAnsi="Arial"/>
          <w:sz w:val="16"/>
          <w:szCs w:val="16"/>
          <w:color w:val="auto"/>
        </w:rPr>
        <w:t xml:space="preserve">Voting at the meeting will only be available for shareholders and duly appointed proxyholders who have registered on the website. Non-registered shareholders who have not appointed themselves may attend the meeting by clicking </w:t>
      </w:r>
      <w:r>
        <w:rPr>
          <w:rFonts w:ascii="Arial" w:cs="Arial" w:eastAsia="Arial" w:hAnsi="Arial"/>
          <w:sz w:val="16"/>
          <w:szCs w:val="16"/>
          <w:b w:val="1"/>
          <w:bCs w:val="1"/>
          <w:color w:val="auto"/>
        </w:rPr>
        <w:t>“Guest”</w:t>
      </w:r>
      <w:r>
        <w:rPr>
          <w:rFonts w:ascii="Arial" w:cs="Arial" w:eastAsia="Arial" w:hAnsi="Arial"/>
          <w:sz w:val="16"/>
          <w:szCs w:val="16"/>
          <w:color w:val="auto"/>
        </w:rPr>
        <w:t xml:space="preserve"> and completing the online form.</w:t>
      </w:r>
    </w:p>
    <w:p>
      <w:pPr>
        <w:spacing w:after="0" w:line="4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On the day of the meeting, if you have trouble logging in or need assistance, please call Broadridge support at 844-976-0738 (US) or 303-562-9301 (International).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appoint my proxy?</w:t>
      </w:r>
    </w:p>
    <w:p>
      <w:pPr>
        <w:spacing w:after="0" w:line="127" w:lineRule="exact"/>
        <w:rPr>
          <w:sz w:val="20"/>
          <w:szCs w:val="20"/>
          <w:color w:val="auto"/>
        </w:rPr>
      </w:pPr>
    </w:p>
    <w:p>
      <w:pPr>
        <w:ind w:right="320" w:firstLine="8"/>
        <w:spacing w:after="0" w:line="260" w:lineRule="auto"/>
        <w:tabs>
          <w:tab w:leader="none" w:pos="1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Shareholders who wish to appoint a third party proxyholder to represent them at the meeting </w:t>
      </w:r>
      <w:r>
        <w:rPr>
          <w:rFonts w:ascii="Arial" w:cs="Arial" w:eastAsia="Arial" w:hAnsi="Arial"/>
          <w:sz w:val="16"/>
          <w:szCs w:val="16"/>
          <w:b w:val="1"/>
          <w:bCs w:val="1"/>
          <w:color w:val="auto"/>
        </w:rPr>
        <w:t>must submit their proxy or voting instruction form (if</w:t>
      </w:r>
      <w:r>
        <w:rPr>
          <w:rFonts w:ascii="Arial" w:cs="Arial" w:eastAsia="Arial" w:hAnsi="Arial"/>
          <w:sz w:val="16"/>
          <w:szCs w:val="16"/>
          <w:color w:val="auto"/>
        </w:rPr>
        <w:t xml:space="preserve"> </w:t>
      </w:r>
      <w:r>
        <w:rPr>
          <w:rFonts w:ascii="Arial" w:cs="Arial" w:eastAsia="Arial" w:hAnsi="Arial"/>
          <w:sz w:val="16"/>
          <w:szCs w:val="16"/>
          <w:b w:val="1"/>
          <w:bCs w:val="1"/>
          <w:color w:val="auto"/>
        </w:rPr>
        <w:t>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rial" w:cs="Arial" w:eastAsia="Arial" w:hAnsi="Arial"/>
          <w:sz w:val="16"/>
          <w:szCs w:val="16"/>
          <w:color w:val="auto"/>
        </w:rPr>
        <w:t>. To register a proxyholder, shareholders MUST write in the appointee's name on the proxy card enclosed in your packet and return via US mail</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enclosed envelope.</w:t>
      </w:r>
    </w:p>
    <w:p>
      <w:pPr>
        <w:spacing w:after="0" w:line="8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proxy must be received by Broadridge no later than May 26, 2026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ask questions at the annual general meeting?</w:t>
      </w:r>
    </w:p>
    <w:p>
      <w:pPr>
        <w:spacing w:after="0" w:line="113"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Shareholders who wish to submit a question may do so at www.virtualshareholdermeeting.com/CVEO2026. Shareholders may submit questions live</w:t>
      </w:r>
    </w:p>
    <w:p>
      <w:pPr>
        <w:spacing w:after="0" w:line="30" w:lineRule="exact"/>
        <w:rPr>
          <w:rFonts w:ascii="Arial" w:cs="Arial" w:eastAsia="Arial" w:hAnsi="Arial"/>
          <w:sz w:val="16"/>
          <w:szCs w:val="16"/>
          <w:color w:val="auto"/>
        </w:rPr>
      </w:pPr>
    </w:p>
    <w:p>
      <w:pPr>
        <w:ind w:right="100"/>
        <w:spacing w:after="0" w:line="260" w:lineRule="auto"/>
        <w:rPr>
          <w:rFonts w:ascii="Arial" w:cs="Arial" w:eastAsia="Arial" w:hAnsi="Arial"/>
          <w:sz w:val="16"/>
          <w:szCs w:val="16"/>
          <w:color w:val="auto"/>
        </w:rPr>
      </w:pPr>
      <w:r>
        <w:rPr>
          <w:rFonts w:ascii="Arial" w:cs="Arial" w:eastAsia="Arial" w:hAnsi="Arial"/>
          <w:sz w:val="16"/>
          <w:szCs w:val="16"/>
          <w:color w:val="auto"/>
        </w:rPr>
        <w:t>during the annual general meeting. Civeo is committed to transparency. All questions received during the annual general meeting, and Civeo’s responses, will be posted to our Investor Relations website at http://ir.civeo.com/ 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To submit a question for the Q&amp;A portion of the meeting, a shareholder should complete the following steps:</w:t>
      </w:r>
    </w:p>
    <w:p>
      <w:pPr>
        <w:spacing w:after="0" w:line="127"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Click the Q&amp;A button to open the panel;</w:t>
      </w:r>
    </w:p>
    <w:p>
      <w:pPr>
        <w:spacing w:after="0" w:line="113" w:lineRule="exact"/>
        <w:rPr>
          <w:rFonts w:ascii="Arial" w:cs="Arial" w:eastAsia="Arial" w:hAnsi="Arial"/>
          <w:sz w:val="16"/>
          <w:szCs w:val="16"/>
          <w:color w:val="auto"/>
        </w:rPr>
      </w:pPr>
    </w:p>
    <w:p>
      <w:pPr>
        <w:ind w:left="180" w:hanging="172"/>
        <w:spacing w:after="0"/>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Enter their question in the field labelled “Submit a question”; and</w:t>
      </w:r>
    </w:p>
    <w:p>
      <w:pPr>
        <w:spacing w:after="0" w:line="113" w:lineRule="exact"/>
        <w:rPr>
          <w:rFonts w:ascii="Arial" w:cs="Arial" w:eastAsia="Arial" w:hAnsi="Arial"/>
          <w:sz w:val="16"/>
          <w:szCs w:val="16"/>
          <w:color w:val="auto"/>
        </w:rPr>
      </w:pPr>
    </w:p>
    <w:p>
      <w:pPr>
        <w:ind w:left="180" w:hanging="172"/>
        <w:spacing w:after="0"/>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Click SUBMIT.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entitled to vote during the annual general meeting?</w:t>
      </w:r>
    </w:p>
    <w:p>
      <w:pPr>
        <w:spacing w:after="0" w:line="113" w:lineRule="exact"/>
        <w:rPr>
          <w:sz w:val="20"/>
          <w:szCs w:val="20"/>
          <w:color w:val="auto"/>
        </w:rPr>
      </w:pPr>
    </w:p>
    <w:p>
      <w:pPr>
        <w:ind w:right="260" w:firstLine="8"/>
        <w:spacing w:after="0" w:line="275" w:lineRule="auto"/>
        <w:tabs>
          <w:tab w:leader="none" w:pos="1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have fixed March 30, 2026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many votes do I have?</w:t>
      </w:r>
    </w:p>
    <w:p>
      <w:pPr>
        <w:spacing w:after="0" w:line="127" w:lineRule="exact"/>
        <w:rPr>
          <w:sz w:val="20"/>
          <w:szCs w:val="20"/>
          <w:color w:val="auto"/>
        </w:rPr>
      </w:pPr>
    </w:p>
    <w:p>
      <w:pPr>
        <w:ind w:right="140" w:firstLine="8"/>
        <w:spacing w:after="0" w:line="286" w:lineRule="auto"/>
        <w:tabs>
          <w:tab w:leader="none" w:pos="198" w:val="left"/>
        </w:tabs>
        <w:numPr>
          <w:ilvl w:val="0"/>
          <w:numId w:val="75"/>
        </w:numPr>
        <w:rPr>
          <w:rFonts w:ascii="Arial" w:cs="Arial" w:eastAsia="Arial" w:hAnsi="Arial"/>
          <w:sz w:val="16"/>
          <w:szCs w:val="16"/>
          <w:color w:val="auto"/>
        </w:rPr>
      </w:pPr>
      <w:r>
        <w:rPr>
          <w:rFonts w:ascii="Arial" w:cs="Arial" w:eastAsia="Arial" w:hAnsi="Arial"/>
          <w:sz w:val="16"/>
          <w:szCs w:val="16"/>
          <w:color w:val="auto"/>
        </w:rPr>
        <w:t>You are entitled to one vote for each share you owned as of the close of business, U.S. Eastern Time, on the record date. As of the close of business on the record date, there were approximately 10,943,297 Civeo common shares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do I vote?</w:t>
      </w:r>
    </w:p>
    <w:p>
      <w:pPr>
        <w:spacing w:after="0" w:line="113" w:lineRule="exact"/>
        <w:rPr>
          <w:sz w:val="20"/>
          <w:szCs w:val="20"/>
          <w:color w:val="auto"/>
        </w:rPr>
      </w:pPr>
    </w:p>
    <w:p>
      <w:pPr>
        <w:ind w:right="40" w:firstLine="8"/>
        <w:spacing w:after="0" w:line="275" w:lineRule="auto"/>
        <w:tabs>
          <w:tab w:leader="none" w:pos="1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U.S. Eastern Time, on March 30, 2026, the record date for the annual general meeting, you may vote in person by attending the annual general meeting or, to ensure your shares are represented at the annual general meeting, you may authorize a proxy to vote by:</w:t>
      </w:r>
    </w:p>
    <w:p>
      <w:pPr>
        <w:spacing w:after="0" w:line="56"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6"/>
          <w:szCs w:val="16"/>
          <w:color w:val="006DB6"/>
        </w:rPr>
      </w:pPr>
      <w:r>
        <w:rPr>
          <w:rFonts w:ascii="Arial" w:cs="Arial" w:eastAsia="Arial" w:hAnsi="Arial"/>
          <w:sz w:val="16"/>
          <w:szCs w:val="16"/>
          <w:color w:val="auto"/>
        </w:rPr>
        <w:t>accessing the Internet website specified on your proxy card;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7"/>
        </w:numPr>
        <w:rPr>
          <w:rFonts w:ascii="Arial" w:cs="Arial" w:eastAsia="Arial" w:hAnsi="Arial"/>
          <w:sz w:val="16"/>
          <w:szCs w:val="16"/>
          <w:color w:val="006DB6"/>
        </w:rPr>
      </w:pPr>
      <w:r>
        <w:rPr>
          <w:rFonts w:ascii="Arial" w:cs="Arial" w:eastAsia="Arial" w:hAnsi="Arial"/>
          <w:sz w:val="16"/>
          <w:szCs w:val="16"/>
          <w:color w:val="auto"/>
        </w:rPr>
        <w:t>calling the toll-free number specified on your proxy card;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7"/>
        </w:numPr>
        <w:rPr>
          <w:rFonts w:ascii="Arial" w:cs="Arial" w:eastAsia="Arial" w:hAnsi="Arial"/>
          <w:sz w:val="16"/>
          <w:szCs w:val="16"/>
          <w:color w:val="006DB6"/>
        </w:rPr>
      </w:pPr>
      <w:r>
        <w:rPr>
          <w:rFonts w:ascii="Arial" w:cs="Arial" w:eastAsia="Arial" w:hAnsi="Arial"/>
          <w:sz w:val="16"/>
          <w:szCs w:val="16"/>
          <w:color w:val="auto"/>
        </w:rPr>
        <w:t>signing and returning your proxy card in the postage-paid envelope provided.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proxy card is being sent with this proxy statement to each shareholder of record as of the record date for the annual general meeting.</w:t>
      </w:r>
    </w:p>
    <w:p>
      <w:pPr>
        <w:spacing w:after="0" w:line="11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If my shares are held in “street name” by my nominee, when will my nominee vote shares for me?</w:t>
      </w:r>
    </w:p>
    <w:p>
      <w:pPr>
        <w:spacing w:after="0" w:line="113" w:lineRule="exact"/>
        <w:rPr>
          <w:sz w:val="20"/>
          <w:szCs w:val="20"/>
          <w:color w:val="auto"/>
        </w:rPr>
      </w:pPr>
    </w:p>
    <w:p>
      <w:pPr>
        <w:ind w:firstLine="8"/>
        <w:spacing w:after="0" w:line="265" w:lineRule="auto"/>
        <w:tabs>
          <w:tab w:leader="none" w:pos="198"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the annual general meeting, if your shares are held by a bank, broker or other nominee of record, you are considered the beneficial owner of those shares, but not the record holder. This means that you vote by providing instructions to your broker rather than directly to Civeo.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152400</wp:posOffset>
            </wp:positionV>
            <wp:extent cx="394335" cy="1968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matters, it will result in a “broker non-vote” for the matters on which the broker does not vote and your shares will not be voted on those matters. Broker non-votes, if any, will have no effect on the Director Proposal, the Auditor Proposal, the Say-on-Pay or the EPP Proposal. Your nominee can give you directions on how to instruct the voting of your shares. We encourage you to instruct your nominee how to vote your shares.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Are shareholders able to exercise appraisal rights?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Appraisal rights are not available to shareholders in connection with any of the proposals.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Can I change my vote after I grant my proxy?</w:t>
      </w:r>
    </w:p>
    <w:p>
      <w:pPr>
        <w:spacing w:after="0" w:line="113" w:lineRule="exact"/>
        <w:rPr>
          <w:sz w:val="20"/>
          <w:szCs w:val="20"/>
          <w:color w:val="auto"/>
        </w:rPr>
      </w:pPr>
    </w:p>
    <w:p>
      <w:pPr>
        <w:ind w:right="580" w:firstLine="8"/>
        <w:spacing w:after="0" w:line="304" w:lineRule="auto"/>
        <w:tabs>
          <w:tab w:leader="none" w:pos="1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Yes. You can change your vote at any time before your proxy is voted at the annual general meeting. In addition to revocation in any other manner permitted by law, you can revoke your proxy in one of the following ways:</w:t>
      </w:r>
    </w:p>
    <w:p>
      <w:pPr>
        <w:spacing w:after="0" w:line="33"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6"/>
          <w:szCs w:val="16"/>
          <w:color w:val="006DB6"/>
        </w:rPr>
      </w:pPr>
      <w:r>
        <w:rPr>
          <w:rFonts w:ascii="Arial" w:cs="Arial" w:eastAsia="Arial" w:hAnsi="Arial"/>
          <w:sz w:val="16"/>
          <w:szCs w:val="16"/>
          <w:color w:val="auto"/>
        </w:rPr>
        <w:t>filing a written revocation with the Secretary prior to the voting of such proxy;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80"/>
        </w:numPr>
        <w:rPr>
          <w:rFonts w:ascii="Arial" w:cs="Arial" w:eastAsia="Arial" w:hAnsi="Arial"/>
          <w:sz w:val="16"/>
          <w:szCs w:val="16"/>
          <w:color w:val="006DB6"/>
        </w:rPr>
      </w:pPr>
      <w:r>
        <w:rPr>
          <w:rFonts w:ascii="Arial" w:cs="Arial" w:eastAsia="Arial" w:hAnsi="Arial"/>
          <w:sz w:val="16"/>
          <w:szCs w:val="16"/>
          <w:color w:val="auto"/>
        </w:rPr>
        <w:t>giving a duly executed proxy bearing a later date;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80"/>
        </w:numPr>
        <w:rPr>
          <w:rFonts w:ascii="Arial" w:cs="Arial" w:eastAsia="Arial" w:hAnsi="Arial"/>
          <w:sz w:val="16"/>
          <w:szCs w:val="16"/>
          <w:color w:val="006DB6"/>
        </w:rPr>
      </w:pPr>
      <w:r>
        <w:rPr>
          <w:rFonts w:ascii="Arial" w:cs="Arial" w:eastAsia="Arial" w:hAnsi="Arial"/>
          <w:sz w:val="16"/>
          <w:szCs w:val="16"/>
          <w:color w:val="auto"/>
        </w:rPr>
        <w:t>attending the virtual annual general meeting and voting during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Your attendance during the annual general meeting will not itself revoke your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instructed a broker to vote your shares, you must follow the procedure provided by your broker to change those instructions.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abstain from voting and/or withhold my vote or fail to vote?</w:t>
      </w:r>
    </w:p>
    <w:p>
      <w:pPr>
        <w:spacing w:after="0" w:line="113" w:lineRule="exact"/>
        <w:rPr>
          <w:sz w:val="20"/>
          <w:szCs w:val="20"/>
          <w:color w:val="auto"/>
        </w:rPr>
      </w:pPr>
    </w:p>
    <w:p>
      <w:pPr>
        <w:ind w:right="100" w:firstLine="8"/>
        <w:spacing w:after="0" w:line="304" w:lineRule="auto"/>
        <w:tabs>
          <w:tab w:leader="none" w:pos="198"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are present in person or by proxy at the annual general meeting and mark your proxy or voting instructions to “ABSTAIN”, this will have no effect on the Say-on-Pay or the EPP Proposal.</w:t>
      </w:r>
    </w:p>
    <w:p>
      <w:pPr>
        <w:spacing w:after="0" w:line="3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If you are a shareholder of Civeo and are present in person or by proxy at the annual general meeting and mark your proxy or voting instructions to ”WITHHOLD”, this will have the effect of a vote withheld from the applicable director nominee named in the Director Proposal, but will have no direct effect on the election of such director nominee. If you are a shareholder of Civeo and are present in person or by proxy at the annual general meeting and mark your proxy or voting instructions to ”WITHHOLD”, this will have no effect on the Auditor Proposal.</w:t>
      </w:r>
    </w:p>
    <w:p>
      <w:pPr>
        <w:spacing w:after="0" w:line="6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If you are a shareholder of Civeo and (1) are not present, virtually, at the annual general meeting and do not respond by proxy or (2) fail to instruct your broker, bank or other nominee to vote, this will have no effect on the election of the director nominees named in the Director Proposal, the Auditor Proposal or the Say-on-Pay Proposal.</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return my proxy card without indicating how to vote?</w:t>
      </w:r>
    </w:p>
    <w:p>
      <w:pPr>
        <w:spacing w:after="0" w:line="113" w:lineRule="exact"/>
        <w:rPr>
          <w:sz w:val="20"/>
          <w:szCs w:val="20"/>
          <w:color w:val="auto"/>
        </w:rPr>
      </w:pPr>
    </w:p>
    <w:p>
      <w:pPr>
        <w:ind w:right="180" w:firstLine="8"/>
        <w:spacing w:after="0" w:line="286" w:lineRule="auto"/>
        <w:tabs>
          <w:tab w:leader="none" w:pos="198"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signed proxy card without indicating how to vote on any particular proposal, the shares of Civeo represented by your proxy will be voted as recommended by the Civeo board of directors with respect to that proposal.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is the quorum requirement for the annual general meeting?</w:t>
      </w:r>
    </w:p>
    <w:p>
      <w:pPr>
        <w:spacing w:after="0" w:line="113" w:lineRule="exact"/>
        <w:rPr>
          <w:sz w:val="20"/>
          <w:szCs w:val="20"/>
          <w:color w:val="auto"/>
        </w:rPr>
      </w:pPr>
    </w:p>
    <w:p>
      <w:pPr>
        <w:ind w:right="20" w:firstLine="8"/>
        <w:spacing w:after="0" w:line="265" w:lineRule="auto"/>
        <w:tabs>
          <w:tab w:leader="none" w:pos="19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soliciting my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Proxies are being solicited by our board of directors for use at the annual general meeting and any adjournment or postponement thereof.</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paying for the cost of this proxy solicitation?</w:t>
      </w:r>
    </w:p>
    <w:p>
      <w:pPr>
        <w:spacing w:after="0" w:line="113" w:lineRule="exact"/>
        <w:rPr>
          <w:sz w:val="20"/>
          <w:szCs w:val="20"/>
          <w:color w:val="auto"/>
        </w:rPr>
      </w:pPr>
    </w:p>
    <w:p>
      <w:pPr>
        <w:ind w:right="600" w:firstLine="8"/>
        <w:spacing w:after="0" w:line="286" w:lineRule="auto"/>
        <w:tabs>
          <w:tab w:leader="none" w:pos="1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$11,000. Broadridge will serve as the inspector of election for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Future Shareholder Proposals</w:t>
      </w:r>
    </w:p>
    <w:p>
      <w:pPr>
        <w:spacing w:after="0" w:line="1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To be included in the proxy materials for the 2027 annual general meeting of shareholders under SEC Rule 14a-8, shareholder proposals that are submitted for presentation at that annual general meeting and are otherwise eligible for inclusion in the proxy statement must be received by us no later than December 14, 2026.</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2027 annual general meeting of shareholders, notice will have to be delivered to us no later than January 27, 2027.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business other than nominations and nominations of directors (which includes information required by Rule 14a-19). All notices should be directed to our Corporate Secretary, Civeo Corporation, Three Allen Center, 333 Clay Street, Suite 4400, Houston, Texas 77002. Under current SEC rules, we are not required to include in our proxy statement any director nominated by a shareholder using this process.</w:t>
      </w:r>
    </w:p>
    <w:p>
      <w:pPr>
        <w:spacing w:after="0" w:line="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Proxies granted in connection with that annual general meeting may confer discretionary authority to vote on any shareholder proposal if a shareholder does not also comply with the requirements of Rule 14a-4(c)(2) under the Exchange Act. It is suggested that proponents submit their proposals by certified mail, return receipt requested.</w:t>
      </w:r>
    </w:p>
    <w:p>
      <w:pPr>
        <w:spacing w:after="0" w:line="56"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rial" w:cs="Arial" w:eastAsia="Arial" w:hAnsi="Arial"/>
          <w:sz w:val="16"/>
          <w:szCs w:val="16"/>
          <w:i w:val="1"/>
          <w:iCs w:val="1"/>
          <w:color w:val="auto"/>
        </w:rPr>
        <w:t>usiness Corporations Act</w:t>
      </w:r>
      <w:r>
        <w:rPr>
          <w:rFonts w:ascii="Arial" w:cs="Arial" w:eastAsia="Arial" w:hAnsi="Arial"/>
          <w:sz w:val="16"/>
          <w:szCs w:val="16"/>
          <w:color w:val="auto"/>
        </w:rPr>
        <w:t xml:space="preserve">; and (ii) a requisition of a meeting made pursuant to the provisions of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301625</wp:posOffset>
            </wp:positionV>
            <wp:extent cx="394335" cy="1968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w:t>
      </w:r>
    </w:p>
    <w:p>
      <w:pPr>
        <w:spacing w:after="0" w:line="14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SEC permits a single copy of the proxy materials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receive only one copy of the proxy materials unless any shareholder at that address has given the broker contrary instructions. However, if any such beneficial shareholder residing at such an address wishes to receive a separate set of proxy materials in the future, or if any such beneficial shareholder that elected to continue to receive separate proxy materials wishes to receive a single copy of the proxy materials in the future, that shareholder should contact their broker or send a request to our Corporate Secretary, Civeo Corporation, Three Allen Center, 333 Clay Street, Suite 4400 Houston, Texas 77002, (713) 510-2400.</w:t>
      </w:r>
    </w:p>
    <w:p>
      <w:pPr>
        <w:spacing w:after="0" w:line="6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2025.</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45"/>
          <w:szCs w:val="45"/>
          <w:b w:val="1"/>
          <w:bCs w:val="1"/>
          <w:color w:val="006DB6"/>
        </w:rPr>
        <w:t>Appendix 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Reconciliations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terms Adjusted EBITDA and AICP EBITDA are non-GAAP financial measures that are defined as EBITDA adjusted to exclude certain other unusual or non-operating items.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2025 were consistent with past practices. EBITDA, Adjusted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Adjusted EBITDA and AICP EBITDA may not be comparable to other similarly titled measures of other companies. Civeo has included EBITDA, Adjusted EBITDA and AICP EBITDA as supplemental disclosures because its management believes that EBITDA, Adjusted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Adjusted EBITDA and AICP EBITDA to compare and to monitor the performance of its business segments to other comparable public companies and as a benchmark for the award of incentive compensation under its annual incentive compensation plan.</w:t>
      </w: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a reconciliation of EBITDA, Adjusted EBITDA and AICP EBITDA to net income (loss) attributable to Civeo Corporation, which is the most directly comparable measure of financial performance calculated under generally accepted accounting principles (in thousands) (unaudited):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706F6F"/>
              </w:rPr>
              <w:t>12 Months Ended December 31,</w:t>
            </w:r>
          </w:p>
        </w:tc>
      </w:tr>
      <w:tr>
        <w:trPr>
          <w:trHeight w:val="252"/>
        </w:trPr>
        <w:tc>
          <w:tcPr>
            <w:tcW w:w="5960" w:type="dxa"/>
            <w:vAlign w:val="bottom"/>
          </w:tcPr>
          <w:p>
            <w:pPr>
              <w:spacing w:after="0"/>
              <w:rPr>
                <w:sz w:val="21"/>
                <w:szCs w:val="21"/>
                <w:color w:val="auto"/>
              </w:rPr>
            </w:pPr>
          </w:p>
        </w:tc>
        <w:tc>
          <w:tcPr>
            <w:tcW w:w="32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2025</w:t>
            </w:r>
          </w:p>
        </w:tc>
        <w:tc>
          <w:tcPr>
            <w:tcW w:w="30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2024</w:t>
            </w:r>
          </w:p>
        </w:tc>
        <w:tc>
          <w:tcPr>
            <w:tcW w:w="34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2023</w:t>
            </w:r>
          </w:p>
        </w:tc>
      </w:tr>
      <w:tr>
        <w:trPr>
          <w:trHeight w:val="228"/>
        </w:trPr>
        <w:tc>
          <w:tcPr>
            <w:tcW w:w="596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(20,071)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(17,067)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30,157</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13,620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12,492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10,633</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72,618</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68,038</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75,142</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52"/>
        </w:trPr>
        <w:tc>
          <w:tcPr>
            <w:tcW w:w="5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11,418</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w:t>
            </w: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w:t>
            </w:r>
          </w:p>
        </w:tc>
      </w:tr>
      <w:tr>
        <w:trPr>
          <w:trHeight w:val="236"/>
        </w:trPr>
        <w:tc>
          <w:tcPr>
            <w:tcW w:w="596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77,421</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71,249</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128,937</w:t>
            </w:r>
          </w:p>
        </w:tc>
      </w:tr>
      <w:tr>
        <w:trPr>
          <w:trHeight w:val="214"/>
        </w:trPr>
        <w:tc>
          <w:tcPr>
            <w:tcW w:w="5960" w:type="dxa"/>
            <w:vAlign w:val="bottom"/>
          </w:tcPr>
          <w:p>
            <w:pPr>
              <w:spacing w:after="0"/>
              <w:rPr>
                <w:sz w:val="20"/>
                <w:szCs w:val="20"/>
                <w:color w:val="auto"/>
              </w:rPr>
            </w:pPr>
            <w:r>
              <w:rPr>
                <w:rFonts w:ascii="Arial" w:cs="Arial" w:eastAsia="Arial" w:hAnsi="Arial"/>
                <w:sz w:val="16"/>
                <w:szCs w:val="16"/>
                <w:color w:val="auto"/>
              </w:rPr>
              <w:t>Adjustments to EBITDA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Impairment of long-lived assets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11,581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w:t>
            </w:r>
          </w:p>
        </w:tc>
      </w:tr>
      <w:tr>
        <w:trPr>
          <w:trHeight w:val="203"/>
        </w:trPr>
        <w:tc>
          <w:tcPr>
            <w:tcW w:w="5960" w:type="dxa"/>
            <w:vAlign w:val="bottom"/>
          </w:tcPr>
          <w:p>
            <w:pPr>
              <w:ind w:left="220"/>
              <w:spacing w:after="0"/>
              <w:rPr>
                <w:sz w:val="20"/>
                <w:szCs w:val="20"/>
                <w:color w:val="auto"/>
              </w:rPr>
            </w:pPr>
            <w:r>
              <w:rPr>
                <w:rFonts w:ascii="Arial" w:cs="Arial" w:eastAsia="Arial" w:hAnsi="Arial"/>
                <w:sz w:val="16"/>
                <w:szCs w:val="16"/>
                <w:color w:val="auto"/>
              </w:rPr>
              <w:t>Net gain on disposition of McClelland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Lake Lodge assets </w:t>
            </w:r>
            <w:r>
              <w:rPr>
                <w:rFonts w:ascii="Arial" w:cs="Arial" w:eastAsia="Arial" w:hAnsi="Arial"/>
                <w:sz w:val="21"/>
                <w:szCs w:val="21"/>
                <w:color w:val="auto"/>
                <w:vertAlign w:val="superscript"/>
              </w:rPr>
              <w:t>(2)</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(5,744)</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(28,298)</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Cost saving initiatives </w:t>
            </w:r>
            <w:r>
              <w:rPr>
                <w:rFonts w:ascii="Arial" w:cs="Arial" w:eastAsia="Arial" w:hAnsi="Arial"/>
                <w:sz w:val="21"/>
                <w:szCs w:val="21"/>
                <w:color w:val="auto"/>
                <w:vertAlign w:val="superscript"/>
              </w:rPr>
              <w:t>(3)</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2,185</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6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5,511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8"/>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1"/>
                <w:szCs w:val="21"/>
                <w:color w:val="auto"/>
                <w:vertAlign w:val="superscript"/>
              </w:rPr>
              <w:t>(4)</w:t>
            </w:r>
          </w:p>
        </w:tc>
        <w:tc>
          <w:tcPr>
            <w:tcW w:w="3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w:t>
            </w:r>
          </w:p>
        </w:tc>
        <w:tc>
          <w:tcPr>
            <w:tcW w:w="3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3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w:t>
            </w:r>
          </w:p>
        </w:tc>
      </w:tr>
      <w:tr>
        <w:trPr>
          <w:trHeight w:val="230"/>
        </w:trPr>
        <w:tc>
          <w:tcPr>
            <w:tcW w:w="596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88,177</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79,937</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106,494</w:t>
            </w:r>
          </w:p>
        </w:tc>
      </w:tr>
      <w:tr>
        <w:trPr>
          <w:trHeight w:val="458"/>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1"/>
                <w:szCs w:val="21"/>
                <w:color w:val="auto"/>
                <w:vertAlign w:val="superscript"/>
              </w:rPr>
              <w:t>(4)</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(3,060)</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(2,851)</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(4,460)</w:t>
            </w:r>
          </w:p>
        </w:tc>
      </w:tr>
      <w:tr>
        <w:trPr>
          <w:trHeight w:val="215"/>
        </w:trPr>
        <w:tc>
          <w:tcPr>
            <w:tcW w:w="5960" w:type="dxa"/>
            <w:vAlign w:val="bottom"/>
          </w:tcPr>
          <w:p>
            <w:pPr>
              <w:ind w:left="220"/>
              <w:spacing w:after="0"/>
              <w:rPr>
                <w:sz w:val="20"/>
                <w:szCs w:val="20"/>
                <w:color w:val="auto"/>
              </w:rPr>
            </w:pPr>
            <w:r>
              <w:rPr>
                <w:rFonts w:ascii="Arial" w:cs="Arial" w:eastAsia="Arial" w:hAnsi="Arial"/>
                <w:sz w:val="16"/>
                <w:szCs w:val="16"/>
                <w:color w:val="auto"/>
              </w:rPr>
              <w:t>Unbudgeted changes in foreign exchange rates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2,579</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6,522</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Unbudgeted variability in stock-based compensation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3,254</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(1,872)</w:t>
            </w: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Gain on dismantlement of McClelland Lake Lodge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13,449</w:t>
            </w:r>
          </w:p>
        </w:tc>
      </w:tr>
      <w:tr>
        <w:trPr>
          <w:trHeight w:val="230"/>
        </w:trPr>
        <w:tc>
          <w:tcPr>
            <w:tcW w:w="596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(6)</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36"/>
        </w:trPr>
        <w:tc>
          <w:tcPr>
            <w:tcW w:w="5960" w:type="dxa"/>
            <w:vAlign w:val="bottom"/>
          </w:tcPr>
          <w:p>
            <w:pPr>
              <w:spacing w:after="0"/>
              <w:rPr>
                <w:sz w:val="20"/>
                <w:szCs w:val="20"/>
                <w:color w:val="auto"/>
              </w:rPr>
            </w:pPr>
            <w:r>
              <w:rPr>
                <w:rFonts w:ascii="Arial" w:cs="Arial" w:eastAsia="Arial" w:hAnsi="Arial"/>
                <w:sz w:val="16"/>
                <w:szCs w:val="16"/>
                <w:color w:val="auto"/>
              </w:rPr>
              <w:t>AICP EBITDA</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86,861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119,738</w:t>
            </w:r>
          </w:p>
        </w:tc>
      </w:tr>
      <w:tr>
        <w:trPr>
          <w:trHeight w:val="20"/>
        </w:trPr>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right="20" w:hanging="252"/>
        <w:spacing w:after="0" w:line="265" w:lineRule="auto"/>
        <w:tabs>
          <w:tab w:leader="none" w:pos="2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Relates to asset impairments recorded in 2024 and 2023.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 related to the impairment of long-lived assets in our Australian segment of $5.7 million and a pre-tax loss related to the impairment of long-lived assets in the U.S. of $2.1 million.</w:t>
      </w:r>
    </w:p>
    <w:p>
      <w:pPr>
        <w:spacing w:after="0" w:line="78" w:lineRule="exact"/>
        <w:rPr>
          <w:sz w:val="20"/>
          <w:szCs w:val="20"/>
          <w:color w:val="auto"/>
        </w:rPr>
      </w:pPr>
    </w:p>
    <w:p>
      <w:pPr>
        <w:ind w:left="260" w:right="420"/>
        <w:spacing w:after="0" w:line="286" w:lineRule="auto"/>
        <w:rPr>
          <w:sz w:val="20"/>
          <w:szCs w:val="20"/>
          <w:color w:val="auto"/>
        </w:rPr>
      </w:pPr>
      <w:r>
        <w:rPr>
          <w:rFonts w:ascii="Arial" w:cs="Arial" w:eastAsia="Arial" w:hAnsi="Arial"/>
          <w:sz w:val="16"/>
          <w:szCs w:val="16"/>
          <w:color w:val="auto"/>
        </w:rPr>
        <w:t>In the fourth quarter of 2023, we recorded a pretax loss related to the impairment of long-lived assets in the U.S. of $1.4 million, which is included in Impairment expense on the statements of operations.</w:t>
      </w:r>
    </w:p>
    <w:p>
      <w:pPr>
        <w:sectPr>
          <w:pgSz w:w="11900" w:h="16838" w:orient="portrait"/>
          <w:cols w:equalWidth="0" w:num="1">
            <w:col w:w="11220"/>
          </w:cols>
          <w:pgMar w:left="320" w:top="969" w:right="35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right="100" w:hanging="252"/>
        <w:spacing w:after="0" w:line="265" w:lineRule="auto"/>
        <w:tabs>
          <w:tab w:leader="none" w:pos="2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64" w:lineRule="exact"/>
        <w:rPr>
          <w:sz w:val="20"/>
          <w:szCs w:val="20"/>
          <w:color w:val="auto"/>
        </w:rPr>
      </w:pPr>
    </w:p>
    <w:p>
      <w:pPr>
        <w:ind w:left="260" w:right="20"/>
        <w:spacing w:after="0" w:line="265" w:lineRule="auto"/>
        <w:rPr>
          <w:sz w:val="20"/>
          <w:szCs w:val="20"/>
          <w:color w:val="auto"/>
        </w:rPr>
      </w:pPr>
      <w:r>
        <w:rPr>
          <w:rFonts w:ascii="Arial" w:cs="Arial" w:eastAsia="Arial" w:hAnsi="Arial"/>
          <w:sz w:val="16"/>
          <w:szCs w:val="16"/>
          <w:color w:val="auto"/>
        </w:rPr>
        <w:t>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(Gain) loss on sale of McClelland Lake Lodge assets, net on the unaudited statements of operations.</w:t>
      </w:r>
    </w:p>
    <w:p>
      <w:pPr>
        <w:spacing w:after="0" w:line="78"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113" w:lineRule="exact"/>
        <w:rPr>
          <w:rFonts w:ascii="Arial" w:cs="Arial" w:eastAsia="Arial" w:hAnsi="Arial"/>
          <w:sz w:val="16"/>
          <w:szCs w:val="16"/>
          <w:color w:val="auto"/>
        </w:rPr>
      </w:pPr>
    </w:p>
    <w:p>
      <w:pPr>
        <w:ind w:left="260" w:hanging="252"/>
        <w:spacing w:after="0" w:line="286" w:lineRule="auto"/>
        <w:tabs>
          <w:tab w:leader="none" w:pos="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61" w:lineRule="exact"/>
        <w:rPr>
          <w:rFonts w:ascii="Arial" w:cs="Arial" w:eastAsia="Arial" w:hAnsi="Arial"/>
          <w:sz w:val="16"/>
          <w:szCs w:val="16"/>
          <w:color w:val="auto"/>
        </w:rPr>
      </w:pPr>
    </w:p>
    <w:p>
      <w:pPr>
        <w:ind w:left="280" w:hanging="272"/>
        <w:spacing w:after="0"/>
        <w:tabs>
          <w:tab w:leader="none" w:pos="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Relates to proceeds received associated with the dismantlement of McClelland Lake Lodge assets.</w:t>
      </w:r>
    </w:p>
    <w:p>
      <w:pPr>
        <w:spacing w:after="0" w:line="113" w:lineRule="exact"/>
        <w:rPr>
          <w:rFonts w:ascii="Arial" w:cs="Arial" w:eastAsia="Arial" w:hAnsi="Arial"/>
          <w:sz w:val="16"/>
          <w:szCs w:val="16"/>
          <w:color w:val="auto"/>
        </w:rPr>
      </w:pPr>
    </w:p>
    <w:p>
      <w:pPr>
        <w:jc w:val="both"/>
        <w:ind w:left="260" w:right="100" w:hanging="252"/>
        <w:spacing w:after="0" w:line="275" w:lineRule="auto"/>
        <w:tabs>
          <w:tab w:leader="none" w:pos="282"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Relates to certain other unbudgeted costs (approved by the board of directors). These included severance and related recruitment costs ($1.9 million in 2024), costs incurred with potential acquisitions that were not consummated ($0.2 million in 2025 and $0.7 million in 2024) and demobilization costs that were deferred into future years ($0.4 million in 2023).</w:t>
      </w:r>
    </w:p>
    <w:p>
      <w:pPr>
        <w:spacing w:after="0" w:line="56" w:lineRule="exact"/>
        <w:rPr>
          <w:sz w:val="20"/>
          <w:szCs w:val="20"/>
          <w:color w:val="auto"/>
        </w:rPr>
      </w:pPr>
    </w:p>
    <w:p>
      <w:pPr>
        <w:ind w:right="2320"/>
        <w:spacing w:after="0" w:line="258" w:lineRule="auto"/>
        <w:rPr>
          <w:sz w:val="20"/>
          <w:szCs w:val="20"/>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8" w:lineRule="exact"/>
        <w:rPr>
          <w:sz w:val="20"/>
          <w:szCs w:val="20"/>
          <w:color w:val="auto"/>
        </w:rPr>
      </w:pPr>
    </w:p>
    <w:p>
      <w:pPr>
        <w:ind w:right="2460"/>
        <w:spacing w:after="0" w:line="286"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As of December 31,</w:t>
            </w:r>
          </w:p>
        </w:tc>
        <w:tc>
          <w:tcPr>
            <w:tcW w:w="0" w:type="dxa"/>
            <w:vAlign w:val="bottom"/>
          </w:tcPr>
          <w:p>
            <w:pPr>
              <w:spacing w:after="0"/>
              <w:rPr>
                <w:sz w:val="1"/>
                <w:szCs w:val="1"/>
                <w:color w:val="auto"/>
              </w:rPr>
            </w:pPr>
          </w:p>
        </w:tc>
      </w:tr>
      <w:tr>
        <w:trPr>
          <w:trHeight w:val="252"/>
        </w:trPr>
        <w:tc>
          <w:tcPr>
            <w:tcW w:w="6880" w:type="dxa"/>
            <w:vAlign w:val="bottom"/>
          </w:tcPr>
          <w:p>
            <w:pPr>
              <w:spacing w:after="0"/>
              <w:rPr>
                <w:sz w:val="21"/>
                <w:szCs w:val="21"/>
                <w:color w:val="auto"/>
              </w:rPr>
            </w:pP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2025</w:t>
            </w: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2024</w:t>
            </w: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2023</w:t>
            </w:r>
          </w:p>
        </w:tc>
        <w:tc>
          <w:tcPr>
            <w:tcW w:w="0" w:type="dxa"/>
            <w:vAlign w:val="bottom"/>
          </w:tcPr>
          <w:p>
            <w:pPr>
              <w:spacing w:after="0"/>
              <w:rPr>
                <w:sz w:val="1"/>
                <w:szCs w:val="1"/>
                <w:color w:val="auto"/>
              </w:rPr>
            </w:pPr>
          </w:p>
        </w:tc>
      </w:tr>
      <w:tr>
        <w:trPr>
          <w:trHeight w:val="228"/>
        </w:trPr>
        <w:tc>
          <w:tcPr>
            <w:tcW w:w="6880" w:type="dxa"/>
            <w:vAlign w:val="bottom"/>
          </w:tcPr>
          <w:p>
            <w:pPr>
              <w:spacing w:after="0"/>
              <w:rPr>
                <w:sz w:val="20"/>
                <w:szCs w:val="20"/>
                <w:color w:val="auto"/>
              </w:rPr>
            </w:pPr>
            <w:r>
              <w:rPr>
                <w:rFonts w:ascii="Arial" w:cs="Arial" w:eastAsia="Arial" w:hAnsi="Arial"/>
                <w:sz w:val="16"/>
                <w:szCs w:val="16"/>
                <w:color w:val="auto"/>
              </w:rPr>
              <w:t>Total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182,842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43,299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52"/>
        </w:trPr>
        <w:tc>
          <w:tcPr>
            <w:tcW w:w="688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14,439</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6"/>
                <w:szCs w:val="16"/>
                <w:color w:val="auto"/>
              </w:rPr>
              <w:t>Net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6"/>
                <w:szCs w:val="16"/>
                <w:color w:val="auto"/>
              </w:rPr>
              <w:t xml:space="preserve">Adjusted EBITDA for the twelve months ended December 31, 2025, 2024 and 2023 </w:t>
            </w:r>
            <w:r>
              <w:rPr>
                <w:rFonts w:ascii="Arial" w:cs="Arial" w:eastAsia="Arial" w:hAnsi="Arial"/>
                <w:sz w:val="21"/>
                <w:szCs w:val="21"/>
                <w:color w:val="auto"/>
                <w:vertAlign w:val="superscript"/>
              </w:rPr>
              <w:t>(1)</w:t>
            </w: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88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88,177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79,937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106,494</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Acquisition pro-forma EBITDA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5,905</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Cost saving initiatives </w:t>
            </w:r>
            <w:r>
              <w:rPr>
                <w:rFonts w:ascii="Arial" w:cs="Arial" w:eastAsia="Arial" w:hAnsi="Arial"/>
                <w:sz w:val="21"/>
                <w:szCs w:val="21"/>
                <w:color w:val="auto"/>
                <w:vertAlign w:val="superscript"/>
              </w:rPr>
              <w:t>(2)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(2,185)</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Shareholder activist costs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(5,511)</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58"/>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Incremental adjustments for McClelland Lake Lodge disposition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37"/>
        </w:trPr>
        <w:tc>
          <w:tcPr>
            <w:tcW w:w="6880" w:type="dxa"/>
            <w:vAlign w:val="bottom"/>
          </w:tcPr>
          <w:p>
            <w:pPr>
              <w:ind w:left="220"/>
              <w:spacing w:after="0"/>
              <w:rPr>
                <w:sz w:val="20"/>
                <w:szCs w:val="20"/>
                <w:color w:val="auto"/>
              </w:rPr>
            </w:pPr>
            <w:r>
              <w:rPr>
                <w:rFonts w:ascii="Arial" w:cs="Arial" w:eastAsia="Arial" w:hAnsi="Arial"/>
                <w:sz w:val="16"/>
                <w:szCs w:val="16"/>
                <w:color w:val="auto"/>
              </w:rPr>
              <w:t>Bank-adjusted EBITDA</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120"/>
              <w:spacing w:after="0"/>
              <w:rPr>
                <w:sz w:val="20"/>
                <w:szCs w:val="20"/>
                <w:color w:val="auto"/>
              </w:rPr>
            </w:pPr>
            <w:r>
              <w:rPr>
                <w:rFonts w:ascii="Arial" w:cs="Arial" w:eastAsia="Arial" w:hAnsi="Arial"/>
                <w:sz w:val="16"/>
                <w:szCs w:val="16"/>
                <w:color w:val="auto"/>
              </w:rPr>
              <w:t xml:space="preserve">Net leverage ratio </w:t>
            </w:r>
            <w:r>
              <w:rPr>
                <w:rFonts w:ascii="Arial" w:cs="Arial" w:eastAsia="Arial" w:hAnsi="Arial"/>
                <w:sz w:val="21"/>
                <w:szCs w:val="21"/>
                <w:color w:val="auto"/>
                <w:vertAlign w:val="superscript"/>
              </w:rPr>
              <w:t>(3)</w:t>
            </w: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6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1.9x</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0.5x</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0.6x</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See above for reconciliation of Adjusted EBITDA to net income (loss) attributable to Civeo Corporation.</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45"/>
          <w:szCs w:val="45"/>
          <w:b w:val="1"/>
          <w:bCs w:val="1"/>
          <w:color w:val="006DB6"/>
        </w:rPr>
        <w:t>Appendix B</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Equity Participation Plan</w:t>
      </w:r>
    </w:p>
    <w:p>
      <w:pPr>
        <w:jc w:val="center"/>
        <w:spacing w:after="0" w:line="211" w:lineRule="auto"/>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Civeo 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as of May 12,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Civeo Corporation, a Delaware corporation (“</w:t>
      </w:r>
      <w:r>
        <w:rPr>
          <w:rFonts w:ascii="Arial" w:cs="Arial" w:eastAsia="Arial" w:hAnsi="Arial"/>
          <w:sz w:val="16"/>
          <w:szCs w:val="16"/>
          <w:b w:val="1"/>
          <w:bCs w:val="1"/>
          <w:color w:val="auto"/>
        </w:rPr>
        <w:t>Civeo US</w:t>
      </w:r>
      <w:r>
        <w:rPr>
          <w:rFonts w:ascii="Arial" w:cs="Arial" w:eastAsia="Arial" w:hAnsi="Arial"/>
          <w:sz w:val="16"/>
          <w:szCs w:val="16"/>
          <w:color w:val="auto"/>
        </w:rPr>
        <w:t>”), adopted the 2014 Equity Participation Plan of Civeo Corporation (the “</w:t>
      </w:r>
      <w:r>
        <w:rPr>
          <w:rFonts w:ascii="Arial" w:cs="Arial" w:eastAsia="Arial" w:hAnsi="Arial"/>
          <w:sz w:val="16"/>
          <w:szCs w:val="16"/>
          <w:b w:val="1"/>
          <w:bCs w:val="1"/>
          <w:color w:val="auto"/>
        </w:rPr>
        <w:t>Plan</w:t>
      </w:r>
      <w:r>
        <w:rPr>
          <w:rFonts w:ascii="Arial" w:cs="Arial" w:eastAsia="Arial" w:hAnsi="Arial"/>
          <w:sz w:val="16"/>
          <w:szCs w:val="16"/>
          <w:color w:val="auto"/>
        </w:rPr>
        <w:t>”), effective</w:t>
      </w:r>
    </w:p>
    <w:p>
      <w:pPr>
        <w:spacing w:after="0" w:line="211" w:lineRule="auto"/>
        <w:rPr>
          <w:sz w:val="20"/>
          <w:szCs w:val="20"/>
          <w:color w:val="auto"/>
        </w:rPr>
      </w:pPr>
      <w:r>
        <w:rPr>
          <w:rFonts w:ascii="Arial" w:cs="Arial" w:eastAsia="Arial" w:hAnsi="Arial"/>
          <w:sz w:val="16"/>
          <w:szCs w:val="16"/>
          <w:color w:val="auto"/>
        </w:rPr>
        <w:t>May 30, 2014 (the “</w:t>
      </w:r>
      <w:r>
        <w:rPr>
          <w:rFonts w:ascii="Arial" w:cs="Arial" w:eastAsia="Arial" w:hAnsi="Arial"/>
          <w:sz w:val="16"/>
          <w:szCs w:val="16"/>
          <w:b w:val="1"/>
          <w:bCs w:val="1"/>
          <w:color w:val="auto"/>
        </w:rPr>
        <w:t>Effective Date</w:t>
      </w:r>
      <w:r>
        <w:rPr>
          <w:rFonts w:ascii="Arial" w:cs="Arial" w:eastAsia="Arial" w:hAnsi="Arial"/>
          <w:sz w:val="16"/>
          <w:szCs w:val="16"/>
          <w:color w:val="auto"/>
        </w:rPr>
        <w:t>”). In connection with a corporate reorganization, the Plan was amended and restated on July 17, 2015 to reflect that</w:t>
      </w:r>
    </w:p>
    <w:p>
      <w:pPr>
        <w:spacing w:after="0" w:line="211" w:lineRule="auto"/>
        <w:rPr>
          <w:sz w:val="20"/>
          <w:szCs w:val="20"/>
          <w:color w:val="auto"/>
        </w:rPr>
      </w:pPr>
      <w:r>
        <w:rPr>
          <w:rFonts w:ascii="Arial" w:cs="Arial" w:eastAsia="Arial" w:hAnsi="Arial"/>
          <w:sz w:val="16"/>
          <w:szCs w:val="16"/>
          <w:color w:val="auto"/>
        </w:rPr>
        <w:t>Civeo Corporation, a limited company organized under the laws of British Columbia, Canada, and formerly known as Civeo Canadian Holdings ULC (the</w:t>
      </w:r>
    </w:p>
    <w:p>
      <w:pPr>
        <w:spacing w:after="0" w:line="2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assumed all the responsibilities of Civeo US under the Plan and will make all future grants of Awards under the Plan. The Plan was amended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restated effective May 12, 2016 to make certain design changes and to increase the number of shares reserved under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purposes of the Plan are as follows:</w:t>
      </w:r>
    </w:p>
    <w:p>
      <w:pPr>
        <w:spacing w:after="0" w:line="194" w:lineRule="exact"/>
        <w:rPr>
          <w:sz w:val="20"/>
          <w:szCs w:val="20"/>
          <w:color w:val="auto"/>
        </w:rPr>
      </w:pPr>
    </w:p>
    <w:p>
      <w:pPr>
        <w:ind w:right="260" w:firstLine="656"/>
        <w:spacing w:after="0" w:line="234" w:lineRule="auto"/>
        <w:tabs>
          <w:tab w:leader="none" w:pos="102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63" w:lineRule="exact"/>
        <w:rPr>
          <w:rFonts w:ascii="Arial" w:cs="Arial" w:eastAsia="Arial" w:hAnsi="Arial"/>
          <w:sz w:val="16"/>
          <w:szCs w:val="16"/>
          <w:color w:val="auto"/>
        </w:rPr>
      </w:pPr>
    </w:p>
    <w:p>
      <w:pPr>
        <w:ind w:right="20" w:firstLine="656"/>
        <w:spacing w:after="0" w:line="234" w:lineRule="auto"/>
        <w:tabs>
          <w:tab w:leader="none" w:pos="102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Wherever the following terms are used in the Plan they shall have the meaning specified below, unless the context clearly indicates otherwise.</w:t>
      </w:r>
    </w:p>
    <w:p>
      <w:pPr>
        <w:spacing w:after="0" w:line="194" w:lineRule="exact"/>
        <w:rPr>
          <w:sz w:val="20"/>
          <w:szCs w:val="20"/>
          <w:color w:val="auto"/>
        </w:rPr>
      </w:pPr>
    </w:p>
    <w:p>
      <w:pPr>
        <w:ind w:right="360" w:firstLine="648"/>
        <w:spacing w:after="0" w:line="234" w:lineRule="auto"/>
        <w:rPr>
          <w:sz w:val="20"/>
          <w:szCs w:val="20"/>
          <w:color w:val="auto"/>
        </w:rPr>
      </w:pPr>
      <w:r>
        <w:rPr>
          <w:rFonts w:ascii="Arial" w:cs="Arial" w:eastAsia="Arial" w:hAnsi="Arial"/>
          <w:sz w:val="16"/>
          <w:szCs w:val="16"/>
          <w:color w:val="010000"/>
        </w:rPr>
        <w:t xml:space="preserve">1.1 </w:t>
      </w:r>
      <w:r>
        <w:rPr>
          <w:rFonts w:ascii="Arial" w:cs="Arial" w:eastAsia="Arial" w:hAnsi="Arial"/>
          <w:sz w:val="16"/>
          <w:szCs w:val="16"/>
          <w:color w:val="000000"/>
        </w:rPr>
        <w:t>Affiliate. “</w:t>
      </w:r>
      <w:r>
        <w:rPr>
          <w:rFonts w:ascii="Arial" w:cs="Arial" w:eastAsia="Arial" w:hAnsi="Arial"/>
          <w:sz w:val="16"/>
          <w:szCs w:val="16"/>
          <w:b w:val="1"/>
          <w:bCs w:val="1"/>
          <w:color w:val="000000"/>
        </w:rPr>
        <w:t>Affiliate</w:t>
      </w:r>
      <w:r>
        <w:rPr>
          <w:rFonts w:ascii="Arial" w:cs="Arial" w:eastAsia="Arial" w:hAnsi="Arial"/>
          <w:sz w:val="16"/>
          <w:szCs w:val="16"/>
          <w:color w:val="000000"/>
        </w:rPr>
        <w:t>” shall mean any entity that, directly or through one or more intermediaries, is controlled by the Company or controls the</w:t>
      </w:r>
      <w:r>
        <w:rPr>
          <w:rFonts w:ascii="Arial" w:cs="Arial" w:eastAsia="Arial" w:hAnsi="Arial"/>
          <w:sz w:val="16"/>
          <w:szCs w:val="16"/>
          <w:color w:val="010000"/>
        </w:rPr>
        <w:t xml:space="preserve"> </w:t>
      </w:r>
      <w:r>
        <w:rPr>
          <w:rFonts w:ascii="Arial" w:cs="Arial" w:eastAsia="Arial" w:hAnsi="Arial"/>
          <w:sz w:val="16"/>
          <w:szCs w:val="16"/>
          <w:color w:val="000000"/>
        </w:rPr>
        <w:t>Company as determined by the Committee, provided that, in respect of any Option granted to a Canadian Grantee, an Affiliate shall only include a corporation that deals at non-arm’s length, within the meaning of the ITA, with the Company.</w:t>
      </w:r>
    </w:p>
    <w:p>
      <w:pPr>
        <w:spacing w:after="0" w:line="164" w:lineRule="exact"/>
        <w:rPr>
          <w:sz w:val="20"/>
          <w:szCs w:val="20"/>
          <w:color w:val="auto"/>
        </w:rPr>
      </w:pPr>
    </w:p>
    <w:p>
      <w:pPr>
        <w:ind w:right="500" w:firstLine="648"/>
        <w:spacing w:after="0" w:line="251"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color w:val="000000"/>
        </w:rPr>
        <w:t>Award. “</w:t>
      </w:r>
      <w:r>
        <w:rPr>
          <w:rFonts w:ascii="Arial" w:cs="Arial" w:eastAsia="Arial" w:hAnsi="Arial"/>
          <w:sz w:val="16"/>
          <w:szCs w:val="16"/>
          <w:b w:val="1"/>
          <w:bCs w:val="1"/>
          <w:color w:val="000000"/>
        </w:rPr>
        <w:t>Award</w:t>
      </w:r>
      <w:r>
        <w:rPr>
          <w:rFonts w:ascii="Arial" w:cs="Arial" w:eastAsia="Arial" w:hAnsi="Arial"/>
          <w:sz w:val="16"/>
          <w:szCs w:val="16"/>
          <w:color w:val="000000"/>
        </w:rPr>
        <w:t>” shall mean, as the context requires, any or all of: Deferred Shares, Dividend Equivalents, Options, SARs, Performance</w:t>
      </w:r>
      <w:r>
        <w:rPr>
          <w:rFonts w:ascii="Arial" w:cs="Arial" w:eastAsia="Arial" w:hAnsi="Arial"/>
          <w:sz w:val="16"/>
          <w:szCs w:val="16"/>
          <w:color w:val="010000"/>
        </w:rPr>
        <w:t xml:space="preserve"> </w:t>
      </w:r>
      <w:r>
        <w:rPr>
          <w:rFonts w:ascii="Arial" w:cs="Arial" w:eastAsia="Arial" w:hAnsi="Arial"/>
          <w:sz w:val="16"/>
          <w:szCs w:val="16"/>
          <w:color w:val="000000"/>
        </w:rPr>
        <w:t>Awards, Restricted Shares, or Share Payments.</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1.3</w:t>
      </w:r>
      <w:r>
        <w:rPr>
          <w:rFonts w:ascii="Arial" w:cs="Arial" w:eastAsia="Arial" w:hAnsi="Arial"/>
          <w:sz w:val="16"/>
          <w:szCs w:val="16"/>
          <w:color w:val="auto"/>
        </w:rPr>
        <w:tab/>
        <w:t>Board. “</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of Directors of the Company.</w:t>
      </w:r>
    </w:p>
    <w:p>
      <w:pPr>
        <w:spacing w:after="0" w:line="1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010000"/>
        </w:rPr>
        <w:t xml:space="preserve">1.4 </w:t>
      </w:r>
      <w:r>
        <w:rPr>
          <w:rFonts w:ascii="Arial" w:cs="Arial" w:eastAsia="Arial" w:hAnsi="Arial"/>
          <w:sz w:val="16"/>
          <w:szCs w:val="16"/>
          <w:color w:val="000000"/>
        </w:rPr>
        <w:t>Canadian Grantee. “</w:t>
      </w:r>
      <w:r>
        <w:rPr>
          <w:rFonts w:ascii="Arial" w:cs="Arial" w:eastAsia="Arial" w:hAnsi="Arial"/>
          <w:sz w:val="16"/>
          <w:szCs w:val="16"/>
          <w:b w:val="1"/>
          <w:bCs w:val="1"/>
          <w:color w:val="000000"/>
        </w:rPr>
        <w:t>Canadian Grantee</w:t>
      </w:r>
      <w:r>
        <w:rPr>
          <w:rFonts w:ascii="Arial" w:cs="Arial" w:eastAsia="Arial" w:hAnsi="Arial"/>
          <w:sz w:val="16"/>
          <w:szCs w:val="16"/>
          <w:color w:val="000000"/>
        </w:rPr>
        <w:t>” shall mean a Grantee, Optionee, or Restricted Shareholder, as the case may be, who is a resident of</w:t>
      </w:r>
      <w:r>
        <w:rPr>
          <w:rFonts w:ascii="Arial" w:cs="Arial" w:eastAsia="Arial" w:hAnsi="Arial"/>
          <w:sz w:val="16"/>
          <w:szCs w:val="16"/>
          <w:color w:val="010000"/>
        </w:rPr>
        <w:t xml:space="preserve"> </w:t>
      </w:r>
      <w:r>
        <w:rPr>
          <w:rFonts w:ascii="Arial" w:cs="Arial" w:eastAsia="Arial" w:hAnsi="Arial"/>
          <w:sz w:val="16"/>
          <w:szCs w:val="16"/>
          <w:color w:val="000000"/>
        </w:rPr>
        <w:t>Canada for the purposes of the ITA, or who is granted an Award in respect of services performed in Canada for the Company or any of its Affiliates.</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1.5</w:t>
      </w:r>
      <w:r>
        <w:rPr>
          <w:rFonts w:ascii="Arial" w:cs="Arial" w:eastAsia="Arial" w:hAnsi="Arial"/>
          <w:sz w:val="16"/>
          <w:szCs w:val="16"/>
          <w:color w:val="auto"/>
        </w:rPr>
        <w:tab/>
        <w:t>Change of Control.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of the following:</w:t>
      </w:r>
    </w:p>
    <w:p>
      <w:pPr>
        <w:spacing w:after="0" w:line="194" w:lineRule="exact"/>
        <w:rPr>
          <w:sz w:val="20"/>
          <w:szCs w:val="20"/>
          <w:color w:val="auto"/>
        </w:rPr>
      </w:pPr>
    </w:p>
    <w:p>
      <w:pPr>
        <w:ind w:right="140" w:firstLine="1304"/>
        <w:spacing w:after="0" w:line="221" w:lineRule="auto"/>
        <w:tabs>
          <w:tab w:leader="none" w:pos="1674"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 owned,</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58" w:lineRule="exact"/>
        <w:rPr>
          <w:rFonts w:ascii="Arial" w:cs="Arial" w:eastAsia="Arial" w:hAnsi="Arial"/>
          <w:sz w:val="16"/>
          <w:szCs w:val="16"/>
          <w:color w:val="010000"/>
        </w:rPr>
      </w:pPr>
    </w:p>
    <w:p>
      <w:pPr>
        <w:ind w:left="1680" w:hanging="376"/>
        <w:spacing w:after="0"/>
        <w:tabs>
          <w:tab w:leader="none" w:pos="1680"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a change in the composition of the Board, as a result of which fewer than a majority of the directors are Incumbent Directors.</w:t>
      </w:r>
    </w:p>
    <w:p>
      <w:pPr>
        <w:ind w:right="200"/>
        <w:spacing w:after="0" w:line="2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Directors</w:t>
      </w:r>
      <w:r>
        <w:rPr>
          <w:rFonts w:ascii="Arial" w:cs="Arial" w:eastAsia="Arial" w:hAnsi="Arial"/>
          <w:sz w:val="16"/>
          <w:szCs w:val="16"/>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167" w:lineRule="exact"/>
        <w:rPr>
          <w:sz w:val="20"/>
          <w:szCs w:val="20"/>
          <w:color w:val="auto"/>
        </w:rPr>
      </w:pPr>
    </w:p>
    <w:p>
      <w:pPr>
        <w:ind w:right="120" w:firstLine="1304"/>
        <w:spacing w:after="0" w:line="234" w:lineRule="auto"/>
        <w:tabs>
          <w:tab w:leader="none" w:pos="1665"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55" w:lineRule="exact"/>
        <w:rPr>
          <w:sz w:val="20"/>
          <w:szCs w:val="20"/>
          <w:color w:val="auto"/>
        </w:rPr>
      </w:pPr>
    </w:p>
    <w:p>
      <w:pPr>
        <w:ind w:left="1680" w:hanging="376"/>
        <w:spacing w:after="0"/>
        <w:tabs>
          <w:tab w:leader="none" w:pos="1680"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the shareholders of the Company approve a plan of complete liquidation of the Company; or</w:t>
      </w:r>
    </w:p>
    <w:p>
      <w:pPr>
        <w:spacing w:after="0" w:line="194" w:lineRule="exact"/>
        <w:rPr>
          <w:rFonts w:ascii="Arial" w:cs="Arial" w:eastAsia="Arial" w:hAnsi="Arial"/>
          <w:sz w:val="16"/>
          <w:szCs w:val="16"/>
          <w:color w:val="010000"/>
        </w:rPr>
      </w:pPr>
    </w:p>
    <w:p>
      <w:pPr>
        <w:ind w:right="320" w:firstLine="1304"/>
        <w:spacing w:after="0" w:line="251" w:lineRule="auto"/>
        <w:tabs>
          <w:tab w:leader="none" w:pos="1674"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the sale or disposition (other than a pledge or similar encumbrance) by the Company of all or substantially all of the assets of the Company other than to a subsidiary or subsidiaries of the Company.</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1.6</w:t>
      </w:r>
      <w:r>
        <w:rPr>
          <w:rFonts w:ascii="Arial" w:cs="Arial" w:eastAsia="Arial" w:hAnsi="Arial"/>
          <w:sz w:val="16"/>
          <w:szCs w:val="16"/>
          <w:color w:val="auto"/>
        </w:rPr>
        <w:tab/>
        <w:t>Code. “</w:t>
      </w:r>
      <w:r>
        <w:rPr>
          <w:rFonts w:ascii="Arial" w:cs="Arial" w:eastAsia="Arial" w:hAnsi="Arial"/>
          <w:sz w:val="16"/>
          <w:szCs w:val="16"/>
          <w:b w:val="1"/>
          <w:bCs w:val="1"/>
          <w:color w:val="auto"/>
        </w:rPr>
        <w:t>Code</w:t>
      </w:r>
      <w:r>
        <w:rPr>
          <w:rFonts w:ascii="Arial" w:cs="Arial" w:eastAsia="Arial" w:hAnsi="Arial"/>
          <w:sz w:val="16"/>
          <w:szCs w:val="16"/>
          <w:color w:val="auto"/>
        </w:rPr>
        <w:t>” shall mean the Internal Revenue Code of 1986, as amended.</w:t>
      </w:r>
    </w:p>
    <w:p>
      <w:pPr>
        <w:spacing w:after="0" w:line="19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1.7</w:t>
      </w:r>
      <w:r>
        <w:rPr>
          <w:rFonts w:ascii="Arial" w:cs="Arial" w:eastAsia="Arial" w:hAnsi="Arial"/>
          <w:sz w:val="16"/>
          <w:szCs w:val="16"/>
          <w:color w:val="auto"/>
        </w:rPr>
        <w:tab/>
        <w:t>Committee. “</w:t>
      </w:r>
      <w:r>
        <w:rPr>
          <w:rFonts w:ascii="Arial" w:cs="Arial" w:eastAsia="Arial" w:hAnsi="Arial"/>
          <w:sz w:val="16"/>
          <w:szCs w:val="16"/>
          <w:b w:val="1"/>
          <w:bCs w:val="1"/>
          <w:color w:val="auto"/>
        </w:rPr>
        <w:t>Committee</w:t>
      </w:r>
      <w:r>
        <w:rPr>
          <w:rFonts w:ascii="Arial" w:cs="Arial" w:eastAsia="Arial" w:hAnsi="Arial"/>
          <w:sz w:val="16"/>
          <w:szCs w:val="16"/>
          <w:color w:val="auto"/>
        </w:rPr>
        <w:t>” shall mean the Board or a subcommittee of the Board appointed as provided in Section 8.1.</w:t>
      </w:r>
    </w:p>
    <w:p>
      <w:pPr>
        <w:spacing w:after="0" w:line="19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1.8</w:t>
      </w:r>
      <w:r>
        <w:rPr>
          <w:rFonts w:ascii="Arial" w:cs="Arial" w:eastAsia="Arial" w:hAnsi="Arial"/>
          <w:sz w:val="16"/>
          <w:szCs w:val="16"/>
          <w:color w:val="auto"/>
        </w:rPr>
        <w:tab/>
        <w:t>Common Shares. “</w:t>
      </w:r>
      <w:r>
        <w:rPr>
          <w:rFonts w:ascii="Arial" w:cs="Arial" w:eastAsia="Arial" w:hAnsi="Arial"/>
          <w:sz w:val="16"/>
          <w:szCs w:val="16"/>
          <w:b w:val="1"/>
          <w:bCs w:val="1"/>
          <w:color w:val="auto"/>
        </w:rPr>
        <w:t>Common Shares</w:t>
      </w:r>
      <w:r>
        <w:rPr>
          <w:rFonts w:ascii="Arial" w:cs="Arial" w:eastAsia="Arial" w:hAnsi="Arial"/>
          <w:sz w:val="16"/>
          <w:szCs w:val="16"/>
          <w:color w:val="auto"/>
        </w:rPr>
        <w:t>” shall mean the common shares of the Company.</w:t>
      </w:r>
    </w:p>
    <w:p>
      <w:pPr>
        <w:spacing w:after="0" w:line="194"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010000"/>
        </w:rPr>
        <w:t xml:space="preserve">1.9 </w:t>
      </w:r>
      <w:r>
        <w:rPr>
          <w:rFonts w:ascii="Arial" w:cs="Arial" w:eastAsia="Arial" w:hAnsi="Arial"/>
          <w:sz w:val="16"/>
          <w:szCs w:val="16"/>
          <w:color w:val="000000"/>
        </w:rPr>
        <w:t>Company. “</w:t>
      </w:r>
      <w:r>
        <w:rPr>
          <w:rFonts w:ascii="Arial" w:cs="Arial" w:eastAsia="Arial" w:hAnsi="Arial"/>
          <w:sz w:val="16"/>
          <w:szCs w:val="16"/>
          <w:b w:val="1"/>
          <w:bCs w:val="1"/>
          <w:color w:val="000000"/>
        </w:rPr>
        <w:t>Company</w:t>
      </w:r>
      <w:r>
        <w:rPr>
          <w:rFonts w:ascii="Arial" w:cs="Arial" w:eastAsia="Arial" w:hAnsi="Arial"/>
          <w:sz w:val="16"/>
          <w:szCs w:val="16"/>
          <w:color w:val="000000"/>
        </w:rPr>
        <w:t>” shall mean Civeo Corporation, a limited company organized under the laws of British Columbia, Canada, and formerly</w:t>
      </w:r>
      <w:r>
        <w:rPr>
          <w:rFonts w:ascii="Arial" w:cs="Arial" w:eastAsia="Arial" w:hAnsi="Arial"/>
          <w:sz w:val="16"/>
          <w:szCs w:val="16"/>
          <w:color w:val="010000"/>
        </w:rPr>
        <w:t xml:space="preserve"> </w:t>
      </w:r>
      <w:r>
        <w:rPr>
          <w:rFonts w:ascii="Arial" w:cs="Arial" w:eastAsia="Arial" w:hAnsi="Arial"/>
          <w:sz w:val="16"/>
          <w:szCs w:val="16"/>
          <w:color w:val="000000"/>
        </w:rPr>
        <w:t>known as Civeo Canadian Holdings ULC, formerly an unlimited liability company organized under the laws of British Columbia, Canada.</w:t>
      </w:r>
    </w:p>
    <w:p>
      <w:pPr>
        <w:spacing w:after="0" w:line="155" w:lineRule="exact"/>
        <w:rPr>
          <w:sz w:val="20"/>
          <w:szCs w:val="20"/>
          <w:color w:val="auto"/>
        </w:rPr>
      </w:pPr>
    </w:p>
    <w:p>
      <w:pPr>
        <w:jc w:val="both"/>
        <w:ind w:right="320" w:firstLine="648"/>
        <w:spacing w:after="0" w:line="228" w:lineRule="auto"/>
        <w:rPr>
          <w:sz w:val="20"/>
          <w:szCs w:val="20"/>
          <w:color w:val="auto"/>
        </w:rPr>
      </w:pPr>
      <w:r>
        <w:rPr>
          <w:rFonts w:ascii="Arial" w:cs="Arial" w:eastAsia="Arial" w:hAnsi="Arial"/>
          <w:sz w:val="16"/>
          <w:szCs w:val="16"/>
          <w:color w:val="010000"/>
        </w:rPr>
        <w:t xml:space="preserve">1.10 </w:t>
      </w:r>
      <w:r>
        <w:rPr>
          <w:rFonts w:ascii="Arial" w:cs="Arial" w:eastAsia="Arial" w:hAnsi="Arial"/>
          <w:sz w:val="16"/>
          <w:szCs w:val="16"/>
          <w:color w:val="000000"/>
        </w:rPr>
        <w:t>Deferred Share. “</w:t>
      </w:r>
      <w:r>
        <w:rPr>
          <w:rFonts w:ascii="Arial" w:cs="Arial" w:eastAsia="Arial" w:hAnsi="Arial"/>
          <w:sz w:val="16"/>
          <w:szCs w:val="16"/>
          <w:b w:val="1"/>
          <w:bCs w:val="1"/>
          <w:color w:val="000000"/>
        </w:rPr>
        <w:t>Deferred Share</w:t>
      </w:r>
      <w:r>
        <w:rPr>
          <w:rFonts w:ascii="Arial" w:cs="Arial" w:eastAsia="Arial" w:hAnsi="Arial"/>
          <w:sz w:val="16"/>
          <w:szCs w:val="16"/>
          <w:color w:val="000000"/>
        </w:rPr>
        <w:t>” means a contractual promise to distribute to a Grantee one Common Share or cash equal to the Fair</w:t>
      </w:r>
      <w:r>
        <w:rPr>
          <w:rFonts w:ascii="Arial" w:cs="Arial" w:eastAsia="Arial" w:hAnsi="Arial"/>
          <w:sz w:val="16"/>
          <w:szCs w:val="16"/>
          <w:color w:val="010000"/>
        </w:rPr>
        <w:t xml:space="preserve"> </w:t>
      </w:r>
      <w:r>
        <w:rPr>
          <w:rFonts w:ascii="Arial" w:cs="Arial" w:eastAsia="Arial" w:hAnsi="Arial"/>
          <w:sz w:val="16"/>
          <w:szCs w:val="16"/>
          <w:color w:val="000000"/>
        </w:rPr>
        <w:t>Market Value of one Common Share, which shall be delivered to the Grantee upon satisfaction of the vesting and any other requirements set forth in the related award agreement, as awarded under Article VII of the Plan. For the avoidance of doubt, Deferred Shares may also be referred to as a Restricted Share Units for purposes of this Plan.</w:t>
      </w:r>
    </w:p>
    <w:p>
      <w:pPr>
        <w:spacing w:after="0" w:line="16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color w:val="010000"/>
        </w:rPr>
        <w:t>1.11</w:t>
      </w:r>
      <w:r>
        <w:rPr>
          <w:rFonts w:ascii="Arial" w:cs="Arial" w:eastAsia="Arial" w:hAnsi="Arial"/>
          <w:sz w:val="16"/>
          <w:szCs w:val="16"/>
          <w:color w:val="auto"/>
        </w:rPr>
        <w:tab/>
        <w:t>Director. “</w:t>
      </w:r>
      <w:r>
        <w:rPr>
          <w:rFonts w:ascii="Arial" w:cs="Arial" w:eastAsia="Arial" w:hAnsi="Arial"/>
          <w:sz w:val="16"/>
          <w:szCs w:val="16"/>
          <w:b w:val="1"/>
          <w:bCs w:val="1"/>
          <w:color w:val="auto"/>
        </w:rPr>
        <w:t>Director</w:t>
      </w:r>
      <w:r>
        <w:rPr>
          <w:rFonts w:ascii="Arial" w:cs="Arial" w:eastAsia="Arial" w:hAnsi="Arial"/>
          <w:sz w:val="16"/>
          <w:szCs w:val="16"/>
          <w:color w:val="auto"/>
        </w:rPr>
        <w:t>” shall mean a member of the Board who is not otherwise also an Employee.</w:t>
      </w:r>
    </w:p>
    <w:p>
      <w:pPr>
        <w:spacing w:after="0" w:line="194" w:lineRule="exact"/>
        <w:rPr>
          <w:sz w:val="20"/>
          <w:szCs w:val="20"/>
          <w:color w:val="auto"/>
        </w:rPr>
      </w:pPr>
    </w:p>
    <w:p>
      <w:pPr>
        <w:ind w:right="280" w:firstLine="648"/>
        <w:spacing w:after="0" w:line="251" w:lineRule="auto"/>
        <w:rPr>
          <w:sz w:val="20"/>
          <w:szCs w:val="20"/>
          <w:color w:val="auto"/>
        </w:rPr>
      </w:pPr>
      <w:r>
        <w:rPr>
          <w:rFonts w:ascii="Arial" w:cs="Arial" w:eastAsia="Arial" w:hAnsi="Arial"/>
          <w:sz w:val="16"/>
          <w:szCs w:val="16"/>
          <w:color w:val="010000"/>
        </w:rPr>
        <w:t xml:space="preserve">1.12 </w:t>
      </w:r>
      <w:r>
        <w:rPr>
          <w:rFonts w:ascii="Arial" w:cs="Arial" w:eastAsia="Arial" w:hAnsi="Arial"/>
          <w:sz w:val="16"/>
          <w:szCs w:val="16"/>
          <w:color w:val="000000"/>
        </w:rPr>
        <w:t>Dividend Equivalent. “</w:t>
      </w:r>
      <w:r>
        <w:rPr>
          <w:rFonts w:ascii="Arial" w:cs="Arial" w:eastAsia="Arial" w:hAnsi="Arial"/>
          <w:sz w:val="16"/>
          <w:szCs w:val="16"/>
          <w:b w:val="1"/>
          <w:bCs w:val="1"/>
          <w:color w:val="000000"/>
        </w:rPr>
        <w:t>Dividend Equivalent</w:t>
      </w:r>
      <w:r>
        <w:rPr>
          <w:rFonts w:ascii="Arial" w:cs="Arial" w:eastAsia="Arial" w:hAnsi="Arial"/>
          <w:sz w:val="16"/>
          <w:szCs w:val="16"/>
          <w:color w:val="000000"/>
        </w:rPr>
        <w:t>” shall mean a right to receive the equivalent value (in cash or Common Shares) of dividends</w:t>
      </w:r>
      <w:r>
        <w:rPr>
          <w:rFonts w:ascii="Arial" w:cs="Arial" w:eastAsia="Arial" w:hAnsi="Arial"/>
          <w:sz w:val="16"/>
          <w:szCs w:val="16"/>
          <w:color w:val="010000"/>
        </w:rPr>
        <w:t xml:space="preserve"> </w:t>
      </w:r>
      <w:r>
        <w:rPr>
          <w:rFonts w:ascii="Arial" w:cs="Arial" w:eastAsia="Arial" w:hAnsi="Arial"/>
          <w:sz w:val="16"/>
          <w:szCs w:val="16"/>
          <w:color w:val="000000"/>
        </w:rPr>
        <w:t>paid on Common Shares, awarded under Article VII of the Plan. Dividend Equivalents shall not be permitted on Options or SARs under the Plan.</w:t>
      </w:r>
    </w:p>
    <w:p>
      <w:pPr>
        <w:spacing w:after="0" w:line="155" w:lineRule="exact"/>
        <w:rPr>
          <w:sz w:val="20"/>
          <w:szCs w:val="20"/>
          <w:color w:val="auto"/>
        </w:rPr>
      </w:pPr>
    </w:p>
    <w:p>
      <w:pPr>
        <w:ind w:right="360" w:firstLine="648"/>
        <w:spacing w:after="0" w:line="234" w:lineRule="auto"/>
        <w:rPr>
          <w:sz w:val="20"/>
          <w:szCs w:val="20"/>
          <w:color w:val="auto"/>
        </w:rPr>
      </w:pPr>
      <w:r>
        <w:rPr>
          <w:rFonts w:ascii="Arial" w:cs="Arial" w:eastAsia="Arial" w:hAnsi="Arial"/>
          <w:sz w:val="16"/>
          <w:szCs w:val="16"/>
          <w:color w:val="010000"/>
        </w:rPr>
        <w:t xml:space="preserve">1.13 </w:t>
      </w:r>
      <w:r>
        <w:rPr>
          <w:rFonts w:ascii="Arial" w:cs="Arial" w:eastAsia="Arial" w:hAnsi="Arial"/>
          <w:sz w:val="16"/>
          <w:szCs w:val="16"/>
          <w:color w:val="000000"/>
        </w:rPr>
        <w:t>Employee. “</w:t>
      </w:r>
      <w:r>
        <w:rPr>
          <w:rFonts w:ascii="Arial" w:cs="Arial" w:eastAsia="Arial" w:hAnsi="Arial"/>
          <w:sz w:val="16"/>
          <w:szCs w:val="16"/>
          <w:b w:val="1"/>
          <w:bCs w:val="1"/>
          <w:color w:val="000000"/>
        </w:rPr>
        <w:t>Employee</w:t>
      </w:r>
      <w:r>
        <w:rPr>
          <w:rFonts w:ascii="Arial" w:cs="Arial" w:eastAsia="Arial" w:hAnsi="Arial"/>
          <w:sz w:val="16"/>
          <w:szCs w:val="16"/>
          <w:color w:val="000000"/>
        </w:rPr>
        <w:t>” shall mean any officer or other employee (as defined in accordance with Section 3401(c) of the Code) of the</w:t>
      </w:r>
      <w:r>
        <w:rPr>
          <w:rFonts w:ascii="Arial" w:cs="Arial" w:eastAsia="Arial" w:hAnsi="Arial"/>
          <w:sz w:val="16"/>
          <w:szCs w:val="16"/>
          <w:color w:val="010000"/>
        </w:rPr>
        <w:t xml:space="preserve"> </w:t>
      </w:r>
      <w:r>
        <w:rPr>
          <w:rFonts w:ascii="Arial" w:cs="Arial" w:eastAsia="Arial" w:hAnsi="Arial"/>
          <w:sz w:val="16"/>
          <w:szCs w:val="16"/>
          <w:color w:val="000000"/>
        </w:rPr>
        <w:t>Company or of any Affiliate or Subsidiary, and, for the purposes of a Canadian Grantee, as defined in the definitions of “employee” and “employment” in subsection 248(1) of the ITA.</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1.14</w:t>
      </w:r>
      <w:r>
        <w:rPr>
          <w:rFonts w:ascii="Arial" w:cs="Arial" w:eastAsia="Arial" w:hAnsi="Arial"/>
          <w:sz w:val="16"/>
          <w:szCs w:val="16"/>
          <w:color w:val="auto"/>
        </w:rPr>
        <w:tab/>
        <w:t>Exchange Act. “</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w:t>
      </w:r>
    </w:p>
    <w:p>
      <w:pPr>
        <w:spacing w:after="0" w:line="194" w:lineRule="exact"/>
        <w:rPr>
          <w:sz w:val="20"/>
          <w:szCs w:val="20"/>
          <w:color w:val="auto"/>
        </w:rPr>
      </w:pPr>
    </w:p>
    <w:p>
      <w:pPr>
        <w:ind w:right="120" w:firstLine="648"/>
        <w:spacing w:after="0" w:line="218" w:lineRule="auto"/>
        <w:rPr>
          <w:sz w:val="20"/>
          <w:szCs w:val="20"/>
          <w:color w:val="auto"/>
        </w:rPr>
      </w:pPr>
      <w:r>
        <w:rPr>
          <w:rFonts w:ascii="Arial" w:cs="Arial" w:eastAsia="Arial" w:hAnsi="Arial"/>
          <w:sz w:val="16"/>
          <w:szCs w:val="16"/>
          <w:color w:val="010000"/>
        </w:rPr>
        <w:t xml:space="preserve">1.15 </w:t>
      </w:r>
      <w:r>
        <w:rPr>
          <w:rFonts w:ascii="Arial" w:cs="Arial" w:eastAsia="Arial" w:hAnsi="Arial"/>
          <w:sz w:val="16"/>
          <w:szCs w:val="16"/>
          <w:color w:val="000000"/>
        </w:rPr>
        <w:t>Fair Market Value. “</w:t>
      </w:r>
      <w:r>
        <w:rPr>
          <w:rFonts w:ascii="Arial" w:cs="Arial" w:eastAsia="Arial" w:hAnsi="Arial"/>
          <w:sz w:val="16"/>
          <w:szCs w:val="16"/>
          <w:b w:val="1"/>
          <w:bCs w:val="1"/>
          <w:color w:val="000000"/>
        </w:rPr>
        <w:t>Fair Market Value</w:t>
      </w:r>
      <w:r>
        <w:rPr>
          <w:rFonts w:ascii="Arial" w:cs="Arial" w:eastAsia="Arial" w:hAnsi="Arial"/>
          <w:sz w:val="16"/>
          <w:szCs w:val="16"/>
          <w:color w:val="000000"/>
        </w:rPr>
        <w:t>” of a Common Share as of a given date shall be (i) the closing price of a Common Share on the</w:t>
      </w:r>
      <w:r>
        <w:rPr>
          <w:rFonts w:ascii="Arial" w:cs="Arial" w:eastAsia="Arial" w:hAnsi="Arial"/>
          <w:sz w:val="16"/>
          <w:szCs w:val="16"/>
          <w:color w:val="010000"/>
        </w:rPr>
        <w:t xml:space="preserve"> </w:t>
      </w:r>
      <w:r>
        <w:rPr>
          <w:rFonts w:ascii="Arial" w:cs="Arial" w:eastAsia="Arial" w:hAnsi="Arial"/>
          <w:sz w:val="16"/>
          <w:szCs w:val="16"/>
          <w:color w:val="000000"/>
        </w:rPr>
        <w:t>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w:t>
      </w:r>
    </w:p>
    <w:p>
      <w:pPr>
        <w:spacing w:after="0" w:line="1" w:lineRule="exact"/>
        <w:rPr>
          <w:sz w:val="20"/>
          <w:szCs w:val="20"/>
          <w:color w:val="auto"/>
        </w:rPr>
      </w:pPr>
    </w:p>
    <w:p>
      <w:pPr>
        <w:ind w:right="20" w:firstLine="8"/>
        <w:spacing w:after="0" w:line="220" w:lineRule="auto"/>
        <w:tabs>
          <w:tab w:leader="none" w:pos="2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67" w:lineRule="exact"/>
        <w:rPr>
          <w:sz w:val="20"/>
          <w:szCs w:val="20"/>
          <w:color w:val="auto"/>
        </w:rPr>
      </w:pPr>
    </w:p>
    <w:p>
      <w:pPr>
        <w:ind w:right="400" w:firstLine="648"/>
        <w:spacing w:after="0" w:line="251" w:lineRule="auto"/>
        <w:rPr>
          <w:sz w:val="20"/>
          <w:szCs w:val="20"/>
          <w:color w:val="auto"/>
        </w:rPr>
      </w:pPr>
      <w:r>
        <w:rPr>
          <w:rFonts w:ascii="Arial" w:cs="Arial" w:eastAsia="Arial" w:hAnsi="Arial"/>
          <w:sz w:val="16"/>
          <w:szCs w:val="16"/>
          <w:color w:val="010000"/>
        </w:rPr>
        <w:t xml:space="preserve">1.16 </w:t>
      </w:r>
      <w:r>
        <w:rPr>
          <w:rFonts w:ascii="Arial" w:cs="Arial" w:eastAsia="Arial" w:hAnsi="Arial"/>
          <w:sz w:val="16"/>
          <w:szCs w:val="16"/>
          <w:color w:val="000000"/>
        </w:rPr>
        <w:t>Grantee. “</w:t>
      </w:r>
      <w:r>
        <w:rPr>
          <w:rFonts w:ascii="Arial" w:cs="Arial" w:eastAsia="Arial" w:hAnsi="Arial"/>
          <w:sz w:val="16"/>
          <w:szCs w:val="16"/>
          <w:b w:val="1"/>
          <w:bCs w:val="1"/>
          <w:color w:val="000000"/>
        </w:rPr>
        <w:t>Grantee</w:t>
      </w:r>
      <w:r>
        <w:rPr>
          <w:rFonts w:ascii="Arial" w:cs="Arial" w:eastAsia="Arial" w:hAnsi="Arial"/>
          <w:sz w:val="16"/>
          <w:szCs w:val="16"/>
          <w:color w:val="000000"/>
        </w:rPr>
        <w:t>” shall mean an Employee, Director or consultant granted a Performance Award, Dividend Equivalent, SAR or Share</w:t>
      </w:r>
      <w:r>
        <w:rPr>
          <w:rFonts w:ascii="Arial" w:cs="Arial" w:eastAsia="Arial" w:hAnsi="Arial"/>
          <w:sz w:val="16"/>
          <w:szCs w:val="16"/>
          <w:color w:val="010000"/>
        </w:rPr>
        <w:t xml:space="preserve"> </w:t>
      </w:r>
      <w:r>
        <w:rPr>
          <w:rFonts w:ascii="Arial" w:cs="Arial" w:eastAsia="Arial" w:hAnsi="Arial"/>
          <w:sz w:val="16"/>
          <w:szCs w:val="16"/>
          <w:color w:val="000000"/>
        </w:rPr>
        <w:t>Payment, or an award of Deferred Shares, under the Plan.</w:t>
      </w:r>
    </w:p>
    <w:p>
      <w:pPr>
        <w:spacing w:after="0" w:line="155"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010000"/>
        </w:rPr>
        <w:t xml:space="preserve">1.17 </w:t>
      </w:r>
      <w:r>
        <w:rPr>
          <w:rFonts w:ascii="Arial" w:cs="Arial" w:eastAsia="Arial" w:hAnsi="Arial"/>
          <w:sz w:val="16"/>
          <w:szCs w:val="16"/>
          <w:color w:val="000000"/>
        </w:rPr>
        <w:t>Incentive Option. “</w:t>
      </w:r>
      <w:r>
        <w:rPr>
          <w:rFonts w:ascii="Arial" w:cs="Arial" w:eastAsia="Arial" w:hAnsi="Arial"/>
          <w:sz w:val="16"/>
          <w:szCs w:val="16"/>
          <w:b w:val="1"/>
          <w:bCs w:val="1"/>
          <w:color w:val="000000"/>
        </w:rPr>
        <w:t>Incentive Option</w:t>
      </w:r>
      <w:r>
        <w:rPr>
          <w:rFonts w:ascii="Arial" w:cs="Arial" w:eastAsia="Arial" w:hAnsi="Arial"/>
          <w:sz w:val="16"/>
          <w:szCs w:val="16"/>
          <w:color w:val="000000"/>
        </w:rPr>
        <w:t>” shall mean an Option which is intended to qualify as an “incentive stock option” within the meaning of</w:t>
      </w:r>
      <w:r>
        <w:rPr>
          <w:rFonts w:ascii="Arial" w:cs="Arial" w:eastAsia="Arial" w:hAnsi="Arial"/>
          <w:sz w:val="16"/>
          <w:szCs w:val="16"/>
          <w:color w:val="010000"/>
        </w:rPr>
        <w:t xml:space="preserve"> </w:t>
      </w:r>
      <w:r>
        <w:rPr>
          <w:rFonts w:ascii="Arial" w:cs="Arial" w:eastAsia="Arial" w:hAnsi="Arial"/>
          <w:sz w:val="16"/>
          <w:szCs w:val="16"/>
          <w:color w:val="000000"/>
        </w:rPr>
        <w:t>Section 422 of the Code.</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1.18</w:t>
      </w:r>
      <w:r>
        <w:rPr>
          <w:rFonts w:ascii="Arial" w:cs="Arial" w:eastAsia="Arial" w:hAnsi="Arial"/>
          <w:sz w:val="16"/>
          <w:szCs w:val="16"/>
          <w:color w:val="auto"/>
        </w:rPr>
        <w:tab/>
        <w:t>ITA. “</w:t>
      </w:r>
      <w:r>
        <w:rPr>
          <w:rFonts w:ascii="Arial" w:cs="Arial" w:eastAsia="Arial" w:hAnsi="Arial"/>
          <w:sz w:val="16"/>
          <w:szCs w:val="16"/>
          <w:b w:val="1"/>
          <w:bCs w:val="1"/>
          <w:color w:val="auto"/>
        </w:rPr>
        <w:t>ITA</w:t>
      </w:r>
      <w:r>
        <w:rPr>
          <w:rFonts w:ascii="Arial" w:cs="Arial" w:eastAsia="Arial" w:hAnsi="Arial"/>
          <w:sz w:val="16"/>
          <w:szCs w:val="16"/>
          <w:color w:val="auto"/>
        </w:rPr>
        <w:t xml:space="preserve">” shall mean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and any regulations thereunder, as amended from time to time.</w:t>
      </w:r>
    </w:p>
    <w:p>
      <w:pPr>
        <w:spacing w:after="0" w:line="19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1.19</w:t>
      </w:r>
      <w:r>
        <w:rPr>
          <w:rFonts w:ascii="Arial" w:cs="Arial" w:eastAsia="Arial" w:hAnsi="Arial"/>
          <w:sz w:val="16"/>
          <w:szCs w:val="16"/>
          <w:color w:val="auto"/>
        </w:rPr>
        <w:tab/>
        <w:t>Non-Qualified Option. “</w:t>
      </w:r>
      <w:r>
        <w:rPr>
          <w:rFonts w:ascii="Arial" w:cs="Arial" w:eastAsia="Arial" w:hAnsi="Arial"/>
          <w:sz w:val="16"/>
          <w:szCs w:val="16"/>
          <w:b w:val="1"/>
          <w:bCs w:val="1"/>
          <w:color w:val="auto"/>
        </w:rPr>
        <w:t>Non-Qualified Option</w:t>
      </w:r>
      <w:r>
        <w:rPr>
          <w:rFonts w:ascii="Arial" w:cs="Arial" w:eastAsia="Arial" w:hAnsi="Arial"/>
          <w:sz w:val="16"/>
          <w:szCs w:val="16"/>
          <w:color w:val="auto"/>
        </w:rPr>
        <w:t>” shall mean an Option which is not designated as an Incentive Option by the Committee.</w:t>
      </w:r>
    </w:p>
    <w:p>
      <w:pPr>
        <w:spacing w:after="0" w:line="19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010000"/>
        </w:rPr>
        <w:t xml:space="preserve">1.20 </w:t>
      </w:r>
      <w:r>
        <w:rPr>
          <w:rFonts w:ascii="Arial" w:cs="Arial" w:eastAsia="Arial" w:hAnsi="Arial"/>
          <w:sz w:val="16"/>
          <w:szCs w:val="16"/>
          <w:color w:val="000000"/>
        </w:rPr>
        <w:t>Option. “</w:t>
      </w:r>
      <w:r>
        <w:rPr>
          <w:rFonts w:ascii="Arial" w:cs="Arial" w:eastAsia="Arial" w:hAnsi="Arial"/>
          <w:sz w:val="16"/>
          <w:szCs w:val="16"/>
          <w:b w:val="1"/>
          <w:bCs w:val="1"/>
          <w:color w:val="000000"/>
        </w:rPr>
        <w:t>Option</w:t>
      </w:r>
      <w:r>
        <w:rPr>
          <w:rFonts w:ascii="Arial" w:cs="Arial" w:eastAsia="Arial" w:hAnsi="Arial"/>
          <w:sz w:val="16"/>
          <w:szCs w:val="16"/>
          <w:color w:val="000000"/>
        </w:rPr>
        <w:t>” shall mean a share option granted under Article III of the Plan. An Option granted under the Plan shall, as determined by</w:t>
      </w:r>
      <w:r>
        <w:rPr>
          <w:rFonts w:ascii="Arial" w:cs="Arial" w:eastAsia="Arial" w:hAnsi="Arial"/>
          <w:sz w:val="16"/>
          <w:szCs w:val="16"/>
          <w:color w:val="010000"/>
        </w:rPr>
        <w:t xml:space="preserve"> </w:t>
      </w:r>
      <w:r>
        <w:rPr>
          <w:rFonts w:ascii="Arial" w:cs="Arial" w:eastAsia="Arial" w:hAnsi="Arial"/>
          <w:sz w:val="16"/>
          <w:szCs w:val="16"/>
          <w:color w:val="000000"/>
        </w:rPr>
        <w:t>the Committee, be either a Non-Qualified Option or an Incentive Option; provided, however, that Options granted to Employees, Directors and consultants of an Affiliate that is not a Subsidiary shall be Non-Qualified Options.</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1.21</w:t>
      </w:r>
      <w:r>
        <w:rPr>
          <w:rFonts w:ascii="Arial" w:cs="Arial" w:eastAsia="Arial" w:hAnsi="Arial"/>
          <w:sz w:val="16"/>
          <w:szCs w:val="16"/>
          <w:color w:val="auto"/>
        </w:rPr>
        <w:tab/>
        <w:t>Optionee. “</w:t>
      </w:r>
      <w:r>
        <w:rPr>
          <w:rFonts w:ascii="Arial" w:cs="Arial" w:eastAsia="Arial" w:hAnsi="Arial"/>
          <w:sz w:val="16"/>
          <w:szCs w:val="16"/>
          <w:b w:val="1"/>
          <w:bCs w:val="1"/>
          <w:color w:val="auto"/>
        </w:rPr>
        <w:t>Optionee</w:t>
      </w:r>
      <w:r>
        <w:rPr>
          <w:rFonts w:ascii="Arial" w:cs="Arial" w:eastAsia="Arial" w:hAnsi="Arial"/>
          <w:sz w:val="16"/>
          <w:szCs w:val="16"/>
          <w:color w:val="auto"/>
        </w:rPr>
        <w:t>” shall mean an Employee, Director or consultant granted an Option under the Plan.</w:t>
      </w:r>
    </w:p>
    <w:p>
      <w:pPr>
        <w:spacing w:after="0" w:line="194" w:lineRule="exact"/>
        <w:rPr>
          <w:sz w:val="20"/>
          <w:szCs w:val="20"/>
          <w:color w:val="auto"/>
        </w:rPr>
      </w:pPr>
    </w:p>
    <w:p>
      <w:pPr>
        <w:ind w:right="380" w:firstLine="648"/>
        <w:spacing w:after="0" w:line="251" w:lineRule="auto"/>
        <w:rPr>
          <w:sz w:val="20"/>
          <w:szCs w:val="20"/>
          <w:color w:val="auto"/>
        </w:rPr>
      </w:pPr>
      <w:r>
        <w:rPr>
          <w:rFonts w:ascii="Arial" w:cs="Arial" w:eastAsia="Arial" w:hAnsi="Arial"/>
          <w:sz w:val="16"/>
          <w:szCs w:val="16"/>
          <w:color w:val="010000"/>
        </w:rPr>
        <w:t xml:space="preserve">1.22 </w:t>
      </w:r>
      <w:r>
        <w:rPr>
          <w:rFonts w:ascii="Arial" w:cs="Arial" w:eastAsia="Arial" w:hAnsi="Arial"/>
          <w:sz w:val="16"/>
          <w:szCs w:val="16"/>
          <w:color w:val="000000"/>
        </w:rPr>
        <w:t>Performance Award. “Performance Award” shall mean a performance or incentive award, other than an Option, SAR, Restricted Share,</w:t>
      </w:r>
      <w:r>
        <w:rPr>
          <w:rFonts w:ascii="Arial" w:cs="Arial" w:eastAsia="Arial" w:hAnsi="Arial"/>
          <w:sz w:val="16"/>
          <w:szCs w:val="16"/>
          <w:color w:val="010000"/>
        </w:rPr>
        <w:t xml:space="preserve"> </w:t>
      </w:r>
      <w:r>
        <w:rPr>
          <w:rFonts w:ascii="Arial" w:cs="Arial" w:eastAsia="Arial" w:hAnsi="Arial"/>
          <w:sz w:val="16"/>
          <w:szCs w:val="16"/>
          <w:color w:val="000000"/>
        </w:rPr>
        <w:t>Deferred Share or Share Payments, that is paid in cash, Common Shares or a combination of both, awarded under Article VII of the Plan.</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648"/>
        <w:spacing w:after="0" w:line="217" w:lineRule="auto"/>
        <w:rPr>
          <w:sz w:val="20"/>
          <w:szCs w:val="20"/>
          <w:color w:val="auto"/>
        </w:rPr>
      </w:pPr>
      <w:r>
        <w:rPr>
          <w:rFonts w:ascii="Arial" w:cs="Arial" w:eastAsia="Arial" w:hAnsi="Arial"/>
          <w:sz w:val="16"/>
          <w:szCs w:val="16"/>
          <w:color w:val="010000"/>
        </w:rPr>
        <w:t xml:space="preserve">1.23 </w:t>
      </w:r>
      <w:r>
        <w:rPr>
          <w:rFonts w:ascii="Arial" w:cs="Arial" w:eastAsia="Arial" w:hAnsi="Arial"/>
          <w:sz w:val="16"/>
          <w:szCs w:val="16"/>
          <w:color w:val="000000"/>
        </w:rPr>
        <w:t>Performance Objectives. “Performance Objectives” means the objectives, if any, established by the Committee that are to be achieved with</w:t>
      </w:r>
      <w:r>
        <w:rPr>
          <w:rFonts w:ascii="Arial" w:cs="Arial" w:eastAsia="Arial" w:hAnsi="Arial"/>
          <w:sz w:val="16"/>
          <w:szCs w:val="16"/>
          <w:color w:val="010000"/>
        </w:rPr>
        <w:t xml:space="preserve"> </w:t>
      </w:r>
      <w:r>
        <w:rPr>
          <w:rFonts w:ascii="Arial" w:cs="Arial" w:eastAsia="Arial" w:hAnsi="Arial"/>
          <w:sz w:val="16"/>
          <w:szCs w:val="16"/>
          <w:color w:val="000000"/>
        </w:rPr>
        <w:t>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1.24</w:t>
      </w:r>
      <w:r>
        <w:rPr>
          <w:rFonts w:ascii="Arial" w:cs="Arial" w:eastAsia="Arial" w:hAnsi="Arial"/>
          <w:sz w:val="16"/>
          <w:szCs w:val="16"/>
          <w:color w:val="auto"/>
        </w:rPr>
        <w:tab/>
        <w:t>Plan. “</w:t>
      </w:r>
      <w:r>
        <w:rPr>
          <w:rFonts w:ascii="Arial" w:cs="Arial" w:eastAsia="Arial" w:hAnsi="Arial"/>
          <w:sz w:val="16"/>
          <w:szCs w:val="16"/>
          <w:b w:val="1"/>
          <w:bCs w:val="1"/>
          <w:color w:val="auto"/>
        </w:rPr>
        <w:t>Plan</w:t>
      </w:r>
      <w:r>
        <w:rPr>
          <w:rFonts w:ascii="Arial" w:cs="Arial" w:eastAsia="Arial" w:hAnsi="Arial"/>
          <w:sz w:val="16"/>
          <w:szCs w:val="16"/>
          <w:color w:val="auto"/>
        </w:rPr>
        <w:t>” shall mean the 2014 Equity Participation Plan of Civeo Corporation, as amended and restated as of May 12, 2016.</w:t>
      </w:r>
    </w:p>
    <w:p>
      <w:pPr>
        <w:spacing w:after="0" w:line="194" w:lineRule="exact"/>
        <w:rPr>
          <w:sz w:val="20"/>
          <w:szCs w:val="20"/>
          <w:color w:val="auto"/>
        </w:rPr>
      </w:pPr>
    </w:p>
    <w:p>
      <w:pPr>
        <w:ind w:right="560" w:firstLine="648"/>
        <w:spacing w:after="0" w:line="251" w:lineRule="auto"/>
        <w:rPr>
          <w:sz w:val="20"/>
          <w:szCs w:val="20"/>
          <w:color w:val="auto"/>
        </w:rPr>
      </w:pPr>
      <w:r>
        <w:rPr>
          <w:rFonts w:ascii="Arial" w:cs="Arial" w:eastAsia="Arial" w:hAnsi="Arial"/>
          <w:sz w:val="16"/>
          <w:szCs w:val="16"/>
          <w:color w:val="010000"/>
        </w:rPr>
        <w:t xml:space="preserve">1.25 </w:t>
      </w:r>
      <w:r>
        <w:rPr>
          <w:rFonts w:ascii="Arial" w:cs="Arial" w:eastAsia="Arial" w:hAnsi="Arial"/>
          <w:sz w:val="16"/>
          <w:szCs w:val="16"/>
          <w:color w:val="000000"/>
        </w:rPr>
        <w:t>QDRO. “</w:t>
      </w:r>
      <w:r>
        <w:rPr>
          <w:rFonts w:ascii="Arial" w:cs="Arial" w:eastAsia="Arial" w:hAnsi="Arial"/>
          <w:sz w:val="16"/>
          <w:szCs w:val="16"/>
          <w:b w:val="1"/>
          <w:bCs w:val="1"/>
          <w:color w:val="000000"/>
        </w:rPr>
        <w:t>QDRO</w:t>
      </w:r>
      <w:r>
        <w:rPr>
          <w:rFonts w:ascii="Arial" w:cs="Arial" w:eastAsia="Arial" w:hAnsi="Arial"/>
          <w:sz w:val="16"/>
          <w:szCs w:val="16"/>
          <w:color w:val="000000"/>
        </w:rPr>
        <w:t>” shall mean a qualified domestic relations order as defined by the Code or Title I of the Employee Retirement Income</w:t>
      </w:r>
      <w:r>
        <w:rPr>
          <w:rFonts w:ascii="Arial" w:cs="Arial" w:eastAsia="Arial" w:hAnsi="Arial"/>
          <w:sz w:val="16"/>
          <w:szCs w:val="16"/>
          <w:color w:val="010000"/>
        </w:rPr>
        <w:t xml:space="preserve"> </w:t>
      </w:r>
      <w:r>
        <w:rPr>
          <w:rFonts w:ascii="Arial" w:cs="Arial" w:eastAsia="Arial" w:hAnsi="Arial"/>
          <w:sz w:val="16"/>
          <w:szCs w:val="16"/>
          <w:color w:val="000000"/>
        </w:rPr>
        <w:t>Security Act of 1974, as amended, or the rules thereunder.</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1.26</w:t>
      </w:r>
      <w:r>
        <w:rPr>
          <w:rFonts w:ascii="Arial" w:cs="Arial" w:eastAsia="Arial" w:hAnsi="Arial"/>
          <w:sz w:val="16"/>
          <w:szCs w:val="16"/>
          <w:color w:val="auto"/>
        </w:rPr>
        <w:tab/>
        <w:t>Restricted Share. “</w:t>
      </w:r>
      <w:r>
        <w:rPr>
          <w:rFonts w:ascii="Arial" w:cs="Arial" w:eastAsia="Arial" w:hAnsi="Arial"/>
          <w:sz w:val="16"/>
          <w:szCs w:val="16"/>
          <w:b w:val="1"/>
          <w:bCs w:val="1"/>
          <w:color w:val="auto"/>
        </w:rPr>
        <w:t>Restricted Share</w:t>
      </w:r>
      <w:r>
        <w:rPr>
          <w:rFonts w:ascii="Arial" w:cs="Arial" w:eastAsia="Arial" w:hAnsi="Arial"/>
          <w:sz w:val="16"/>
          <w:szCs w:val="16"/>
          <w:color w:val="auto"/>
        </w:rPr>
        <w:t>” shall mean Common Shares awarded under Article VI of the Plan.</w:t>
      </w:r>
    </w:p>
    <w:p>
      <w:pPr>
        <w:spacing w:after="0" w:line="194"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color w:val="010000"/>
        </w:rPr>
        <w:t xml:space="preserve">1.27 </w:t>
      </w:r>
      <w:r>
        <w:rPr>
          <w:rFonts w:ascii="Arial" w:cs="Arial" w:eastAsia="Arial" w:hAnsi="Arial"/>
          <w:sz w:val="16"/>
          <w:szCs w:val="16"/>
          <w:color w:val="000000"/>
        </w:rPr>
        <w:t>Restricted Shareholder. “</w:t>
      </w:r>
      <w:r>
        <w:rPr>
          <w:rFonts w:ascii="Arial" w:cs="Arial" w:eastAsia="Arial" w:hAnsi="Arial"/>
          <w:sz w:val="16"/>
          <w:szCs w:val="16"/>
          <w:b w:val="1"/>
          <w:bCs w:val="1"/>
          <w:color w:val="000000"/>
        </w:rPr>
        <w:t>Restricted Shareholder</w:t>
      </w:r>
      <w:r>
        <w:rPr>
          <w:rFonts w:ascii="Arial" w:cs="Arial" w:eastAsia="Arial" w:hAnsi="Arial"/>
          <w:sz w:val="16"/>
          <w:szCs w:val="16"/>
          <w:color w:val="000000"/>
        </w:rPr>
        <w:t>” shall mean an Employee, Director or consultant granted an award of Restricted Shares</w:t>
      </w:r>
      <w:r>
        <w:rPr>
          <w:rFonts w:ascii="Arial" w:cs="Arial" w:eastAsia="Arial" w:hAnsi="Arial"/>
          <w:sz w:val="16"/>
          <w:szCs w:val="16"/>
          <w:color w:val="010000"/>
        </w:rPr>
        <w:t xml:space="preserve"> </w:t>
      </w:r>
      <w:r>
        <w:rPr>
          <w:rFonts w:ascii="Arial" w:cs="Arial" w:eastAsia="Arial" w:hAnsi="Arial"/>
          <w:sz w:val="16"/>
          <w:szCs w:val="16"/>
          <w:color w:val="000000"/>
        </w:rPr>
        <w:t>under Article VI of the Plan.</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010000"/>
        </w:rPr>
        <w:t>1.28</w:t>
      </w:r>
      <w:r>
        <w:rPr>
          <w:rFonts w:ascii="Arial" w:cs="Arial" w:eastAsia="Arial" w:hAnsi="Arial"/>
          <w:sz w:val="16"/>
          <w:szCs w:val="16"/>
          <w:color w:val="auto"/>
        </w:rPr>
        <w:tab/>
        <w:t>Rule 16b-3. “</w:t>
      </w:r>
      <w:r>
        <w:rPr>
          <w:rFonts w:ascii="Arial" w:cs="Arial" w:eastAsia="Arial" w:hAnsi="Arial"/>
          <w:sz w:val="16"/>
          <w:szCs w:val="16"/>
          <w:b w:val="1"/>
          <w:bCs w:val="1"/>
          <w:color w:val="auto"/>
        </w:rPr>
        <w:t>Rule 16b-3</w:t>
      </w:r>
      <w:r>
        <w:rPr>
          <w:rFonts w:ascii="Arial" w:cs="Arial" w:eastAsia="Arial" w:hAnsi="Arial"/>
          <w:sz w:val="16"/>
          <w:szCs w:val="16"/>
          <w:color w:val="auto"/>
        </w:rPr>
        <w:t>” shall mean that certain Rule 16b-3 under the Exchange Act, as such Rule may be amended from time to time.</w:t>
      </w:r>
    </w:p>
    <w:p>
      <w:pPr>
        <w:spacing w:after="0" w:line="194" w:lineRule="exact"/>
        <w:rPr>
          <w:sz w:val="20"/>
          <w:szCs w:val="20"/>
          <w:color w:val="auto"/>
        </w:rPr>
      </w:pPr>
    </w:p>
    <w:p>
      <w:pPr>
        <w:ind w:right="360" w:firstLine="648"/>
        <w:spacing w:after="0" w:line="234" w:lineRule="auto"/>
        <w:rPr>
          <w:sz w:val="20"/>
          <w:szCs w:val="20"/>
          <w:color w:val="auto"/>
        </w:rPr>
      </w:pPr>
      <w:r>
        <w:rPr>
          <w:rFonts w:ascii="Arial" w:cs="Arial" w:eastAsia="Arial" w:hAnsi="Arial"/>
          <w:sz w:val="16"/>
          <w:szCs w:val="16"/>
          <w:color w:val="010000"/>
        </w:rPr>
        <w:t xml:space="preserve">1.29 </w:t>
      </w:r>
      <w:r>
        <w:rPr>
          <w:rFonts w:ascii="Arial" w:cs="Arial" w:eastAsia="Arial" w:hAnsi="Arial"/>
          <w:sz w:val="16"/>
          <w:szCs w:val="16"/>
          <w:color w:val="000000"/>
        </w:rPr>
        <w:t>Share Appreciation Right. “</w:t>
      </w:r>
      <w:r>
        <w:rPr>
          <w:rFonts w:ascii="Arial" w:cs="Arial" w:eastAsia="Arial" w:hAnsi="Arial"/>
          <w:sz w:val="16"/>
          <w:szCs w:val="16"/>
          <w:b w:val="1"/>
          <w:bCs w:val="1"/>
          <w:color w:val="000000"/>
        </w:rPr>
        <w:t>Share Appreciation Right</w:t>
      </w:r>
      <w:r>
        <w:rPr>
          <w:rFonts w:ascii="Arial" w:cs="Arial" w:eastAsia="Arial" w:hAnsi="Arial"/>
          <w:sz w:val="16"/>
          <w:szCs w:val="16"/>
          <w:color w:val="000000"/>
        </w:rPr>
        <w:t>” or “</w:t>
      </w:r>
      <w:r>
        <w:rPr>
          <w:rFonts w:ascii="Arial" w:cs="Arial" w:eastAsia="Arial" w:hAnsi="Arial"/>
          <w:sz w:val="16"/>
          <w:szCs w:val="16"/>
          <w:b w:val="1"/>
          <w:bCs w:val="1"/>
          <w:color w:val="000000"/>
        </w:rPr>
        <w:t>SAR</w:t>
      </w:r>
      <w:r>
        <w:rPr>
          <w:rFonts w:ascii="Arial" w:cs="Arial" w:eastAsia="Arial" w:hAnsi="Arial"/>
          <w:sz w:val="16"/>
          <w:szCs w:val="16"/>
          <w:color w:val="000000"/>
        </w:rPr>
        <w:t>” shall mean the right to receive a payment, in cash or Common Shares,</w:t>
      </w:r>
      <w:r>
        <w:rPr>
          <w:rFonts w:ascii="Arial" w:cs="Arial" w:eastAsia="Arial" w:hAnsi="Arial"/>
          <w:sz w:val="16"/>
          <w:szCs w:val="16"/>
          <w:color w:val="010000"/>
        </w:rPr>
        <w:t xml:space="preserve"> </w:t>
      </w:r>
      <w:r>
        <w:rPr>
          <w:rFonts w:ascii="Arial" w:cs="Arial" w:eastAsia="Arial" w:hAnsi="Arial"/>
          <w:sz w:val="16"/>
          <w:szCs w:val="16"/>
          <w:color w:val="000000"/>
        </w:rPr>
        <w:t>equal to the excess of the Fair Market Value or other specified valuation of a number of Common Shares on the date the share appreciation right is exercised over a specific strike price, in each case as determined by the Committee.</w:t>
      </w:r>
    </w:p>
    <w:p>
      <w:pPr>
        <w:spacing w:after="0" w:line="164"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010000"/>
        </w:rPr>
        <w:t xml:space="preserve">1.30 </w:t>
      </w:r>
      <w:r>
        <w:rPr>
          <w:rFonts w:ascii="Arial" w:cs="Arial" w:eastAsia="Arial" w:hAnsi="Arial"/>
          <w:sz w:val="16"/>
          <w:szCs w:val="16"/>
          <w:color w:val="000000"/>
        </w:rPr>
        <w:t>Share Payment. “</w:t>
      </w:r>
      <w:r>
        <w:rPr>
          <w:rFonts w:ascii="Arial" w:cs="Arial" w:eastAsia="Arial" w:hAnsi="Arial"/>
          <w:sz w:val="16"/>
          <w:szCs w:val="16"/>
          <w:b w:val="1"/>
          <w:bCs w:val="1"/>
          <w:color w:val="000000"/>
        </w:rPr>
        <w:t>Share Payment</w:t>
      </w:r>
      <w:r>
        <w:rPr>
          <w:rFonts w:ascii="Arial" w:cs="Arial" w:eastAsia="Arial" w:hAnsi="Arial"/>
          <w:sz w:val="16"/>
          <w:szCs w:val="16"/>
          <w:color w:val="000000"/>
        </w:rPr>
        <w:t>” shall mean (i) a payment in the form of Common Shares, or (ii) an option or other right to purchase</w:t>
      </w:r>
      <w:r>
        <w:rPr>
          <w:rFonts w:ascii="Arial" w:cs="Arial" w:eastAsia="Arial" w:hAnsi="Arial"/>
          <w:sz w:val="16"/>
          <w:szCs w:val="16"/>
          <w:color w:val="010000"/>
        </w:rPr>
        <w:t xml:space="preserve"> </w:t>
      </w:r>
      <w:r>
        <w:rPr>
          <w:rFonts w:ascii="Arial" w:cs="Arial" w:eastAsia="Arial" w:hAnsi="Arial"/>
          <w:sz w:val="16"/>
          <w:szCs w:val="16"/>
          <w:color w:val="000000"/>
        </w:rPr>
        <w:t>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64"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010000"/>
        </w:rPr>
        <w:t xml:space="preserve">1.31 </w:t>
      </w:r>
      <w:r>
        <w:rPr>
          <w:rFonts w:ascii="Arial" w:cs="Arial" w:eastAsia="Arial" w:hAnsi="Arial"/>
          <w:sz w:val="16"/>
          <w:szCs w:val="16"/>
          <w:color w:val="000000"/>
        </w:rPr>
        <w:t>Subsidiary. “</w:t>
      </w:r>
      <w:r>
        <w:rPr>
          <w:rFonts w:ascii="Arial" w:cs="Arial" w:eastAsia="Arial" w:hAnsi="Arial"/>
          <w:sz w:val="16"/>
          <w:szCs w:val="16"/>
          <w:b w:val="1"/>
          <w:bCs w:val="1"/>
          <w:color w:val="000000"/>
        </w:rPr>
        <w:t>Subsidiary</w:t>
      </w:r>
      <w:r>
        <w:rPr>
          <w:rFonts w:ascii="Arial" w:cs="Arial" w:eastAsia="Arial" w:hAnsi="Arial"/>
          <w:sz w:val="16"/>
          <w:szCs w:val="16"/>
          <w:color w:val="000000"/>
        </w:rPr>
        <w:t>” shall mean any corporation in an unbroken chain of corporations beginning with the Company if each of the</w:t>
      </w:r>
      <w:r>
        <w:rPr>
          <w:rFonts w:ascii="Arial" w:cs="Arial" w:eastAsia="Arial" w:hAnsi="Arial"/>
          <w:sz w:val="16"/>
          <w:szCs w:val="16"/>
          <w:color w:val="010000"/>
        </w:rPr>
        <w:t xml:space="preserve"> </w:t>
      </w:r>
      <w:r>
        <w:rPr>
          <w:rFonts w:ascii="Arial" w:cs="Arial" w:eastAsia="Arial" w:hAnsi="Arial"/>
          <w:sz w:val="16"/>
          <w:szCs w:val="16"/>
          <w:color w:val="000000"/>
        </w:rPr>
        <w:t>corporations other than the last corporation in the unbroken chain then owns shares possessing 50 percent or more of the total combined voting power of all classes of shares in one of the other corporations in such chain.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SUBJECT TO PLAN</w:t>
      </w:r>
    </w:p>
    <w:p>
      <w:pPr>
        <w:spacing w:after="0" w:line="19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2.1</w:t>
      </w:r>
      <w:r>
        <w:rPr>
          <w:rFonts w:ascii="Arial" w:cs="Arial" w:eastAsia="Arial" w:hAnsi="Arial"/>
          <w:sz w:val="16"/>
          <w:szCs w:val="16"/>
          <w:color w:val="auto"/>
        </w:rPr>
        <w:tab/>
        <w:t>Shares Subject to Plan.</w:t>
      </w:r>
    </w:p>
    <w:p>
      <w:pPr>
        <w:spacing w:after="0" w:line="194" w:lineRule="exact"/>
        <w:rPr>
          <w:sz w:val="20"/>
          <w:szCs w:val="20"/>
          <w:color w:val="auto"/>
        </w:rPr>
      </w:pPr>
    </w:p>
    <w:p>
      <w:pPr>
        <w:ind w:right="120" w:firstLine="1304"/>
        <w:spacing w:after="0" w:line="228" w:lineRule="auto"/>
        <w:tabs>
          <w:tab w:leader="none" w:pos="1674"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164" w:lineRule="exact"/>
        <w:rPr>
          <w:rFonts w:ascii="Arial" w:cs="Arial" w:eastAsia="Arial" w:hAnsi="Arial"/>
          <w:sz w:val="16"/>
          <w:szCs w:val="16"/>
          <w:color w:val="010000"/>
        </w:rPr>
      </w:pPr>
    </w:p>
    <w:p>
      <w:pPr>
        <w:ind w:firstLine="1304"/>
        <w:spacing w:after="0" w:line="222" w:lineRule="auto"/>
        <w:tabs>
          <w:tab w:leader="none" w:pos="1674"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167" w:lineRule="exact"/>
        <w:rPr>
          <w:sz w:val="20"/>
          <w:szCs w:val="20"/>
          <w:color w:val="auto"/>
        </w:rPr>
      </w:pPr>
    </w:p>
    <w:p>
      <w:pPr>
        <w:ind w:right="20" w:firstLine="648"/>
        <w:spacing w:after="0" w:line="218"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color w:val="000000"/>
        </w:rPr>
        <w:t>Add-back Restricted Share Performance Awards, Dividend Equivalents, Awards of Deferred Shares or Share Payments. If any Restricted</w:t>
      </w:r>
      <w:r>
        <w:rPr>
          <w:rFonts w:ascii="Arial" w:cs="Arial" w:eastAsia="Arial" w:hAnsi="Arial"/>
          <w:sz w:val="16"/>
          <w:szCs w:val="16"/>
          <w:color w:val="010000"/>
        </w:rPr>
        <w:t xml:space="preserve"> </w:t>
      </w:r>
      <w:r>
        <w:rPr>
          <w:rFonts w:ascii="Arial" w:cs="Arial" w:eastAsia="Arial" w:hAnsi="Arial"/>
          <w:sz w:val="16"/>
          <w:szCs w:val="16"/>
          <w:color w:val="000000"/>
        </w:rPr>
        <w:t>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40"/>
        <w:spacing w:after="0" w:line="251" w:lineRule="auto"/>
        <w:rPr>
          <w:sz w:val="20"/>
          <w:szCs w:val="20"/>
          <w:color w:val="auto"/>
        </w:rPr>
      </w:pPr>
      <w:r>
        <w:rPr>
          <w:rFonts w:ascii="Arial" w:cs="Arial" w:eastAsia="Arial" w:hAnsi="Arial"/>
          <w:sz w:val="16"/>
          <w:szCs w:val="16"/>
          <w:color w:val="auto"/>
        </w:rPr>
        <w:t>price of an Option or (e) reserved for issuance upon grant of an SAR, to the extent the number of reserved Common Shares exceeds the number of Common Shares actually issued upon exercise or settlement of such SAR.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3</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GRANTING OF OPTIONS AND SHARE APPRECIATION RIGHTS</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3.1</w:t>
      </w:r>
      <w:r>
        <w:rPr>
          <w:rFonts w:ascii="Arial" w:cs="Arial" w:eastAsia="Arial" w:hAnsi="Arial"/>
          <w:sz w:val="16"/>
          <w:szCs w:val="16"/>
          <w:color w:val="auto"/>
        </w:rPr>
        <w:tab/>
        <w:t>Eligibility. Any Employee, Director or consultant selected by the Committee pursuant to Section 3.4(a)(i) shall be eligible to be granted an</w:t>
      </w:r>
    </w:p>
    <w:p>
      <w:pPr>
        <w:spacing w:after="0"/>
        <w:rPr>
          <w:sz w:val="20"/>
          <w:szCs w:val="20"/>
          <w:color w:val="auto"/>
        </w:rPr>
      </w:pPr>
      <w:r>
        <w:rPr>
          <w:rFonts w:ascii="Arial" w:cs="Arial" w:eastAsia="Arial" w:hAnsi="Arial"/>
          <w:sz w:val="16"/>
          <w:szCs w:val="16"/>
          <w:color w:val="auto"/>
        </w:rPr>
        <w:t>Option.</w:t>
      </w:r>
    </w:p>
    <w:p>
      <w:pPr>
        <w:spacing w:after="0" w:line="178" w:lineRule="exact"/>
        <w:rPr>
          <w:sz w:val="20"/>
          <w:szCs w:val="20"/>
          <w:color w:val="auto"/>
        </w:rPr>
      </w:pPr>
    </w:p>
    <w:p>
      <w:pPr>
        <w:jc w:val="both"/>
        <w:ind w:right="120" w:firstLine="648"/>
        <w:spacing w:after="0" w:line="234" w:lineRule="auto"/>
        <w:rPr>
          <w:sz w:val="20"/>
          <w:szCs w:val="20"/>
          <w:color w:val="auto"/>
        </w:rPr>
      </w:pPr>
      <w:r>
        <w:rPr>
          <w:rFonts w:ascii="Arial" w:cs="Arial" w:eastAsia="Arial" w:hAnsi="Arial"/>
          <w:sz w:val="16"/>
          <w:szCs w:val="16"/>
          <w:color w:val="010000"/>
        </w:rPr>
        <w:t xml:space="preserve">3.2 </w:t>
      </w:r>
      <w:r>
        <w:rPr>
          <w:rFonts w:ascii="Arial" w:cs="Arial" w:eastAsia="Arial" w:hAnsi="Arial"/>
          <w:sz w:val="16"/>
          <w:szCs w:val="16"/>
          <w:color w:val="000000"/>
        </w:rPr>
        <w:t>Disqualification for Share Ownership. No person may be granted an Incentive Option under the Plan if such person, at the time the Incentive</w:t>
      </w:r>
      <w:r>
        <w:rPr>
          <w:rFonts w:ascii="Arial" w:cs="Arial" w:eastAsia="Arial" w:hAnsi="Arial"/>
          <w:sz w:val="16"/>
          <w:szCs w:val="16"/>
          <w:color w:val="010000"/>
        </w:rPr>
        <w:t xml:space="preserve"> </w:t>
      </w:r>
      <w:r>
        <w:rPr>
          <w:rFonts w:ascii="Arial" w:cs="Arial" w:eastAsia="Arial" w:hAnsi="Arial"/>
          <w:sz w:val="16"/>
          <w:szCs w:val="16"/>
          <w:color w:val="000000"/>
        </w:rPr>
        <w:t>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164" w:lineRule="exact"/>
        <w:rPr>
          <w:sz w:val="20"/>
          <w:szCs w:val="20"/>
          <w:color w:val="auto"/>
        </w:rPr>
      </w:pPr>
    </w:p>
    <w:p>
      <w:pPr>
        <w:ind w:right="300" w:firstLine="648"/>
        <w:spacing w:after="0" w:line="251"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color w:val="000000"/>
        </w:rPr>
        <w:t>Qualification of Incentive Options. No Incentive Option shall be granted unless such Option, when granted, qualifies as an “incentive stock</w:t>
      </w:r>
      <w:r>
        <w:rPr>
          <w:rFonts w:ascii="Arial" w:cs="Arial" w:eastAsia="Arial" w:hAnsi="Arial"/>
          <w:sz w:val="16"/>
          <w:szCs w:val="16"/>
          <w:color w:val="010000"/>
        </w:rPr>
        <w:t xml:space="preserve"> </w:t>
      </w:r>
      <w:r>
        <w:rPr>
          <w:rFonts w:ascii="Arial" w:cs="Arial" w:eastAsia="Arial" w:hAnsi="Arial"/>
          <w:sz w:val="16"/>
          <w:szCs w:val="16"/>
          <w:color w:val="000000"/>
        </w:rPr>
        <w:t>option” under Section 422 of the Code. No Incentive Option shall be granted to any person who is not an employee of the Company or a Subsidiary.</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3.4</w:t>
      </w:r>
      <w:r>
        <w:rPr>
          <w:rFonts w:ascii="Arial" w:cs="Arial" w:eastAsia="Arial" w:hAnsi="Arial"/>
          <w:sz w:val="16"/>
          <w:szCs w:val="16"/>
          <w:color w:val="auto"/>
        </w:rPr>
        <w:tab/>
        <w:t>Granting of Options.</w:t>
      </w:r>
    </w:p>
    <w:p>
      <w:pPr>
        <w:spacing w:after="0" w:line="194" w:lineRule="exact"/>
        <w:rPr>
          <w:sz w:val="20"/>
          <w:szCs w:val="20"/>
          <w:color w:val="auto"/>
        </w:rPr>
      </w:pPr>
    </w:p>
    <w:p>
      <w:pPr>
        <w:ind w:left="1680" w:hanging="376"/>
        <w:spacing w:after="0"/>
        <w:tabs>
          <w:tab w:leader="none" w:pos="1680"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The Committee shall from time to time, in its absolute discretion, and subject to applicable limitations of the Plan:</w:t>
      </w:r>
    </w:p>
    <w:p>
      <w:pPr>
        <w:spacing w:after="0" w:line="194" w:lineRule="exact"/>
        <w:rPr>
          <w:rFonts w:ascii="Arial" w:cs="Arial" w:eastAsia="Arial" w:hAnsi="Arial"/>
          <w:sz w:val="16"/>
          <w:szCs w:val="16"/>
          <w:color w:val="010000"/>
        </w:rPr>
      </w:pPr>
    </w:p>
    <w:p>
      <w:pPr>
        <w:ind w:left="660" w:right="560" w:firstLine="1292"/>
        <w:spacing w:after="0" w:line="251" w:lineRule="auto"/>
        <w:tabs>
          <w:tab w:leader="none" w:pos="2280" w:val="left"/>
        </w:tabs>
        <w:numPr>
          <w:ilvl w:val="1"/>
          <w:numId w:val="95"/>
        </w:numPr>
        <w:rPr>
          <w:rFonts w:ascii="Arial" w:cs="Arial" w:eastAsia="Arial" w:hAnsi="Arial"/>
          <w:sz w:val="16"/>
          <w:szCs w:val="16"/>
          <w:color w:val="010000"/>
        </w:rPr>
      </w:pPr>
      <w:r>
        <w:rPr>
          <w:rFonts w:ascii="Arial" w:cs="Arial" w:eastAsia="Arial" w:hAnsi="Arial"/>
          <w:sz w:val="16"/>
          <w:szCs w:val="16"/>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55" w:lineRule="exact"/>
        <w:rPr>
          <w:rFonts w:ascii="Arial" w:cs="Arial" w:eastAsia="Arial" w:hAnsi="Arial"/>
          <w:sz w:val="16"/>
          <w:szCs w:val="16"/>
          <w:color w:val="010000"/>
        </w:rPr>
      </w:pPr>
    </w:p>
    <w:p>
      <w:pPr>
        <w:ind w:left="660" w:right="660" w:firstLine="1292"/>
        <w:spacing w:after="0" w:line="251" w:lineRule="auto"/>
        <w:tabs>
          <w:tab w:leader="none" w:pos="2316" w:val="left"/>
        </w:tabs>
        <w:numPr>
          <w:ilvl w:val="1"/>
          <w:numId w:val="95"/>
        </w:numPr>
        <w:rPr>
          <w:rFonts w:ascii="Arial" w:cs="Arial" w:eastAsia="Arial" w:hAnsi="Arial"/>
          <w:sz w:val="16"/>
          <w:szCs w:val="16"/>
          <w:color w:val="010000"/>
        </w:rPr>
      </w:pPr>
      <w:r>
        <w:rPr>
          <w:rFonts w:ascii="Arial" w:cs="Arial" w:eastAsia="Arial" w:hAnsi="Arial"/>
          <w:sz w:val="16"/>
          <w:szCs w:val="16"/>
          <w:color w:val="auto"/>
        </w:rPr>
        <w:t>Subject to the Section 2.1(b), determine the number of shares to be subject to such Options granted to the selected Employees, Directors or consultants;</w:t>
      </w:r>
    </w:p>
    <w:p>
      <w:pPr>
        <w:spacing w:after="0" w:line="155" w:lineRule="exact"/>
        <w:rPr>
          <w:rFonts w:ascii="Arial" w:cs="Arial" w:eastAsia="Arial" w:hAnsi="Arial"/>
          <w:sz w:val="16"/>
          <w:szCs w:val="16"/>
          <w:color w:val="010000"/>
        </w:rPr>
      </w:pPr>
    </w:p>
    <w:p>
      <w:pPr>
        <w:ind w:left="2340" w:hanging="388"/>
        <w:spacing w:after="0"/>
        <w:tabs>
          <w:tab w:leader="none" w:pos="2340" w:val="left"/>
        </w:tabs>
        <w:numPr>
          <w:ilvl w:val="1"/>
          <w:numId w:val="95"/>
        </w:numPr>
        <w:rPr>
          <w:rFonts w:ascii="Arial" w:cs="Arial" w:eastAsia="Arial" w:hAnsi="Arial"/>
          <w:sz w:val="16"/>
          <w:szCs w:val="16"/>
          <w:color w:val="010000"/>
        </w:rPr>
      </w:pPr>
      <w:r>
        <w:rPr>
          <w:rFonts w:ascii="Arial" w:cs="Arial" w:eastAsia="Arial" w:hAnsi="Arial"/>
          <w:sz w:val="16"/>
          <w:szCs w:val="16"/>
          <w:color w:val="auto"/>
        </w:rPr>
        <w:t>Determine whether such Options are to be Incentive Options or Non-Qualified Options; and</w:t>
      </w:r>
    </w:p>
    <w:p>
      <w:pPr>
        <w:spacing w:after="0" w:line="194" w:lineRule="exact"/>
        <w:rPr>
          <w:rFonts w:ascii="Arial" w:cs="Arial" w:eastAsia="Arial" w:hAnsi="Arial"/>
          <w:sz w:val="16"/>
          <w:szCs w:val="16"/>
          <w:color w:val="010000"/>
        </w:rPr>
      </w:pPr>
    </w:p>
    <w:p>
      <w:pPr>
        <w:ind w:left="2360" w:hanging="408"/>
        <w:spacing w:after="0"/>
        <w:tabs>
          <w:tab w:leader="none" w:pos="2360" w:val="left"/>
        </w:tabs>
        <w:numPr>
          <w:ilvl w:val="1"/>
          <w:numId w:val="95"/>
        </w:numPr>
        <w:rPr>
          <w:rFonts w:ascii="Arial" w:cs="Arial" w:eastAsia="Arial" w:hAnsi="Arial"/>
          <w:sz w:val="16"/>
          <w:szCs w:val="16"/>
          <w:color w:val="010000"/>
        </w:rPr>
      </w:pPr>
      <w:r>
        <w:rPr>
          <w:rFonts w:ascii="Arial" w:cs="Arial" w:eastAsia="Arial" w:hAnsi="Arial"/>
          <w:sz w:val="16"/>
          <w:szCs w:val="16"/>
          <w:color w:val="auto"/>
        </w:rPr>
        <w:t>Determine the terms and conditions of such Options, consistent with the Plan.</w:t>
      </w:r>
    </w:p>
    <w:p>
      <w:pPr>
        <w:spacing w:after="0" w:line="194" w:lineRule="exact"/>
        <w:rPr>
          <w:rFonts w:ascii="Arial" w:cs="Arial" w:eastAsia="Arial" w:hAnsi="Arial"/>
          <w:sz w:val="16"/>
          <w:szCs w:val="16"/>
          <w:color w:val="010000"/>
        </w:rPr>
      </w:pPr>
    </w:p>
    <w:p>
      <w:pPr>
        <w:ind w:right="100" w:firstLine="1304"/>
        <w:spacing w:after="0" w:line="251" w:lineRule="auto"/>
        <w:tabs>
          <w:tab w:leader="none" w:pos="1674"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55" w:lineRule="exact"/>
        <w:rPr>
          <w:rFonts w:ascii="Arial" w:cs="Arial" w:eastAsia="Arial" w:hAnsi="Arial"/>
          <w:sz w:val="16"/>
          <w:szCs w:val="16"/>
          <w:color w:val="010000"/>
        </w:rPr>
      </w:pPr>
    </w:p>
    <w:p>
      <w:pPr>
        <w:ind w:right="500" w:firstLine="1304"/>
        <w:spacing w:after="0" w:line="251" w:lineRule="auto"/>
        <w:tabs>
          <w:tab w:leader="none" w:pos="1665"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Any Incentive Option granted under the Plan may be modified by the Committee to disqualify such option from treatment as an “incentive stock option” under Section 422 of the Code.</w:t>
      </w:r>
    </w:p>
    <w:p>
      <w:pPr>
        <w:spacing w:after="0" w:line="155" w:lineRule="exact"/>
        <w:rPr>
          <w:rFonts w:ascii="Arial" w:cs="Arial" w:eastAsia="Arial" w:hAnsi="Arial"/>
          <w:sz w:val="16"/>
          <w:szCs w:val="16"/>
          <w:color w:val="010000"/>
        </w:rPr>
      </w:pPr>
    </w:p>
    <w:p>
      <w:pPr>
        <w:ind w:right="580" w:firstLine="1304"/>
        <w:spacing w:after="0" w:line="251" w:lineRule="auto"/>
        <w:tabs>
          <w:tab w:leader="none" w:pos="1674"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Any Option granted to a Canadian Grantee who is an Employee shall have such terms and conditions as are necessary to be governed by section 7 of the ITA.</w:t>
      </w:r>
    </w:p>
    <w:p>
      <w:pPr>
        <w:spacing w:after="0" w:line="155" w:lineRule="exact"/>
        <w:rPr>
          <w:sz w:val="20"/>
          <w:szCs w:val="20"/>
          <w:color w:val="auto"/>
        </w:rPr>
      </w:pPr>
    </w:p>
    <w:p>
      <w:pPr>
        <w:ind w:firstLine="648"/>
        <w:spacing w:after="0" w:line="225" w:lineRule="auto"/>
        <w:rPr>
          <w:sz w:val="20"/>
          <w:szCs w:val="20"/>
          <w:color w:val="auto"/>
        </w:rPr>
      </w:pPr>
      <w:r>
        <w:rPr>
          <w:rFonts w:ascii="Arial" w:cs="Arial" w:eastAsia="Arial" w:hAnsi="Arial"/>
          <w:sz w:val="16"/>
          <w:szCs w:val="16"/>
          <w:color w:val="010000"/>
        </w:rPr>
        <w:t xml:space="preserve">3.5 </w:t>
      </w:r>
      <w:r>
        <w:rPr>
          <w:rFonts w:ascii="Arial" w:cs="Arial" w:eastAsia="Arial" w:hAnsi="Arial"/>
          <w:sz w:val="16"/>
          <w:szCs w:val="16"/>
          <w:color w:val="000000"/>
        </w:rPr>
        <w:t>Share Appreciation Rights. Any Employee, Director or consultant selected by the Committee may be granted SARs. The holder of a tandem</w:t>
      </w:r>
      <w:r>
        <w:rPr>
          <w:rFonts w:ascii="Arial" w:cs="Arial" w:eastAsia="Arial" w:hAnsi="Arial"/>
          <w:sz w:val="16"/>
          <w:szCs w:val="16"/>
          <w:color w:val="010000"/>
        </w:rPr>
        <w:t xml:space="preserve"> </w:t>
      </w:r>
      <w:r>
        <w:rPr>
          <w:rFonts w:ascii="Arial" w:cs="Arial" w:eastAsia="Arial" w:hAnsi="Arial"/>
          <w:sz w:val="16"/>
          <w:szCs w:val="16"/>
          <w:color w:val="000000"/>
        </w:rPr>
        <w:t>SAR may elect to exercise either the option or the SAR, but not both. The exercise period for an SAR shall extend no more than 10 years after the date of grant. SARs may not include provisions that “reload” the SAR upon exercise. Subject to the foregoing 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64"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010000"/>
        </w:rPr>
        <w:t xml:space="preserve">3.6 </w:t>
      </w:r>
      <w:r>
        <w:rPr>
          <w:rFonts w:ascii="Arial" w:cs="Arial" w:eastAsia="Arial" w:hAnsi="Arial"/>
          <w:sz w:val="16"/>
          <w:szCs w:val="16"/>
          <w:color w:val="000000"/>
        </w:rPr>
        <w:t>Minimum Vesting. Subject to Section 9.3 hereof, other than in the event of an earlier death, disability or termination without cause, all Awards</w:t>
      </w:r>
      <w:r>
        <w:rPr>
          <w:rFonts w:ascii="Arial" w:cs="Arial" w:eastAsia="Arial" w:hAnsi="Arial"/>
          <w:sz w:val="16"/>
          <w:szCs w:val="16"/>
          <w:color w:val="010000"/>
        </w:rPr>
        <w:t xml:space="preserve"> </w:t>
      </w:r>
      <w:r>
        <w:rPr>
          <w:rFonts w:ascii="Arial" w:cs="Arial" w:eastAsia="Arial" w:hAnsi="Arial"/>
          <w:sz w:val="16"/>
          <w:szCs w:val="16"/>
          <w:color w:val="000000"/>
        </w:rPr>
        <w:t>of SARs or Options shall have a minimum vesting period of one year from the date of its grant.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TERMS OF OPTIONS</w:t>
      </w:r>
    </w:p>
    <w:p>
      <w:pPr>
        <w:spacing w:after="0" w:line="194" w:lineRule="exact"/>
        <w:rPr>
          <w:sz w:val="20"/>
          <w:szCs w:val="20"/>
          <w:color w:val="auto"/>
        </w:rPr>
      </w:pPr>
    </w:p>
    <w:p>
      <w:pPr>
        <w:ind w:right="340" w:firstLine="648"/>
        <w:spacing w:after="0" w:line="251" w:lineRule="auto"/>
        <w:rPr>
          <w:sz w:val="20"/>
          <w:szCs w:val="20"/>
          <w:color w:val="auto"/>
        </w:rPr>
      </w:pPr>
      <w:r>
        <w:rPr>
          <w:rFonts w:ascii="Arial" w:cs="Arial" w:eastAsia="Arial" w:hAnsi="Arial"/>
          <w:sz w:val="16"/>
          <w:szCs w:val="16"/>
          <w:color w:val="010000"/>
        </w:rPr>
        <w:t xml:space="preserve">4.1 </w:t>
      </w:r>
      <w:r>
        <w:rPr>
          <w:rFonts w:ascii="Arial" w:cs="Arial" w:eastAsia="Arial" w:hAnsi="Arial"/>
          <w:sz w:val="16"/>
          <w:szCs w:val="16"/>
          <w:color w:val="000000"/>
        </w:rPr>
        <w:t>Option Agreement. Each Option shall be evidenced by an Option Agreement, which shall be executed by the Optionee and an authorized</w:t>
      </w:r>
      <w:r>
        <w:rPr>
          <w:rFonts w:ascii="Arial" w:cs="Arial" w:eastAsia="Arial" w:hAnsi="Arial"/>
          <w:sz w:val="16"/>
          <w:szCs w:val="16"/>
          <w:color w:val="010000"/>
        </w:rPr>
        <w:t xml:space="preserve"> </w:t>
      </w:r>
      <w:r>
        <w:rPr>
          <w:rFonts w:ascii="Arial" w:cs="Arial" w:eastAsia="Arial" w:hAnsi="Arial"/>
          <w:sz w:val="16"/>
          <w:szCs w:val="16"/>
          <w:color w:val="000000"/>
        </w:rPr>
        <w:t>officer of the Company and which shall contain such terms and conditions as the Committee shall determine, consistent with the Plan.</w:t>
      </w:r>
    </w:p>
    <w:p>
      <w:pPr>
        <w:spacing w:after="0" w:line="155" w:lineRule="exact"/>
        <w:rPr>
          <w:sz w:val="20"/>
          <w:szCs w:val="20"/>
          <w:color w:val="auto"/>
        </w:rPr>
      </w:pPr>
    </w:p>
    <w:p>
      <w:pPr>
        <w:ind w:right="240" w:firstLine="648"/>
        <w:spacing w:after="0" w:line="234" w:lineRule="auto"/>
        <w:rPr>
          <w:sz w:val="20"/>
          <w:szCs w:val="20"/>
          <w:color w:val="auto"/>
        </w:rPr>
      </w:pPr>
      <w:r>
        <w:rPr>
          <w:rFonts w:ascii="Arial" w:cs="Arial" w:eastAsia="Arial" w:hAnsi="Arial"/>
          <w:sz w:val="16"/>
          <w:szCs w:val="16"/>
          <w:color w:val="010000"/>
        </w:rPr>
        <w:t xml:space="preserve">4.2 </w:t>
      </w:r>
      <w:r>
        <w:rPr>
          <w:rFonts w:ascii="Arial" w:cs="Arial" w:eastAsia="Arial" w:hAnsi="Arial"/>
          <w:sz w:val="16"/>
          <w:szCs w:val="16"/>
          <w:color w:val="000000"/>
        </w:rPr>
        <w:t>Option Price. The price per share of the shares subject to each Option shall be set by the Committee; provided, however, that, except as</w:t>
      </w:r>
      <w:r>
        <w:rPr>
          <w:rFonts w:ascii="Arial" w:cs="Arial" w:eastAsia="Arial" w:hAnsi="Arial"/>
          <w:sz w:val="16"/>
          <w:szCs w:val="16"/>
          <w:color w:val="010000"/>
        </w:rPr>
        <w:t xml:space="preserve"> </w:t>
      </w:r>
      <w:r>
        <w:rPr>
          <w:rFonts w:ascii="Arial" w:cs="Arial" w:eastAsia="Arial" w:hAnsi="Arial"/>
          <w:sz w:val="16"/>
          <w:szCs w:val="16"/>
          <w:color w:val="000000"/>
        </w:rPr>
        <w:t>provided in Section 8.1 with respect to assumed options, such price shall not be less than 100% of the Fair Market Value of a Common Share on the date the Option is granted.</w:t>
      </w:r>
    </w:p>
    <w:p>
      <w:pPr>
        <w:spacing w:after="0" w:line="164" w:lineRule="exact"/>
        <w:rPr>
          <w:sz w:val="20"/>
          <w:szCs w:val="20"/>
          <w:color w:val="auto"/>
        </w:rPr>
      </w:pPr>
    </w:p>
    <w:p>
      <w:pPr>
        <w:ind w:right="220" w:firstLine="648"/>
        <w:spacing w:after="0" w:line="251" w:lineRule="auto"/>
        <w:rPr>
          <w:sz w:val="20"/>
          <w:szCs w:val="20"/>
          <w:color w:val="auto"/>
        </w:rPr>
      </w:pPr>
      <w:r>
        <w:rPr>
          <w:rFonts w:ascii="Arial" w:cs="Arial" w:eastAsia="Arial" w:hAnsi="Arial"/>
          <w:sz w:val="16"/>
          <w:szCs w:val="16"/>
          <w:color w:val="010000"/>
        </w:rPr>
        <w:t xml:space="preserve">4.3 </w:t>
      </w:r>
      <w:r>
        <w:rPr>
          <w:rFonts w:ascii="Arial" w:cs="Arial" w:eastAsia="Arial" w:hAnsi="Arial"/>
          <w:sz w:val="16"/>
          <w:szCs w:val="16"/>
          <w:color w:val="000000"/>
        </w:rPr>
        <w:t>Option Term. The term of an Option shall be set by the Committee in its discretion; provided, however, that, the term shall not be more than</w:t>
      </w:r>
      <w:r>
        <w:rPr>
          <w:rFonts w:ascii="Arial" w:cs="Arial" w:eastAsia="Arial" w:hAnsi="Arial"/>
          <w:sz w:val="16"/>
          <w:szCs w:val="16"/>
          <w:color w:val="010000"/>
        </w:rPr>
        <w:t xml:space="preserve"> </w:t>
      </w:r>
      <w:r>
        <w:rPr>
          <w:rFonts w:ascii="Arial" w:cs="Arial" w:eastAsia="Arial" w:hAnsi="Arial"/>
          <w:sz w:val="16"/>
          <w:szCs w:val="16"/>
          <w:color w:val="000000"/>
        </w:rPr>
        <w:t>ten (10) years from the date the Option is granted, or five (5) years from such date in the case of</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an Incentive Option granted to an individual then owning (within the meaning of Section 424(d) of the Code) more than 10% of the total combined voting power of all classes of shares of the Company or any Subsidiary.</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4.4</w:t>
      </w:r>
      <w:r>
        <w:rPr>
          <w:rFonts w:ascii="Arial" w:cs="Arial" w:eastAsia="Arial" w:hAnsi="Arial"/>
          <w:sz w:val="16"/>
          <w:szCs w:val="16"/>
          <w:color w:val="auto"/>
        </w:rPr>
        <w:tab/>
        <w:t>Option Vesting.</w:t>
      </w:r>
    </w:p>
    <w:p>
      <w:pPr>
        <w:spacing w:after="0" w:line="194" w:lineRule="exact"/>
        <w:rPr>
          <w:sz w:val="20"/>
          <w:szCs w:val="20"/>
          <w:color w:val="auto"/>
        </w:rPr>
      </w:pPr>
    </w:p>
    <w:p>
      <w:pPr>
        <w:ind w:right="40" w:firstLine="1304"/>
        <w:spacing w:after="0" w:line="228" w:lineRule="auto"/>
        <w:tabs>
          <w:tab w:leader="none" w:pos="1674"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164" w:lineRule="exact"/>
        <w:rPr>
          <w:rFonts w:ascii="Arial" w:cs="Arial" w:eastAsia="Arial" w:hAnsi="Arial"/>
          <w:sz w:val="16"/>
          <w:szCs w:val="16"/>
          <w:color w:val="010000"/>
        </w:rPr>
      </w:pPr>
    </w:p>
    <w:p>
      <w:pPr>
        <w:ind w:right="100" w:firstLine="1304"/>
        <w:spacing w:after="0" w:line="222" w:lineRule="auto"/>
        <w:tabs>
          <w:tab w:leader="none" w:pos="1674"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To the extent that the aggregate Fair Market Value of shares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167" w:lineRule="exact"/>
        <w:rPr>
          <w:sz w:val="20"/>
          <w:szCs w:val="20"/>
          <w:color w:val="auto"/>
        </w:rPr>
      </w:pPr>
    </w:p>
    <w:p>
      <w:pPr>
        <w:ind w:right="120" w:firstLine="648"/>
        <w:spacing w:after="0" w:line="222" w:lineRule="auto"/>
        <w:rPr>
          <w:sz w:val="20"/>
          <w:szCs w:val="20"/>
          <w:color w:val="auto"/>
        </w:rPr>
      </w:pPr>
      <w:r>
        <w:rPr>
          <w:rFonts w:ascii="Arial" w:cs="Arial" w:eastAsia="Arial" w:hAnsi="Arial"/>
          <w:sz w:val="16"/>
          <w:szCs w:val="16"/>
          <w:color w:val="010000"/>
        </w:rPr>
        <w:t xml:space="preserve">4.5 </w:t>
      </w:r>
      <w:r>
        <w:rPr>
          <w:rFonts w:ascii="Arial" w:cs="Arial" w:eastAsia="Arial" w:hAnsi="Arial"/>
          <w:sz w:val="16"/>
          <w:szCs w:val="16"/>
          <w:color w:val="000000"/>
        </w:rPr>
        <w:t>Restrictions on Repricing of Options. Except as provided in Section 9.3, the Committee may not, without approval of the Company’s</w:t>
      </w:r>
      <w:r>
        <w:rPr>
          <w:rFonts w:ascii="Arial" w:cs="Arial" w:eastAsia="Arial" w:hAnsi="Arial"/>
          <w:sz w:val="16"/>
          <w:szCs w:val="16"/>
          <w:color w:val="010000"/>
        </w:rPr>
        <w:t xml:space="preserve"> </w:t>
      </w:r>
      <w:r>
        <w:rPr>
          <w:rFonts w:ascii="Arial" w:cs="Arial" w:eastAsia="Arial" w:hAnsi="Arial"/>
          <w:sz w:val="16"/>
          <w:szCs w:val="16"/>
          <w:color w:val="000000"/>
        </w:rPr>
        <w:t>shareholders, (i) 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 Price greater than the then current Fair Market Value of a share, or (iv) permit the grant of any Option that contains a so-called “reload” feature under which additional Options or other Awards are granted automatically to the Optionee upon exercise of the original Option.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EXERCISE OF OPTIONS</w:t>
      </w:r>
    </w:p>
    <w:p>
      <w:pPr>
        <w:spacing w:after="0" w:line="194" w:lineRule="exact"/>
        <w:rPr>
          <w:sz w:val="20"/>
          <w:szCs w:val="20"/>
          <w:color w:val="auto"/>
        </w:rPr>
      </w:pPr>
    </w:p>
    <w:p>
      <w:pPr>
        <w:ind w:right="420" w:firstLine="648"/>
        <w:spacing w:after="0" w:line="251"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color w:val="000000"/>
        </w:rPr>
        <w:t>Partial Exercise. An exercisable Option may be exercised in whole or in part; however, an Option shall not be exercisable with respect to</w:t>
      </w:r>
      <w:r>
        <w:rPr>
          <w:rFonts w:ascii="Arial" w:cs="Arial" w:eastAsia="Arial" w:hAnsi="Arial"/>
          <w:sz w:val="16"/>
          <w:szCs w:val="16"/>
          <w:color w:val="010000"/>
        </w:rPr>
        <w:t xml:space="preserve"> </w:t>
      </w:r>
      <w:r>
        <w:rPr>
          <w:rFonts w:ascii="Arial" w:cs="Arial" w:eastAsia="Arial" w:hAnsi="Arial"/>
          <w:sz w:val="16"/>
          <w:szCs w:val="16"/>
          <w:color w:val="000000"/>
        </w:rPr>
        <w:t>fractional shares and the Committee may require that, by the terms of the Option, a partial exercise be with respect to a minimum number of shares.</w:t>
      </w:r>
    </w:p>
    <w:p>
      <w:pPr>
        <w:spacing w:after="0" w:line="155"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010000"/>
        </w:rPr>
        <w:t xml:space="preserve">5.2 </w:t>
      </w:r>
      <w:r>
        <w:rPr>
          <w:rFonts w:ascii="Arial" w:cs="Arial" w:eastAsia="Arial" w:hAnsi="Arial"/>
          <w:sz w:val="16"/>
          <w:szCs w:val="16"/>
          <w:color w:val="000000"/>
        </w:rPr>
        <w:t>Manner of Exercise. All or a portion of an exercisable Option shall be deemed exercised upon delivery of all of the following to the Secretary</w:t>
      </w:r>
      <w:r>
        <w:rPr>
          <w:rFonts w:ascii="Arial" w:cs="Arial" w:eastAsia="Arial" w:hAnsi="Arial"/>
          <w:sz w:val="16"/>
          <w:szCs w:val="16"/>
          <w:color w:val="010000"/>
        </w:rPr>
        <w:t xml:space="preserve"> </w:t>
      </w:r>
      <w:r>
        <w:rPr>
          <w:rFonts w:ascii="Arial" w:cs="Arial" w:eastAsia="Arial" w:hAnsi="Arial"/>
          <w:sz w:val="16"/>
          <w:szCs w:val="16"/>
          <w:color w:val="000000"/>
        </w:rPr>
        <w:t>of the Company or his office:</w:t>
      </w:r>
    </w:p>
    <w:p>
      <w:pPr>
        <w:spacing w:after="0" w:line="155" w:lineRule="exact"/>
        <w:rPr>
          <w:sz w:val="20"/>
          <w:szCs w:val="20"/>
          <w:color w:val="auto"/>
        </w:rPr>
      </w:pPr>
    </w:p>
    <w:p>
      <w:pPr>
        <w:ind w:right="420" w:firstLine="1304"/>
        <w:spacing w:after="0" w:line="251" w:lineRule="auto"/>
        <w:tabs>
          <w:tab w:leader="none" w:pos="1674" w:val="left"/>
        </w:tabs>
        <w:numPr>
          <w:ilvl w:val="0"/>
          <w:numId w:val="97"/>
        </w:numPr>
        <w:rPr>
          <w:rFonts w:ascii="Arial" w:cs="Arial" w:eastAsia="Arial" w:hAnsi="Arial"/>
          <w:sz w:val="16"/>
          <w:szCs w:val="16"/>
          <w:color w:val="010000"/>
        </w:rPr>
      </w:pPr>
      <w:r>
        <w:rPr>
          <w:rFonts w:ascii="Arial" w:cs="Arial" w:eastAsia="Arial" w:hAnsi="Arial"/>
          <w:sz w:val="16"/>
          <w:szCs w:val="16"/>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55" w:lineRule="exact"/>
        <w:rPr>
          <w:rFonts w:ascii="Arial" w:cs="Arial" w:eastAsia="Arial" w:hAnsi="Arial"/>
          <w:sz w:val="16"/>
          <w:szCs w:val="16"/>
          <w:color w:val="010000"/>
        </w:rPr>
      </w:pPr>
    </w:p>
    <w:p>
      <w:pPr>
        <w:ind w:right="200" w:firstLine="1304"/>
        <w:spacing w:after="0" w:line="228" w:lineRule="auto"/>
        <w:tabs>
          <w:tab w:leader="none" w:pos="1674" w:val="left"/>
        </w:tabs>
        <w:numPr>
          <w:ilvl w:val="0"/>
          <w:numId w:val="97"/>
        </w:numPr>
        <w:rPr>
          <w:rFonts w:ascii="Arial" w:cs="Arial" w:eastAsia="Arial" w:hAnsi="Arial"/>
          <w:sz w:val="16"/>
          <w:szCs w:val="16"/>
          <w:color w:val="010000"/>
        </w:rPr>
      </w:pPr>
      <w:r>
        <w:rPr>
          <w:rFonts w:ascii="Arial" w:cs="Arial" w:eastAsia="Arial" w:hAnsi="Arial"/>
          <w:sz w:val="16"/>
          <w:szCs w:val="16"/>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64" w:lineRule="exact"/>
        <w:rPr>
          <w:rFonts w:ascii="Arial" w:cs="Arial" w:eastAsia="Arial" w:hAnsi="Arial"/>
          <w:sz w:val="16"/>
          <w:szCs w:val="16"/>
          <w:color w:val="010000"/>
        </w:rPr>
      </w:pPr>
    </w:p>
    <w:p>
      <w:pPr>
        <w:ind w:right="40" w:firstLine="1304"/>
        <w:spacing w:after="0" w:line="251" w:lineRule="auto"/>
        <w:tabs>
          <w:tab w:leader="none" w:pos="1665" w:val="left"/>
        </w:tabs>
        <w:numPr>
          <w:ilvl w:val="0"/>
          <w:numId w:val="97"/>
        </w:numPr>
        <w:rPr>
          <w:rFonts w:ascii="Arial" w:cs="Arial" w:eastAsia="Arial" w:hAnsi="Arial"/>
          <w:sz w:val="16"/>
          <w:szCs w:val="16"/>
          <w:color w:val="010000"/>
        </w:rPr>
      </w:pPr>
      <w:r>
        <w:rPr>
          <w:rFonts w:ascii="Arial" w:cs="Arial" w:eastAsia="Arial" w:hAnsi="Arial"/>
          <w:sz w:val="16"/>
          <w:szCs w:val="16"/>
          <w:color w:val="auto"/>
        </w:rPr>
        <w:t>In the event that the Option shall be exercised pursuant to Section 9.1 by any person or persons other than the Optionee, appropriate proof of the right of such person or persons to exercise the Option; and</w:t>
      </w:r>
    </w:p>
    <w:p>
      <w:pPr>
        <w:spacing w:after="0" w:line="155" w:lineRule="exact"/>
        <w:rPr>
          <w:rFonts w:ascii="Arial" w:cs="Arial" w:eastAsia="Arial" w:hAnsi="Arial"/>
          <w:sz w:val="16"/>
          <w:szCs w:val="16"/>
          <w:color w:val="010000"/>
        </w:rPr>
      </w:pPr>
    </w:p>
    <w:p>
      <w:pPr>
        <w:ind w:right="20" w:firstLine="1304"/>
        <w:spacing w:after="0" w:line="218" w:lineRule="auto"/>
        <w:tabs>
          <w:tab w:leader="none" w:pos="1674" w:val="left"/>
        </w:tabs>
        <w:numPr>
          <w:ilvl w:val="0"/>
          <w:numId w:val="97"/>
        </w:numPr>
        <w:rPr>
          <w:rFonts w:ascii="Arial" w:cs="Arial" w:eastAsia="Arial" w:hAnsi="Arial"/>
          <w:sz w:val="16"/>
          <w:szCs w:val="16"/>
          <w:color w:val="010000"/>
        </w:rPr>
      </w:pPr>
      <w:r>
        <w:rPr>
          <w:rFonts w:ascii="Arial" w:cs="Arial" w:eastAsia="Arial" w:hAnsi="Arial"/>
          <w:sz w:val="16"/>
          <w:szCs w:val="16"/>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 (ii)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70" w:lineRule="exact"/>
        <w:rPr>
          <w:sz w:val="20"/>
          <w:szCs w:val="20"/>
          <w:color w:val="auto"/>
        </w:rPr>
      </w:pPr>
    </w:p>
    <w:p>
      <w:pPr>
        <w:ind w:right="280" w:firstLine="648"/>
        <w:spacing w:after="0" w:line="251" w:lineRule="auto"/>
        <w:rPr>
          <w:sz w:val="20"/>
          <w:szCs w:val="20"/>
          <w:color w:val="auto"/>
        </w:rPr>
      </w:pPr>
      <w:r>
        <w:rPr>
          <w:rFonts w:ascii="Arial" w:cs="Arial" w:eastAsia="Arial" w:hAnsi="Arial"/>
          <w:sz w:val="16"/>
          <w:szCs w:val="16"/>
          <w:color w:val="010000"/>
        </w:rPr>
        <w:t xml:space="preserve">5.3 </w:t>
      </w:r>
      <w:r>
        <w:rPr>
          <w:rFonts w:ascii="Arial" w:cs="Arial" w:eastAsia="Arial" w:hAnsi="Arial"/>
          <w:sz w:val="16"/>
          <w:szCs w:val="16"/>
          <w:color w:val="000000"/>
        </w:rPr>
        <w:t>Conditions to Issuance of Share Certificates. The Company shall not be required to issue or deliver any certificate or certificates for shares</w:t>
      </w:r>
      <w:r>
        <w:rPr>
          <w:rFonts w:ascii="Arial" w:cs="Arial" w:eastAsia="Arial" w:hAnsi="Arial"/>
          <w:sz w:val="16"/>
          <w:szCs w:val="16"/>
          <w:color w:val="010000"/>
        </w:rPr>
        <w:t xml:space="preserve"> </w:t>
      </w:r>
      <w:r>
        <w:rPr>
          <w:rFonts w:ascii="Arial" w:cs="Arial" w:eastAsia="Arial" w:hAnsi="Arial"/>
          <w:sz w:val="16"/>
          <w:szCs w:val="16"/>
          <w:color w:val="000000"/>
        </w:rPr>
        <w:t>purchased upon the exercise of any Option or portion thereof prior to fulfillment of all of the following conditions:</w:t>
      </w:r>
    </w:p>
    <w:p>
      <w:pPr>
        <w:spacing w:after="0" w:line="155" w:lineRule="exact"/>
        <w:rPr>
          <w:sz w:val="20"/>
          <w:szCs w:val="20"/>
          <w:color w:val="auto"/>
        </w:rPr>
      </w:pPr>
    </w:p>
    <w:p>
      <w:pPr>
        <w:ind w:left="1680" w:hanging="376"/>
        <w:spacing w:after="0"/>
        <w:tabs>
          <w:tab w:leader="none" w:pos="1680" w:val="left"/>
        </w:tabs>
        <w:numPr>
          <w:ilvl w:val="0"/>
          <w:numId w:val="98"/>
        </w:numPr>
        <w:rPr>
          <w:rFonts w:ascii="Arial" w:cs="Arial" w:eastAsia="Arial" w:hAnsi="Arial"/>
          <w:sz w:val="16"/>
          <w:szCs w:val="16"/>
          <w:color w:val="010000"/>
        </w:rPr>
      </w:pPr>
      <w:r>
        <w:rPr>
          <w:rFonts w:ascii="Arial" w:cs="Arial" w:eastAsia="Arial" w:hAnsi="Arial"/>
          <w:sz w:val="16"/>
          <w:szCs w:val="16"/>
          <w:color w:val="auto"/>
        </w:rPr>
        <w:t>The admission of such shares to listing on all stock exchanges on which such class of shares is then listed;</w:t>
      </w:r>
    </w:p>
    <w:p>
      <w:pPr>
        <w:spacing w:after="0" w:line="194" w:lineRule="exact"/>
        <w:rPr>
          <w:rFonts w:ascii="Arial" w:cs="Arial" w:eastAsia="Arial" w:hAnsi="Arial"/>
          <w:sz w:val="16"/>
          <w:szCs w:val="16"/>
          <w:color w:val="010000"/>
        </w:rPr>
      </w:pPr>
    </w:p>
    <w:p>
      <w:pPr>
        <w:ind w:right="320" w:firstLine="1304"/>
        <w:spacing w:after="0" w:line="234" w:lineRule="auto"/>
        <w:tabs>
          <w:tab w:leader="none" w:pos="1674" w:val="left"/>
        </w:tabs>
        <w:numPr>
          <w:ilvl w:val="0"/>
          <w:numId w:val="98"/>
        </w:numPr>
        <w:rPr>
          <w:rFonts w:ascii="Arial" w:cs="Arial" w:eastAsia="Arial" w:hAnsi="Arial"/>
          <w:sz w:val="16"/>
          <w:szCs w:val="16"/>
          <w:color w:val="010000"/>
        </w:rPr>
      </w:pPr>
      <w:r>
        <w:rPr>
          <w:rFonts w:ascii="Arial" w:cs="Arial" w:eastAsia="Arial" w:hAnsi="Arial"/>
          <w:sz w:val="16"/>
          <w:szCs w:val="16"/>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firstLine="1304"/>
        <w:spacing w:after="0" w:line="251" w:lineRule="auto"/>
        <w:tabs>
          <w:tab w:leader="none" w:pos="1665" w:val="left"/>
        </w:tabs>
        <w:numPr>
          <w:ilvl w:val="0"/>
          <w:numId w:val="99"/>
        </w:numPr>
        <w:rPr>
          <w:rFonts w:ascii="Arial" w:cs="Arial" w:eastAsia="Arial" w:hAnsi="Arial"/>
          <w:sz w:val="16"/>
          <w:szCs w:val="16"/>
          <w:color w:val="010000"/>
        </w:rPr>
      </w:pPr>
      <w:r>
        <w:rPr>
          <w:rFonts w:ascii="Arial" w:cs="Arial" w:eastAsia="Arial" w:hAnsi="Arial"/>
          <w:sz w:val="16"/>
          <w:szCs w:val="16"/>
          <w:color w:val="auto"/>
        </w:rPr>
        <w:t>The obtaining of any approval or other clearance from any state or federal governmental agency which the Committee shall, in its absolute discretion, determine to be necessary or advisable;</w:t>
      </w:r>
    </w:p>
    <w:p>
      <w:pPr>
        <w:spacing w:after="0" w:line="155" w:lineRule="exact"/>
        <w:rPr>
          <w:rFonts w:ascii="Arial" w:cs="Arial" w:eastAsia="Arial" w:hAnsi="Arial"/>
          <w:sz w:val="16"/>
          <w:szCs w:val="16"/>
          <w:color w:val="010000"/>
        </w:rPr>
      </w:pPr>
    </w:p>
    <w:p>
      <w:pPr>
        <w:ind w:firstLine="1304"/>
        <w:spacing w:after="0" w:line="251" w:lineRule="auto"/>
        <w:tabs>
          <w:tab w:leader="none" w:pos="1674" w:val="left"/>
        </w:tabs>
        <w:numPr>
          <w:ilvl w:val="0"/>
          <w:numId w:val="99"/>
        </w:numPr>
        <w:rPr>
          <w:rFonts w:ascii="Arial" w:cs="Arial" w:eastAsia="Arial" w:hAnsi="Arial"/>
          <w:sz w:val="16"/>
          <w:szCs w:val="16"/>
          <w:color w:val="010000"/>
        </w:rPr>
      </w:pPr>
      <w:r>
        <w:rPr>
          <w:rFonts w:ascii="Arial" w:cs="Arial" w:eastAsia="Arial" w:hAnsi="Arial"/>
          <w:sz w:val="16"/>
          <w:szCs w:val="16"/>
          <w:color w:val="auto"/>
        </w:rPr>
        <w:t>The lapse of such reasonable period of time following the exercise of the Option as the Committee may establish from time to time for reasons of administrative convenience; and</w:t>
      </w:r>
    </w:p>
    <w:p>
      <w:pPr>
        <w:spacing w:after="0" w:line="155" w:lineRule="exact"/>
        <w:rPr>
          <w:rFonts w:ascii="Arial" w:cs="Arial" w:eastAsia="Arial" w:hAnsi="Arial"/>
          <w:sz w:val="16"/>
          <w:szCs w:val="16"/>
          <w:color w:val="010000"/>
        </w:rPr>
      </w:pPr>
    </w:p>
    <w:p>
      <w:pPr>
        <w:ind w:left="1680" w:hanging="376"/>
        <w:spacing w:after="0"/>
        <w:tabs>
          <w:tab w:leader="none" w:pos="1680" w:val="left"/>
        </w:tabs>
        <w:numPr>
          <w:ilvl w:val="0"/>
          <w:numId w:val="99"/>
        </w:numPr>
        <w:rPr>
          <w:rFonts w:ascii="Arial" w:cs="Arial" w:eastAsia="Arial" w:hAnsi="Arial"/>
          <w:sz w:val="16"/>
          <w:szCs w:val="16"/>
          <w:color w:val="010000"/>
        </w:rPr>
      </w:pPr>
      <w:r>
        <w:rPr>
          <w:rFonts w:ascii="Arial" w:cs="Arial" w:eastAsia="Arial" w:hAnsi="Arial"/>
          <w:sz w:val="16"/>
          <w:szCs w:val="16"/>
          <w:color w:val="auto"/>
        </w:rPr>
        <w:t>The receipt by the Company of full payment for such shares, including payment of any applicable withholding tax.</w:t>
      </w:r>
    </w:p>
    <w:p>
      <w:pPr>
        <w:spacing w:after="0" w:line="194" w:lineRule="exact"/>
        <w:rPr>
          <w:sz w:val="20"/>
          <w:szCs w:val="20"/>
          <w:color w:val="auto"/>
        </w:rPr>
      </w:pPr>
    </w:p>
    <w:p>
      <w:pPr>
        <w:ind w:right="340" w:firstLine="648"/>
        <w:spacing w:after="0" w:line="251" w:lineRule="auto"/>
        <w:rPr>
          <w:sz w:val="20"/>
          <w:szCs w:val="20"/>
          <w:color w:val="auto"/>
        </w:rPr>
      </w:pPr>
      <w:r>
        <w:rPr>
          <w:rFonts w:ascii="Arial" w:cs="Arial" w:eastAsia="Arial" w:hAnsi="Arial"/>
          <w:sz w:val="16"/>
          <w:szCs w:val="16"/>
          <w:color w:val="010000"/>
        </w:rPr>
        <w:t xml:space="preserve">5.4 </w:t>
      </w:r>
      <w:r>
        <w:rPr>
          <w:rFonts w:ascii="Arial" w:cs="Arial" w:eastAsia="Arial" w:hAnsi="Arial"/>
          <w:sz w:val="16"/>
          <w:szCs w:val="16"/>
          <w:color w:val="000000"/>
        </w:rPr>
        <w:t>Settlement on Exercise of Options. On the exercise of any Option by a Canadian Grantee, settlement of such Option shall in all events be</w:t>
      </w:r>
      <w:r>
        <w:rPr>
          <w:rFonts w:ascii="Arial" w:cs="Arial" w:eastAsia="Arial" w:hAnsi="Arial"/>
          <w:sz w:val="16"/>
          <w:szCs w:val="16"/>
          <w:color w:val="010000"/>
        </w:rPr>
        <w:t xml:space="preserve"> </w:t>
      </w:r>
      <w:r>
        <w:rPr>
          <w:rFonts w:ascii="Arial" w:cs="Arial" w:eastAsia="Arial" w:hAnsi="Arial"/>
          <w:sz w:val="16"/>
          <w:szCs w:val="16"/>
          <w:color w:val="000000"/>
        </w:rPr>
        <w:t>made by the issuance of Common Shares from treasury or the transfer of previously issued Shares then held by the Company.</w:t>
      </w:r>
    </w:p>
    <w:p>
      <w:pPr>
        <w:spacing w:after="0" w:line="155"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010000"/>
        </w:rPr>
        <w:t xml:space="preserve">5.5 </w:t>
      </w:r>
      <w:r>
        <w:rPr>
          <w:rFonts w:ascii="Arial" w:cs="Arial" w:eastAsia="Arial" w:hAnsi="Arial"/>
          <w:sz w:val="16"/>
          <w:szCs w:val="16"/>
          <w:color w:val="000000"/>
        </w:rPr>
        <w:t>Rights as Shareholders. The holders of Options shall not be, nor have any of the rights or privileges of, shareholders of the Company in</w:t>
      </w:r>
      <w:r>
        <w:rPr>
          <w:rFonts w:ascii="Arial" w:cs="Arial" w:eastAsia="Arial" w:hAnsi="Arial"/>
          <w:sz w:val="16"/>
          <w:szCs w:val="16"/>
          <w:color w:val="010000"/>
        </w:rPr>
        <w:t xml:space="preserve"> </w:t>
      </w:r>
      <w:r>
        <w:rPr>
          <w:rFonts w:ascii="Arial" w:cs="Arial" w:eastAsia="Arial" w:hAnsi="Arial"/>
          <w:sz w:val="16"/>
          <w:szCs w:val="16"/>
          <w:color w:val="000000"/>
        </w:rPr>
        <w:t>respect of any shares purchasable upon the exercise of any part of an Option unless and until certificates representing such shares have been issued by the Company to such holders.</w:t>
      </w:r>
    </w:p>
    <w:p>
      <w:pPr>
        <w:spacing w:after="0" w:line="164" w:lineRule="exact"/>
        <w:rPr>
          <w:sz w:val="20"/>
          <w:szCs w:val="20"/>
          <w:color w:val="auto"/>
        </w:rPr>
      </w:pPr>
    </w:p>
    <w:p>
      <w:pPr>
        <w:ind w:right="20" w:firstLine="648"/>
        <w:spacing w:after="0" w:line="221" w:lineRule="auto"/>
        <w:rPr>
          <w:sz w:val="20"/>
          <w:szCs w:val="20"/>
          <w:color w:val="auto"/>
        </w:rPr>
      </w:pPr>
      <w:r>
        <w:rPr>
          <w:rFonts w:ascii="Arial" w:cs="Arial" w:eastAsia="Arial" w:hAnsi="Arial"/>
          <w:sz w:val="16"/>
          <w:szCs w:val="16"/>
          <w:color w:val="010000"/>
        </w:rPr>
        <w:t xml:space="preserve">5.6 </w:t>
      </w:r>
      <w:r>
        <w:rPr>
          <w:rFonts w:ascii="Arial" w:cs="Arial" w:eastAsia="Arial" w:hAnsi="Arial"/>
          <w:sz w:val="16"/>
          <w:szCs w:val="16"/>
          <w:color w:val="000000"/>
        </w:rPr>
        <w:t>Ownership and Transfer Restrictions. The Committee, in its absolute discretion, may impose such restrictions on the ownership and</w:t>
      </w:r>
      <w:r>
        <w:rPr>
          <w:rFonts w:ascii="Arial" w:cs="Arial" w:eastAsia="Arial" w:hAnsi="Arial"/>
          <w:sz w:val="16"/>
          <w:szCs w:val="16"/>
          <w:color w:val="010000"/>
        </w:rPr>
        <w:t xml:space="preserve"> </w:t>
      </w:r>
      <w:r>
        <w:rPr>
          <w:rFonts w:ascii="Arial" w:cs="Arial" w:eastAsia="Arial" w:hAnsi="Arial"/>
          <w:sz w:val="16"/>
          <w:szCs w:val="16"/>
          <w:color w:val="000000"/>
        </w:rPr>
        <w:t>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AWARD OF RESTRICTED SHARES</w:t>
      </w:r>
    </w:p>
    <w:p>
      <w:pPr>
        <w:spacing w:after="0" w:line="19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6.1</w:t>
      </w:r>
      <w:r>
        <w:rPr>
          <w:rFonts w:ascii="Arial" w:cs="Arial" w:eastAsia="Arial" w:hAnsi="Arial"/>
          <w:sz w:val="16"/>
          <w:szCs w:val="16"/>
          <w:color w:val="auto"/>
        </w:rPr>
        <w:tab/>
        <w:t>Award of Restricted Shares.</w:t>
      </w:r>
    </w:p>
    <w:p>
      <w:pPr>
        <w:spacing w:after="0" w:line="194" w:lineRule="exact"/>
        <w:rPr>
          <w:sz w:val="20"/>
          <w:szCs w:val="20"/>
          <w:color w:val="auto"/>
        </w:rPr>
      </w:pPr>
    </w:p>
    <w:p>
      <w:pPr>
        <w:ind w:left="1680" w:hanging="376"/>
        <w:spacing w:after="0"/>
        <w:tabs>
          <w:tab w:leader="none" w:pos="1680"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The Committee shall from time to time, in its absolute discretion:</w:t>
      </w:r>
    </w:p>
    <w:p>
      <w:pPr>
        <w:spacing w:after="0" w:line="194" w:lineRule="exact"/>
        <w:rPr>
          <w:rFonts w:ascii="Arial" w:cs="Arial" w:eastAsia="Arial" w:hAnsi="Arial"/>
          <w:sz w:val="16"/>
          <w:szCs w:val="16"/>
          <w:color w:val="010000"/>
        </w:rPr>
      </w:pPr>
    </w:p>
    <w:p>
      <w:pPr>
        <w:ind w:left="660" w:right="580" w:firstLine="1292"/>
        <w:spacing w:after="0" w:line="251" w:lineRule="auto"/>
        <w:tabs>
          <w:tab w:leader="none" w:pos="2280"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Select from among the Employees, Directors or consultants (including Employees, Directors or consultants who have previously received other awards under the Plan) such of them as in its opinion should be awarded Restricted Shares; and</w:t>
      </w:r>
    </w:p>
    <w:p>
      <w:pPr>
        <w:spacing w:after="0" w:line="155" w:lineRule="exact"/>
        <w:rPr>
          <w:rFonts w:ascii="Arial" w:cs="Arial" w:eastAsia="Arial" w:hAnsi="Arial"/>
          <w:sz w:val="16"/>
          <w:szCs w:val="16"/>
          <w:color w:val="010000"/>
        </w:rPr>
      </w:pPr>
    </w:p>
    <w:p>
      <w:pPr>
        <w:ind w:left="660" w:right="220" w:firstLine="1292"/>
        <w:spacing w:after="0" w:line="251" w:lineRule="auto"/>
        <w:tabs>
          <w:tab w:leader="none" w:pos="2316"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Determine the terms and conditions applicable to such Restricted Shares, consistent with the Plan, which may include the achievement of Performance Objectives.</w:t>
      </w:r>
    </w:p>
    <w:p>
      <w:pPr>
        <w:spacing w:after="0" w:line="155" w:lineRule="exact"/>
        <w:rPr>
          <w:rFonts w:ascii="Arial" w:cs="Arial" w:eastAsia="Arial" w:hAnsi="Arial"/>
          <w:sz w:val="16"/>
          <w:szCs w:val="16"/>
          <w:color w:val="010000"/>
        </w:rPr>
      </w:pPr>
    </w:p>
    <w:p>
      <w:pPr>
        <w:jc w:val="both"/>
        <w:ind w:right="660" w:firstLine="1304"/>
        <w:spacing w:after="0" w:line="234" w:lineRule="auto"/>
        <w:tabs>
          <w:tab w:leader="none" w:pos="1674"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spacing w:after="0" w:line="164" w:lineRule="exact"/>
        <w:rPr>
          <w:sz w:val="20"/>
          <w:szCs w:val="20"/>
          <w:color w:val="auto"/>
        </w:rPr>
      </w:pPr>
    </w:p>
    <w:p>
      <w:pPr>
        <w:ind w:right="200" w:firstLine="648"/>
        <w:spacing w:after="0" w:line="234"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color w:val="000000"/>
        </w:rPr>
        <w:t>Restricted Share Agreement. Restricted Shares shall be issued only pursuant to a Restricted Share Agreement, which shall be executed by</w:t>
      </w:r>
      <w:r>
        <w:rPr>
          <w:rFonts w:ascii="Arial" w:cs="Arial" w:eastAsia="Arial" w:hAnsi="Arial"/>
          <w:sz w:val="16"/>
          <w:szCs w:val="16"/>
          <w:color w:val="010000"/>
        </w:rPr>
        <w:t xml:space="preserve"> </w:t>
      </w:r>
      <w:r>
        <w:rPr>
          <w:rFonts w:ascii="Arial" w:cs="Arial" w:eastAsia="Arial" w:hAnsi="Arial"/>
          <w:sz w:val="16"/>
          <w:szCs w:val="16"/>
          <w:color w:val="000000"/>
        </w:rPr>
        <w:t>the selected Employee, Director or consultant and an authorized officer of the Company and which shall contain such terms and conditions as the Committee shall determine, consistent with the Plan.</w:t>
      </w:r>
    </w:p>
    <w:p>
      <w:pPr>
        <w:spacing w:after="0" w:line="164" w:lineRule="exact"/>
        <w:rPr>
          <w:sz w:val="20"/>
          <w:szCs w:val="20"/>
          <w:color w:val="auto"/>
        </w:rPr>
      </w:pPr>
    </w:p>
    <w:p>
      <w:pPr>
        <w:ind w:right="320" w:firstLine="648"/>
        <w:spacing w:after="0" w:line="228"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color w:val="000000"/>
        </w:rPr>
        <w:t>Rights as Shareholders. Upon the issuance of Restricted Shares, the Restricted Shareholder shall have, unless otherwise provided by the</w:t>
      </w:r>
      <w:r>
        <w:rPr>
          <w:rFonts w:ascii="Arial" w:cs="Arial" w:eastAsia="Arial" w:hAnsi="Arial"/>
          <w:sz w:val="16"/>
          <w:szCs w:val="16"/>
          <w:color w:val="010000"/>
        </w:rPr>
        <w:t xml:space="preserve"> </w:t>
      </w:r>
      <w:r>
        <w:rPr>
          <w:rFonts w:ascii="Arial" w:cs="Arial" w:eastAsia="Arial" w:hAnsi="Arial"/>
          <w:sz w:val="16"/>
          <w:szCs w:val="16"/>
          <w:color w:val="000000"/>
        </w:rPr>
        <w:t>Committee, all the rights of a shareholder with respect to said shares, subject to 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165" w:lineRule="exact"/>
        <w:rPr>
          <w:sz w:val="20"/>
          <w:szCs w:val="20"/>
          <w:color w:val="auto"/>
        </w:rPr>
      </w:pPr>
    </w:p>
    <w:p>
      <w:pPr>
        <w:ind w:right="40" w:firstLine="648"/>
        <w:spacing w:after="0" w:line="221"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color w:val="000000"/>
        </w:rPr>
        <w:t>Restriction. All Restricted Shares issued under the Plan (including any shares received by holders thereof with respect to Restricted Shares</w:t>
      </w:r>
      <w:r>
        <w:rPr>
          <w:rFonts w:ascii="Arial" w:cs="Arial" w:eastAsia="Arial" w:hAnsi="Arial"/>
          <w:sz w:val="16"/>
          <w:szCs w:val="16"/>
          <w:color w:val="010000"/>
        </w:rPr>
        <w:t xml:space="preserve"> </w:t>
      </w:r>
      <w:r>
        <w:rPr>
          <w:rFonts w:ascii="Arial" w:cs="Arial" w:eastAsia="Arial" w:hAnsi="Arial"/>
          <w:sz w:val="16"/>
          <w:szCs w:val="16"/>
          <w:color w:val="000000"/>
        </w:rPr>
        <w:t>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64" w:lineRule="exact"/>
        <w:rPr>
          <w:sz w:val="20"/>
          <w:szCs w:val="20"/>
          <w:color w:val="auto"/>
        </w:rPr>
      </w:pPr>
    </w:p>
    <w:p>
      <w:pPr>
        <w:ind w:right="120" w:firstLine="648"/>
        <w:spacing w:after="0" w:line="234" w:lineRule="auto"/>
        <w:rPr>
          <w:sz w:val="20"/>
          <w:szCs w:val="20"/>
          <w:color w:val="auto"/>
        </w:rPr>
      </w:pPr>
      <w:r>
        <w:rPr>
          <w:rFonts w:ascii="Arial" w:cs="Arial" w:eastAsia="Arial" w:hAnsi="Arial"/>
          <w:sz w:val="16"/>
          <w:szCs w:val="16"/>
          <w:color w:val="010000"/>
        </w:rPr>
        <w:t xml:space="preserve">6.5 </w:t>
      </w:r>
      <w:r>
        <w:rPr>
          <w:rFonts w:ascii="Arial" w:cs="Arial" w:eastAsia="Arial" w:hAnsi="Arial"/>
          <w:sz w:val="16"/>
          <w:szCs w:val="16"/>
          <w:color w:val="000000"/>
        </w:rPr>
        <w:t>Escrow. Where physical share certificates of Restricted Shares are issued, the Secretary of the Company or such other escrow holder as the</w:t>
      </w:r>
      <w:r>
        <w:rPr>
          <w:rFonts w:ascii="Arial" w:cs="Arial" w:eastAsia="Arial" w:hAnsi="Arial"/>
          <w:sz w:val="16"/>
          <w:szCs w:val="16"/>
          <w:color w:val="010000"/>
        </w:rPr>
        <w:t xml:space="preserve"> </w:t>
      </w:r>
      <w:r>
        <w:rPr>
          <w:rFonts w:ascii="Arial" w:cs="Arial" w:eastAsia="Arial" w:hAnsi="Arial"/>
          <w:sz w:val="16"/>
          <w:szCs w:val="16"/>
          <w:color w:val="000000"/>
        </w:rPr>
        <w:t>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164" w:lineRule="exact"/>
        <w:rPr>
          <w:sz w:val="20"/>
          <w:szCs w:val="20"/>
          <w:color w:val="auto"/>
        </w:rPr>
      </w:pPr>
    </w:p>
    <w:p>
      <w:pPr>
        <w:ind w:right="520" w:firstLine="648"/>
        <w:spacing w:after="0" w:line="251" w:lineRule="auto"/>
        <w:rPr>
          <w:sz w:val="20"/>
          <w:szCs w:val="20"/>
          <w:color w:val="auto"/>
        </w:rPr>
      </w:pPr>
      <w:r>
        <w:rPr>
          <w:rFonts w:ascii="Arial" w:cs="Arial" w:eastAsia="Arial" w:hAnsi="Arial"/>
          <w:sz w:val="16"/>
          <w:szCs w:val="16"/>
          <w:color w:val="010000"/>
        </w:rPr>
        <w:t xml:space="preserve">6.6 </w:t>
      </w:r>
      <w:r>
        <w:rPr>
          <w:rFonts w:ascii="Arial" w:cs="Arial" w:eastAsia="Arial" w:hAnsi="Arial"/>
          <w:sz w:val="16"/>
          <w:szCs w:val="16"/>
          <w:color w:val="000000"/>
        </w:rPr>
        <w:t>Legend. Where physical share certificates of Restricted Shares are issued, in order to enforce the restrictions imposed upon Restricted</w:t>
      </w:r>
      <w:r>
        <w:rPr>
          <w:rFonts w:ascii="Arial" w:cs="Arial" w:eastAsia="Arial" w:hAnsi="Arial"/>
          <w:sz w:val="16"/>
          <w:szCs w:val="16"/>
          <w:color w:val="010000"/>
        </w:rPr>
        <w:t xml:space="preserve"> </w:t>
      </w:r>
      <w:r>
        <w:rPr>
          <w:rFonts w:ascii="Arial" w:cs="Arial" w:eastAsia="Arial" w:hAnsi="Arial"/>
          <w:sz w:val="16"/>
          <w:szCs w:val="16"/>
          <w:color w:val="000000"/>
        </w:rPr>
        <w:t>Shares hereunder, the Committee shall cause a legend or legends to be placed on certificates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55"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010000"/>
        </w:rPr>
        <w:t xml:space="preserve">6.7 </w:t>
      </w:r>
      <w:r>
        <w:rPr>
          <w:rFonts w:ascii="Arial" w:cs="Arial" w:eastAsia="Arial" w:hAnsi="Arial"/>
          <w:sz w:val="16"/>
          <w:szCs w:val="16"/>
          <w:color w:val="000000"/>
        </w:rPr>
        <w:t>Form of Issuance. Restricted Shares issued under the Plan may, in the discretion of the Committee, be by means of an electronic, book-entry</w:t>
      </w:r>
      <w:r>
        <w:rPr>
          <w:rFonts w:ascii="Arial" w:cs="Arial" w:eastAsia="Arial" w:hAnsi="Arial"/>
          <w:sz w:val="16"/>
          <w:szCs w:val="16"/>
          <w:color w:val="010000"/>
        </w:rPr>
        <w:t xml:space="preserve"> </w:t>
      </w:r>
      <w:r>
        <w:rPr>
          <w:rFonts w:ascii="Arial" w:cs="Arial" w:eastAsia="Arial" w:hAnsi="Arial"/>
          <w:sz w:val="16"/>
          <w:szCs w:val="16"/>
          <w:color w:val="000000"/>
        </w:rPr>
        <w:t>statement, rather than by issuing physical share certificates.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7</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AWARDS, DIVIDEND EQUIVALENTS,</w:t>
      </w:r>
    </w:p>
    <w:p>
      <w:pPr>
        <w:jc w:val="center"/>
        <w:spacing w:after="0"/>
        <w:rPr>
          <w:sz w:val="20"/>
          <w:szCs w:val="20"/>
          <w:color w:val="auto"/>
        </w:rPr>
      </w:pPr>
      <w:r>
        <w:rPr>
          <w:rFonts w:ascii="Arial" w:cs="Arial" w:eastAsia="Arial" w:hAnsi="Arial"/>
          <w:sz w:val="16"/>
          <w:szCs w:val="16"/>
          <w:b w:val="1"/>
          <w:bCs w:val="1"/>
          <w:color w:val="auto"/>
        </w:rPr>
        <w:t>DEFERRED SHARES, SHARE PAYMENTS</w:t>
      </w:r>
    </w:p>
    <w:p>
      <w:pPr>
        <w:spacing w:after="0" w:line="178" w:lineRule="exact"/>
        <w:rPr>
          <w:sz w:val="20"/>
          <w:szCs w:val="20"/>
          <w:color w:val="auto"/>
        </w:rPr>
      </w:pPr>
    </w:p>
    <w:p>
      <w:pPr>
        <w:ind w:right="40" w:firstLine="648"/>
        <w:spacing w:after="0" w:line="222"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color w:val="000000"/>
        </w:rPr>
        <w:t>Performance Awards. Any Employee, Director or consultant selected by the Committee may be granted one or more Performance Awards.</w:t>
      </w:r>
      <w:r>
        <w:rPr>
          <w:rFonts w:ascii="Arial" w:cs="Arial" w:eastAsia="Arial" w:hAnsi="Arial"/>
          <w:sz w:val="16"/>
          <w:szCs w:val="16"/>
          <w:color w:val="010000"/>
        </w:rPr>
        <w:t xml:space="preserve"> </w:t>
      </w:r>
      <w:r>
        <w:rPr>
          <w:rFonts w:ascii="Arial" w:cs="Arial" w:eastAsia="Arial" w:hAnsi="Arial"/>
          <w:sz w:val="16"/>
          <w:szCs w:val="16"/>
          <w:color w:val="000000"/>
        </w:rPr>
        <w:t>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67" w:lineRule="exact"/>
        <w:rPr>
          <w:sz w:val="20"/>
          <w:szCs w:val="20"/>
          <w:color w:val="auto"/>
        </w:rPr>
      </w:pPr>
    </w:p>
    <w:p>
      <w:pPr>
        <w:ind w:right="120" w:firstLine="648"/>
        <w:spacing w:after="0" w:line="221" w:lineRule="auto"/>
        <w:rPr>
          <w:sz w:val="20"/>
          <w:szCs w:val="20"/>
          <w:color w:val="auto"/>
        </w:rPr>
      </w:pPr>
      <w:r>
        <w:rPr>
          <w:rFonts w:ascii="Arial" w:cs="Arial" w:eastAsia="Arial" w:hAnsi="Arial"/>
          <w:sz w:val="16"/>
          <w:szCs w:val="16"/>
          <w:color w:val="010000"/>
        </w:rPr>
        <w:t xml:space="preserve">7.2 </w:t>
      </w:r>
      <w:r>
        <w:rPr>
          <w:rFonts w:ascii="Arial" w:cs="Arial" w:eastAsia="Arial" w:hAnsi="Arial"/>
          <w:sz w:val="16"/>
          <w:szCs w:val="16"/>
          <w:color w:val="000000"/>
        </w:rPr>
        <w:t>Dividend Equivalents. Any Employee, Director or consultant selected by the Committee may be granted Dividend Equivalents based on the</w:t>
      </w:r>
      <w:r>
        <w:rPr>
          <w:rFonts w:ascii="Arial" w:cs="Arial" w:eastAsia="Arial" w:hAnsi="Arial"/>
          <w:sz w:val="16"/>
          <w:szCs w:val="16"/>
          <w:color w:val="010000"/>
        </w:rPr>
        <w:t xml:space="preserve"> </w:t>
      </w:r>
      <w:r>
        <w:rPr>
          <w:rFonts w:ascii="Arial" w:cs="Arial" w:eastAsia="Arial" w:hAnsi="Arial"/>
          <w:sz w:val="16"/>
          <w:szCs w:val="16"/>
          <w:color w:val="000000"/>
        </w:rPr>
        <w:t>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64" w:lineRule="exact"/>
        <w:rPr>
          <w:sz w:val="20"/>
          <w:szCs w:val="20"/>
          <w:color w:val="auto"/>
        </w:rPr>
      </w:pPr>
    </w:p>
    <w:p>
      <w:pPr>
        <w:ind w:right="200" w:firstLine="648"/>
        <w:spacing w:after="0" w:line="228" w:lineRule="auto"/>
        <w:rPr>
          <w:sz w:val="20"/>
          <w:szCs w:val="20"/>
          <w:color w:val="auto"/>
        </w:rPr>
      </w:pPr>
      <w:r>
        <w:rPr>
          <w:rFonts w:ascii="Arial" w:cs="Arial" w:eastAsia="Arial" w:hAnsi="Arial"/>
          <w:sz w:val="16"/>
          <w:szCs w:val="16"/>
          <w:color w:val="010000"/>
        </w:rPr>
        <w:t xml:space="preserve">7.3 </w:t>
      </w:r>
      <w:r>
        <w:rPr>
          <w:rFonts w:ascii="Arial" w:cs="Arial" w:eastAsia="Arial" w:hAnsi="Arial"/>
          <w:sz w:val="16"/>
          <w:szCs w:val="16"/>
          <w:color w:val="000000"/>
        </w:rPr>
        <w:t>Share Payments. Any Employee, Director or consultant selected by the Committee may receive Share Payments in the manner determined</w:t>
      </w:r>
      <w:r>
        <w:rPr>
          <w:rFonts w:ascii="Arial" w:cs="Arial" w:eastAsia="Arial" w:hAnsi="Arial"/>
          <w:sz w:val="16"/>
          <w:szCs w:val="16"/>
          <w:color w:val="010000"/>
        </w:rPr>
        <w:t xml:space="preserve"> </w:t>
      </w:r>
      <w:r>
        <w:rPr>
          <w:rFonts w:ascii="Arial" w:cs="Arial" w:eastAsia="Arial" w:hAnsi="Arial"/>
          <w:sz w:val="16"/>
          <w:szCs w:val="16"/>
          <w:color w:val="000000"/>
        </w:rPr>
        <w:t>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16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6"/>
          <w:szCs w:val="16"/>
          <w:color w:val="010000"/>
        </w:rPr>
        <w:t xml:space="preserve">7.4 </w:t>
      </w:r>
      <w:r>
        <w:rPr>
          <w:rFonts w:ascii="Arial" w:cs="Arial" w:eastAsia="Arial" w:hAnsi="Arial"/>
          <w:sz w:val="16"/>
          <w:szCs w:val="16"/>
          <w:color w:val="000000"/>
        </w:rPr>
        <w:t>Deferred Shares. Any Employee, Director or consultant selected by the Committee may be granted an award of Deferred Shares in the</w:t>
      </w:r>
      <w:r>
        <w:rPr>
          <w:rFonts w:ascii="Arial" w:cs="Arial" w:eastAsia="Arial" w:hAnsi="Arial"/>
          <w:sz w:val="16"/>
          <w:szCs w:val="16"/>
          <w:color w:val="010000"/>
        </w:rPr>
        <w:t xml:space="preserve"> </w:t>
      </w:r>
      <w:r>
        <w:rPr>
          <w:rFonts w:ascii="Arial" w:cs="Arial" w:eastAsia="Arial" w:hAnsi="Arial"/>
          <w:sz w:val="16"/>
          <w:szCs w:val="16"/>
          <w:color w:val="000000"/>
        </w:rPr>
        <w:t>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169"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16"/>
          <w:szCs w:val="16"/>
          <w:color w:val="010000"/>
        </w:rPr>
        <w:t xml:space="preserve">7.5 </w:t>
      </w:r>
      <w:r>
        <w:rPr>
          <w:rFonts w:ascii="Arial" w:cs="Arial" w:eastAsia="Arial" w:hAnsi="Arial"/>
          <w:sz w:val="16"/>
          <w:szCs w:val="16"/>
          <w:color w:val="000000"/>
        </w:rPr>
        <w:t>Performance Award Agreement, Dividend Equivalent Agreement, Deferred Share Agreement, Share Payment Agreement. Each Performance</w:t>
      </w:r>
      <w:r>
        <w:rPr>
          <w:rFonts w:ascii="Arial" w:cs="Arial" w:eastAsia="Arial" w:hAnsi="Arial"/>
          <w:sz w:val="16"/>
          <w:szCs w:val="16"/>
          <w:color w:val="010000"/>
        </w:rPr>
        <w:t xml:space="preserve"> </w:t>
      </w:r>
      <w:r>
        <w:rPr>
          <w:rFonts w:ascii="Arial" w:cs="Arial" w:eastAsia="Arial" w:hAnsi="Arial"/>
          <w:sz w:val="16"/>
          <w:szCs w:val="16"/>
          <w:color w:val="000000"/>
        </w:rPr>
        <w:t>Award, Dividend Equivalent, award of Deferred Shares and/or Share Payment shall be evidenced by an agreement, which shall be executed by the Grantee and an authorized Officer of the Company and which shall contain such terms and conditions as the Committee shall determine, consistent with the Plan.</w:t>
      </w:r>
    </w:p>
    <w:p>
      <w:pPr>
        <w:spacing w:after="0" w:line="164" w:lineRule="exact"/>
        <w:rPr>
          <w:sz w:val="20"/>
          <w:szCs w:val="20"/>
          <w:color w:val="auto"/>
        </w:rPr>
      </w:pPr>
    </w:p>
    <w:p>
      <w:pPr>
        <w:ind w:right="800" w:firstLine="648"/>
        <w:spacing w:after="0" w:line="251" w:lineRule="auto"/>
        <w:rPr>
          <w:sz w:val="20"/>
          <w:szCs w:val="20"/>
          <w:color w:val="auto"/>
        </w:rPr>
      </w:pPr>
      <w:r>
        <w:rPr>
          <w:rFonts w:ascii="Arial" w:cs="Arial" w:eastAsia="Arial" w:hAnsi="Arial"/>
          <w:sz w:val="16"/>
          <w:szCs w:val="16"/>
          <w:color w:val="010000"/>
        </w:rPr>
        <w:t xml:space="preserve">7.6 </w:t>
      </w:r>
      <w:r>
        <w:rPr>
          <w:rFonts w:ascii="Arial" w:cs="Arial" w:eastAsia="Arial" w:hAnsi="Arial"/>
          <w:sz w:val="16"/>
          <w:szCs w:val="16"/>
          <w:color w:val="000000"/>
        </w:rPr>
        <w:t>Term. The term of a Performance Award, Dividend Equivalent, award of Deferred Shares and/or Share Payment shall be set by the</w:t>
      </w:r>
      <w:r>
        <w:rPr>
          <w:rFonts w:ascii="Arial" w:cs="Arial" w:eastAsia="Arial" w:hAnsi="Arial"/>
          <w:sz w:val="16"/>
          <w:szCs w:val="16"/>
          <w:color w:val="010000"/>
        </w:rPr>
        <w:t xml:space="preserve"> </w:t>
      </w:r>
      <w:r>
        <w:rPr>
          <w:rFonts w:ascii="Arial" w:cs="Arial" w:eastAsia="Arial" w:hAnsi="Arial"/>
          <w:sz w:val="16"/>
          <w:szCs w:val="16"/>
          <w:color w:val="000000"/>
        </w:rPr>
        <w:t>Committee in its discretion, subject to the terms of the Plan.</w:t>
      </w:r>
    </w:p>
    <w:p>
      <w:pPr>
        <w:spacing w:after="0" w:line="155" w:lineRule="exact"/>
        <w:rPr>
          <w:sz w:val="20"/>
          <w:szCs w:val="20"/>
          <w:color w:val="auto"/>
        </w:rPr>
      </w:pPr>
    </w:p>
    <w:p>
      <w:pPr>
        <w:ind w:right="140" w:firstLine="648"/>
        <w:spacing w:after="0" w:line="228" w:lineRule="auto"/>
        <w:rPr>
          <w:sz w:val="20"/>
          <w:szCs w:val="20"/>
          <w:color w:val="auto"/>
        </w:rPr>
      </w:pPr>
      <w:r>
        <w:rPr>
          <w:rFonts w:ascii="Arial" w:cs="Arial" w:eastAsia="Arial" w:hAnsi="Arial"/>
          <w:sz w:val="16"/>
          <w:szCs w:val="16"/>
          <w:color w:val="010000"/>
        </w:rPr>
        <w:t xml:space="preserve">7.7 </w:t>
      </w:r>
      <w:r>
        <w:rPr>
          <w:rFonts w:ascii="Arial" w:cs="Arial" w:eastAsia="Arial" w:hAnsi="Arial"/>
          <w:sz w:val="16"/>
          <w:szCs w:val="16"/>
          <w:color w:val="000000"/>
        </w:rPr>
        <w:t>Payment Upon Termination of Employment. A Performance Award, Dividend Equivalent, award of Deferred Shares and/or Share Payment is</w:t>
      </w:r>
      <w:r>
        <w:rPr>
          <w:rFonts w:ascii="Arial" w:cs="Arial" w:eastAsia="Arial" w:hAnsi="Arial"/>
          <w:sz w:val="16"/>
          <w:szCs w:val="16"/>
          <w:color w:val="010000"/>
        </w:rPr>
        <w:t xml:space="preserve"> </w:t>
      </w:r>
      <w:r>
        <w:rPr>
          <w:rFonts w:ascii="Arial" w:cs="Arial" w:eastAsia="Arial" w:hAnsi="Arial"/>
          <w:sz w:val="16"/>
          <w:szCs w:val="16"/>
          <w:color w:val="000000"/>
        </w:rPr>
        <w:t>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65" w:lineRule="exact"/>
        <w:rPr>
          <w:sz w:val="20"/>
          <w:szCs w:val="20"/>
          <w:color w:val="auto"/>
        </w:rPr>
      </w:pPr>
    </w:p>
    <w:p>
      <w:pPr>
        <w:ind w:right="200" w:firstLine="648"/>
        <w:spacing w:after="0" w:line="234" w:lineRule="auto"/>
        <w:rPr>
          <w:sz w:val="20"/>
          <w:szCs w:val="20"/>
          <w:color w:val="auto"/>
        </w:rPr>
      </w:pPr>
      <w:r>
        <w:rPr>
          <w:rFonts w:ascii="Arial" w:cs="Arial" w:eastAsia="Arial" w:hAnsi="Arial"/>
          <w:sz w:val="16"/>
          <w:szCs w:val="16"/>
          <w:color w:val="010000"/>
        </w:rPr>
        <w:t xml:space="preserve">7.8 </w:t>
      </w:r>
      <w:r>
        <w:rPr>
          <w:rFonts w:ascii="Arial" w:cs="Arial" w:eastAsia="Arial" w:hAnsi="Arial"/>
          <w:sz w:val="16"/>
          <w:szCs w:val="16"/>
          <w:color w:val="000000"/>
        </w:rPr>
        <w:t>Payment. Payment of the amount determined under Section 7.1 or 7.2 above shall be in cash, in Common Shares or a combination of both,</w:t>
      </w:r>
      <w:r>
        <w:rPr>
          <w:rFonts w:ascii="Arial" w:cs="Arial" w:eastAsia="Arial" w:hAnsi="Arial"/>
          <w:sz w:val="16"/>
          <w:szCs w:val="16"/>
          <w:color w:val="010000"/>
        </w:rPr>
        <w:t xml:space="preserve"> </w:t>
      </w:r>
      <w:r>
        <w:rPr>
          <w:rFonts w:ascii="Arial" w:cs="Arial" w:eastAsia="Arial" w:hAnsi="Arial"/>
          <w:sz w:val="16"/>
          <w:szCs w:val="16"/>
          <w:color w:val="000000"/>
        </w:rPr>
        <w:t>as determined by the Committee, subject to the provisions of the Plan. To the extent any payment under this Article VII is effected in Common Shares, it shall be made subject to satisfaction of all provisions of Sections 5.3 and 5.4.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w:t>
      </w:r>
    </w:p>
    <w:p>
      <w:pPr>
        <w:spacing w:after="0" w:line="194"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010000"/>
        </w:rPr>
        <w:t xml:space="preserve">8.1 </w:t>
      </w:r>
      <w:r>
        <w:rPr>
          <w:rFonts w:ascii="Arial" w:cs="Arial" w:eastAsia="Arial" w:hAnsi="Arial"/>
          <w:sz w:val="16"/>
          <w:szCs w:val="16"/>
          <w:color w:val="000000"/>
        </w:rPr>
        <w:t>Committee. The Committee members shall be appointed by and hold office at the pleasure of the Board. Appointment of Committee members</w:t>
      </w:r>
      <w:r>
        <w:rPr>
          <w:rFonts w:ascii="Arial" w:cs="Arial" w:eastAsia="Arial" w:hAnsi="Arial"/>
          <w:sz w:val="16"/>
          <w:szCs w:val="16"/>
          <w:color w:val="010000"/>
        </w:rPr>
        <w:t xml:space="preserve"> </w:t>
      </w:r>
      <w:r>
        <w:rPr>
          <w:rFonts w:ascii="Arial" w:cs="Arial" w:eastAsia="Arial" w:hAnsi="Arial"/>
          <w:sz w:val="16"/>
          <w:szCs w:val="16"/>
          <w:color w:val="000000"/>
        </w:rPr>
        <w:t>shall be effective upon acceptance of appointment. Committee members may resign at any time by delivering written notice to the Board. Vacancies in the Committee may be filled by the Board.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19" w:lineRule="auto"/>
        <w:rPr>
          <w:sz w:val="20"/>
          <w:szCs w:val="20"/>
          <w:color w:val="auto"/>
        </w:rPr>
      </w:pPr>
      <w:r>
        <w:rPr>
          <w:rFonts w:ascii="Arial" w:cs="Arial" w:eastAsia="Arial" w:hAnsi="Arial"/>
          <w:sz w:val="16"/>
          <w:szCs w:val="16"/>
          <w:color w:val="010000"/>
        </w:rPr>
        <w:t xml:space="preserve">8.2 </w:t>
      </w:r>
      <w:r>
        <w:rPr>
          <w:rFonts w:ascii="Arial" w:cs="Arial" w:eastAsia="Arial" w:hAnsi="Arial"/>
          <w:sz w:val="16"/>
          <w:szCs w:val="16"/>
          <w:color w:val="000000"/>
        </w:rPr>
        <w:t>Duties and Powers of Committee. It shall be the duty of the Committee to conduct the general administration of the Plan in accordance with its</w:t>
      </w:r>
      <w:r>
        <w:rPr>
          <w:rFonts w:ascii="Arial" w:cs="Arial" w:eastAsia="Arial" w:hAnsi="Arial"/>
          <w:sz w:val="16"/>
          <w:szCs w:val="16"/>
          <w:color w:val="010000"/>
        </w:rPr>
        <w:t xml:space="preserve"> </w:t>
      </w:r>
      <w:r>
        <w:rPr>
          <w:rFonts w:ascii="Arial" w:cs="Arial" w:eastAsia="Arial" w:hAnsi="Arial"/>
          <w:sz w:val="16"/>
          <w:szCs w:val="16"/>
          <w:color w:val="000000"/>
        </w:rPr>
        <w:t>provisions. The Committee shall have the power to interpret the 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69" w:lineRule="exact"/>
        <w:rPr>
          <w:sz w:val="20"/>
          <w:szCs w:val="20"/>
          <w:color w:val="auto"/>
        </w:rPr>
      </w:pPr>
    </w:p>
    <w:p>
      <w:pPr>
        <w:ind w:right="460" w:firstLine="648"/>
        <w:spacing w:after="0" w:line="251" w:lineRule="auto"/>
        <w:rPr>
          <w:sz w:val="20"/>
          <w:szCs w:val="20"/>
          <w:color w:val="auto"/>
        </w:rPr>
      </w:pPr>
      <w:r>
        <w:rPr>
          <w:rFonts w:ascii="Arial" w:cs="Arial" w:eastAsia="Arial" w:hAnsi="Arial"/>
          <w:sz w:val="16"/>
          <w:szCs w:val="16"/>
          <w:color w:val="010000"/>
        </w:rPr>
        <w:t xml:space="preserve">8.3 </w:t>
      </w:r>
      <w:r>
        <w:rPr>
          <w:rFonts w:ascii="Arial" w:cs="Arial" w:eastAsia="Arial" w:hAnsi="Arial"/>
          <w:sz w:val="16"/>
          <w:szCs w:val="16"/>
          <w:color w:val="000000"/>
        </w:rPr>
        <w:t>Majority Rule; Unanimous Written Consent. The Committee shall act by a majority of its members in attendance at a meeting at which a</w:t>
      </w:r>
      <w:r>
        <w:rPr>
          <w:rFonts w:ascii="Arial" w:cs="Arial" w:eastAsia="Arial" w:hAnsi="Arial"/>
          <w:sz w:val="16"/>
          <w:szCs w:val="16"/>
          <w:color w:val="010000"/>
        </w:rPr>
        <w:t xml:space="preserve"> </w:t>
      </w:r>
      <w:r>
        <w:rPr>
          <w:rFonts w:ascii="Arial" w:cs="Arial" w:eastAsia="Arial" w:hAnsi="Arial"/>
          <w:sz w:val="16"/>
          <w:szCs w:val="16"/>
          <w:color w:val="000000"/>
        </w:rPr>
        <w:t>quorum is present or by a memorandum or other written instrument signed by all members of the Committee.</w:t>
      </w:r>
    </w:p>
    <w:p>
      <w:pPr>
        <w:spacing w:after="0" w:line="155" w:lineRule="exact"/>
        <w:rPr>
          <w:sz w:val="20"/>
          <w:szCs w:val="20"/>
          <w:color w:val="auto"/>
        </w:rPr>
      </w:pPr>
    </w:p>
    <w:p>
      <w:pPr>
        <w:ind w:right="40" w:firstLine="648"/>
        <w:spacing w:after="0" w:line="218" w:lineRule="auto"/>
        <w:rPr>
          <w:sz w:val="20"/>
          <w:szCs w:val="20"/>
          <w:color w:val="auto"/>
        </w:rPr>
      </w:pPr>
      <w:r>
        <w:rPr>
          <w:rFonts w:ascii="Arial" w:cs="Arial" w:eastAsia="Arial" w:hAnsi="Arial"/>
          <w:sz w:val="16"/>
          <w:szCs w:val="16"/>
          <w:color w:val="010000"/>
        </w:rPr>
        <w:t xml:space="preserve">8.4 </w:t>
      </w:r>
      <w:r>
        <w:rPr>
          <w:rFonts w:ascii="Arial" w:cs="Arial" w:eastAsia="Arial" w:hAnsi="Arial"/>
          <w:sz w:val="16"/>
          <w:szCs w:val="16"/>
          <w:color w:val="000000"/>
        </w:rPr>
        <w:t>Compensation; Professional Assistance, Good Faith Actions. Members of the Committee shall receive such compensation for their services</w:t>
      </w:r>
      <w:r>
        <w:rPr>
          <w:rFonts w:ascii="Arial" w:cs="Arial" w:eastAsia="Arial" w:hAnsi="Arial"/>
          <w:sz w:val="16"/>
          <w:szCs w:val="16"/>
          <w:color w:val="010000"/>
        </w:rPr>
        <w:t xml:space="preserve"> </w:t>
      </w:r>
      <w:r>
        <w:rPr>
          <w:rFonts w:ascii="Arial" w:cs="Arial" w:eastAsia="Arial" w:hAnsi="Arial"/>
          <w:sz w:val="16"/>
          <w:szCs w:val="16"/>
          <w:color w:val="000000"/>
        </w:rPr>
        <w:t>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70" w:lineRule="exact"/>
        <w:rPr>
          <w:sz w:val="20"/>
          <w:szCs w:val="20"/>
          <w:color w:val="auto"/>
        </w:rPr>
      </w:pPr>
    </w:p>
    <w:p>
      <w:pPr>
        <w:ind w:right="20" w:firstLine="648"/>
        <w:spacing w:after="0" w:line="221" w:lineRule="auto"/>
        <w:rPr>
          <w:sz w:val="20"/>
          <w:szCs w:val="20"/>
          <w:color w:val="auto"/>
        </w:rPr>
      </w:pPr>
      <w:r>
        <w:rPr>
          <w:rFonts w:ascii="Arial" w:cs="Arial" w:eastAsia="Arial" w:hAnsi="Arial"/>
          <w:sz w:val="16"/>
          <w:szCs w:val="16"/>
          <w:color w:val="010000"/>
        </w:rPr>
        <w:t xml:space="preserve">8.5 </w:t>
      </w:r>
      <w:r>
        <w:rPr>
          <w:rFonts w:ascii="Arial" w:cs="Arial" w:eastAsia="Arial" w:hAnsi="Arial"/>
          <w:sz w:val="16"/>
          <w:szCs w:val="16"/>
          <w:color w:val="000000"/>
        </w:rPr>
        <w:t>Delegation of Authority by the Committee. Notwithstanding the preceding provisions of this Article VIII or any other provision of the Plan to the</w:t>
      </w:r>
      <w:r>
        <w:rPr>
          <w:rFonts w:ascii="Arial" w:cs="Arial" w:eastAsia="Arial" w:hAnsi="Arial"/>
          <w:sz w:val="16"/>
          <w:szCs w:val="16"/>
          <w:color w:val="010000"/>
        </w:rPr>
        <w:t xml:space="preserve"> </w:t>
      </w:r>
      <w:r>
        <w:rPr>
          <w:rFonts w:ascii="Arial" w:cs="Arial" w:eastAsia="Arial" w:hAnsi="Arial"/>
          <w:sz w:val="16"/>
          <w:szCs w:val="16"/>
          <w:color w:val="000000"/>
        </w:rPr>
        <w:t>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9</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MISCELLANEOUS PROVISIONS</w:t>
      </w:r>
    </w:p>
    <w:p>
      <w:pPr>
        <w:spacing w:after="0" w:line="194"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010000"/>
        </w:rPr>
        <w:t xml:space="preserve">9.1 </w:t>
      </w:r>
      <w:r>
        <w:rPr>
          <w:rFonts w:ascii="Arial" w:cs="Arial" w:eastAsia="Arial" w:hAnsi="Arial"/>
          <w:sz w:val="16"/>
          <w:szCs w:val="16"/>
          <w:color w:val="000000"/>
        </w:rPr>
        <w:t>Not Transferable. Except as provided below, Options, SARs, Restricted Shares, Deferred Shares, Performance Awards, Dividend Equivalents</w:t>
      </w:r>
      <w:r>
        <w:rPr>
          <w:rFonts w:ascii="Arial" w:cs="Arial" w:eastAsia="Arial" w:hAnsi="Arial"/>
          <w:sz w:val="16"/>
          <w:szCs w:val="16"/>
          <w:color w:val="010000"/>
        </w:rPr>
        <w:t xml:space="preserve"> </w:t>
      </w:r>
      <w:r>
        <w:rPr>
          <w:rFonts w:ascii="Arial" w:cs="Arial" w:eastAsia="Arial" w:hAnsi="Arial"/>
          <w:sz w:val="16"/>
          <w:szCs w:val="16"/>
          <w:color w:val="000000"/>
        </w:rPr>
        <w:t>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166" w:lineRule="exact"/>
        <w:rPr>
          <w:sz w:val="20"/>
          <w:szCs w:val="20"/>
          <w:color w:val="auto"/>
        </w:rPr>
      </w:pPr>
    </w:p>
    <w:p>
      <w:pPr>
        <w:ind w:firstLine="648"/>
        <w:spacing w:after="0" w:line="225" w:lineRule="auto"/>
        <w:rPr>
          <w:sz w:val="20"/>
          <w:szCs w:val="20"/>
          <w:color w:val="auto"/>
        </w:rPr>
      </w:pPr>
      <w:r>
        <w:rPr>
          <w:rFonts w:ascii="Arial" w:cs="Arial" w:eastAsia="Arial" w:hAnsi="Arial"/>
          <w:sz w:val="16"/>
          <w:szCs w:val="16"/>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64"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color w:val="000000"/>
        </w:rPr>
        <w:t>Amendment, Suspension or Termination of the Plan. This Plan may be wholly or partially amended or otherwise modified, suspended or</w:t>
      </w:r>
      <w:r>
        <w:rPr>
          <w:rFonts w:ascii="Arial" w:cs="Arial" w:eastAsia="Arial" w:hAnsi="Arial"/>
          <w:sz w:val="16"/>
          <w:szCs w:val="16"/>
          <w:color w:val="010000"/>
        </w:rPr>
        <w:t xml:space="preserve"> </w:t>
      </w:r>
      <w:r>
        <w:rPr>
          <w:rFonts w:ascii="Arial" w:cs="Arial" w:eastAsia="Arial" w:hAnsi="Arial"/>
          <w:sz w:val="16"/>
          <w:szCs w:val="16"/>
          <w:color w:val="000000"/>
        </w:rPr>
        <w:t>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hanging="376"/>
        <w:spacing w:after="0"/>
        <w:tabs>
          <w:tab w:leader="none" w:pos="1680"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The expiration of ten years from the date the Plan was adopted by the Board of Directors of Civeo US; or</w:t>
      </w:r>
    </w:p>
    <w:p>
      <w:pPr>
        <w:spacing w:after="0" w:line="194" w:lineRule="exact"/>
        <w:rPr>
          <w:rFonts w:ascii="Arial" w:cs="Arial" w:eastAsia="Arial" w:hAnsi="Arial"/>
          <w:sz w:val="16"/>
          <w:szCs w:val="16"/>
          <w:color w:val="010000"/>
        </w:rPr>
      </w:pPr>
    </w:p>
    <w:p>
      <w:pPr>
        <w:ind w:left="1680" w:hanging="376"/>
        <w:spacing w:after="0"/>
        <w:tabs>
          <w:tab w:leader="none" w:pos="1680"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The expiration of ten years from the date the Plan was approved by the shareholder of Civeo US under Section 9.4.</w:t>
      </w:r>
    </w:p>
    <w:p>
      <w:pPr>
        <w:spacing w:after="0" w:line="19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9.3</w:t>
      </w:r>
      <w:r>
        <w:rPr>
          <w:rFonts w:ascii="Arial" w:cs="Arial" w:eastAsia="Arial" w:hAnsi="Arial"/>
          <w:sz w:val="16"/>
          <w:szCs w:val="16"/>
          <w:color w:val="auto"/>
        </w:rPr>
        <w:tab/>
        <w:t>Changes in Common Shares or Assets of the Company; Acquisition or Liquidation of the Company and Other Corporate Events.</w:t>
      </w:r>
    </w:p>
    <w:p>
      <w:pPr>
        <w:spacing w:after="0" w:line="194" w:lineRule="exact"/>
        <w:rPr>
          <w:sz w:val="20"/>
          <w:szCs w:val="20"/>
          <w:color w:val="auto"/>
        </w:rPr>
      </w:pPr>
    </w:p>
    <w:p>
      <w:pPr>
        <w:ind w:right="180" w:firstLine="1304"/>
        <w:spacing w:after="0" w:line="219" w:lineRule="auto"/>
        <w:tabs>
          <w:tab w:leader="none" w:pos="1674" w:val="left"/>
        </w:tabs>
        <w:numPr>
          <w:ilvl w:val="0"/>
          <w:numId w:val="102"/>
        </w:numPr>
        <w:rPr>
          <w:rFonts w:ascii="Arial" w:cs="Arial" w:eastAsia="Arial" w:hAnsi="Arial"/>
          <w:sz w:val="16"/>
          <w:szCs w:val="16"/>
          <w:color w:val="010000"/>
        </w:rPr>
      </w:pPr>
      <w:r>
        <w:rPr>
          <w:rFonts w:ascii="Arial" w:cs="Arial" w:eastAsia="Arial" w:hAnsi="Arial"/>
          <w:sz w:val="16"/>
          <w:szCs w:val="16"/>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168" w:lineRule="exact"/>
        <w:rPr>
          <w:rFonts w:ascii="Arial" w:cs="Arial" w:eastAsia="Arial" w:hAnsi="Arial"/>
          <w:sz w:val="16"/>
          <w:szCs w:val="16"/>
          <w:color w:val="010000"/>
        </w:rPr>
      </w:pPr>
    </w:p>
    <w:p>
      <w:pPr>
        <w:ind w:left="660" w:right="100" w:firstLine="1292"/>
        <w:spacing w:after="0" w:line="228" w:lineRule="auto"/>
        <w:tabs>
          <w:tab w:leader="none" w:pos="2280" w:val="left"/>
        </w:tabs>
        <w:numPr>
          <w:ilvl w:val="1"/>
          <w:numId w:val="102"/>
        </w:numPr>
        <w:rPr>
          <w:rFonts w:ascii="Arial" w:cs="Arial" w:eastAsia="Arial" w:hAnsi="Arial"/>
          <w:sz w:val="16"/>
          <w:szCs w:val="16"/>
          <w:color w:val="010000"/>
        </w:rPr>
      </w:pPr>
      <w:r>
        <w:rPr>
          <w:rFonts w:ascii="Arial" w:cs="Arial" w:eastAsia="Arial" w:hAnsi="Arial"/>
          <w:sz w:val="16"/>
          <w:szCs w:val="16"/>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64" w:lineRule="exact"/>
        <w:rPr>
          <w:rFonts w:ascii="Arial" w:cs="Arial" w:eastAsia="Arial" w:hAnsi="Arial"/>
          <w:sz w:val="16"/>
          <w:szCs w:val="16"/>
          <w:color w:val="010000"/>
        </w:rPr>
      </w:pPr>
    </w:p>
    <w:p>
      <w:pPr>
        <w:ind w:left="660" w:right="640" w:firstLine="1292"/>
        <w:spacing w:after="0" w:line="234" w:lineRule="auto"/>
        <w:tabs>
          <w:tab w:leader="none" w:pos="2316" w:val="left"/>
        </w:tabs>
        <w:numPr>
          <w:ilvl w:val="1"/>
          <w:numId w:val="102"/>
        </w:numPr>
        <w:rPr>
          <w:rFonts w:ascii="Arial" w:cs="Arial" w:eastAsia="Arial" w:hAnsi="Arial"/>
          <w:sz w:val="16"/>
          <w:szCs w:val="16"/>
          <w:color w:val="010000"/>
        </w:rPr>
      </w:pPr>
      <w:r>
        <w:rPr>
          <w:rFonts w:ascii="Arial" w:cs="Arial" w:eastAsia="Arial" w:hAnsi="Arial"/>
          <w:sz w:val="16"/>
          <w:szCs w:val="16"/>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163" w:lineRule="exact"/>
        <w:rPr>
          <w:rFonts w:ascii="Arial" w:cs="Arial" w:eastAsia="Arial" w:hAnsi="Arial"/>
          <w:sz w:val="16"/>
          <w:szCs w:val="16"/>
          <w:color w:val="010000"/>
        </w:rPr>
      </w:pPr>
    </w:p>
    <w:p>
      <w:pPr>
        <w:ind w:left="2340" w:hanging="388"/>
        <w:spacing w:after="0"/>
        <w:tabs>
          <w:tab w:leader="none" w:pos="2340" w:val="left"/>
        </w:tabs>
        <w:numPr>
          <w:ilvl w:val="1"/>
          <w:numId w:val="102"/>
        </w:numPr>
        <w:rPr>
          <w:rFonts w:ascii="Arial" w:cs="Arial" w:eastAsia="Arial" w:hAnsi="Arial"/>
          <w:sz w:val="16"/>
          <w:szCs w:val="16"/>
          <w:color w:val="010000"/>
        </w:rPr>
      </w:pPr>
      <w:r>
        <w:rPr>
          <w:rFonts w:ascii="Arial" w:cs="Arial" w:eastAsia="Arial" w:hAnsi="Arial"/>
          <w:sz w:val="16"/>
          <w:szCs w:val="16"/>
          <w:color w:val="auto"/>
        </w:rPr>
        <w:t>the grant or exercise price with respect to any Option, SAR, Performance Award, Dividend Equivalent or Share Payment.</w:t>
      </w:r>
    </w:p>
    <w:p>
      <w:pPr>
        <w:spacing w:after="0" w:line="194" w:lineRule="exact"/>
        <w:rPr>
          <w:sz w:val="20"/>
          <w:szCs w:val="20"/>
          <w:color w:val="auto"/>
        </w:rPr>
      </w:pPr>
    </w:p>
    <w:p>
      <w:pPr>
        <w:ind w:right="520" w:firstLine="648"/>
        <w:spacing w:after="0" w:line="234" w:lineRule="auto"/>
        <w:rPr>
          <w:sz w:val="20"/>
          <w:szCs w:val="20"/>
          <w:color w:val="auto"/>
        </w:rPr>
      </w:pPr>
      <w:r>
        <w:rPr>
          <w:rFonts w:ascii="Arial" w:cs="Arial" w:eastAsia="Arial" w:hAnsi="Arial"/>
          <w:sz w:val="16"/>
          <w:szCs w:val="16"/>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any successor accounting standard, such adjustment by the Committee shall be required.</w:t>
      </w:r>
    </w:p>
    <w:p>
      <w:pPr>
        <w:spacing w:after="0" w:line="164" w:lineRule="exact"/>
        <w:rPr>
          <w:sz w:val="20"/>
          <w:szCs w:val="20"/>
          <w:color w:val="auto"/>
        </w:rPr>
      </w:pPr>
    </w:p>
    <w:p>
      <w:pPr>
        <w:ind w:right="300" w:firstLine="1304"/>
        <w:spacing w:after="0" w:line="228" w:lineRule="auto"/>
        <w:tabs>
          <w:tab w:leader="none" w:pos="1674"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164" w:lineRule="exact"/>
        <w:rPr>
          <w:rFonts w:ascii="Arial" w:cs="Arial" w:eastAsia="Arial" w:hAnsi="Arial"/>
          <w:sz w:val="16"/>
          <w:szCs w:val="16"/>
          <w:color w:val="010000"/>
        </w:rPr>
      </w:pPr>
    </w:p>
    <w:p>
      <w:pPr>
        <w:ind w:right="180" w:firstLine="1304"/>
        <w:spacing w:after="0" w:line="222" w:lineRule="auto"/>
        <w:tabs>
          <w:tab w:leader="none" w:pos="1665"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66" w:lineRule="exact"/>
        <w:rPr>
          <w:rFonts w:ascii="Arial" w:cs="Arial" w:eastAsia="Arial" w:hAnsi="Arial"/>
          <w:sz w:val="16"/>
          <w:szCs w:val="16"/>
          <w:color w:val="010000"/>
        </w:rPr>
      </w:pPr>
    </w:p>
    <w:p>
      <w:pPr>
        <w:ind w:left="660" w:right="80" w:firstLine="1292"/>
        <w:spacing w:after="0" w:line="225" w:lineRule="auto"/>
        <w:tabs>
          <w:tab w:leader="none" w:pos="2280" w:val="left"/>
        </w:tabs>
        <w:numPr>
          <w:ilvl w:val="1"/>
          <w:numId w:val="103"/>
        </w:numPr>
        <w:rPr>
          <w:rFonts w:ascii="Arial" w:cs="Arial" w:eastAsia="Arial" w:hAnsi="Arial"/>
          <w:sz w:val="16"/>
          <w:szCs w:val="16"/>
          <w:color w:val="010000"/>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163" w:lineRule="exact"/>
        <w:rPr>
          <w:rFonts w:ascii="Arial" w:cs="Arial" w:eastAsia="Arial" w:hAnsi="Arial"/>
          <w:sz w:val="16"/>
          <w:szCs w:val="16"/>
          <w:color w:val="010000"/>
        </w:rPr>
      </w:pPr>
    </w:p>
    <w:p>
      <w:pPr>
        <w:ind w:left="660" w:right="500" w:firstLine="1292"/>
        <w:spacing w:after="0" w:line="234" w:lineRule="auto"/>
        <w:tabs>
          <w:tab w:leader="none" w:pos="2316" w:val="left"/>
        </w:tabs>
        <w:numPr>
          <w:ilvl w:val="1"/>
          <w:numId w:val="103"/>
        </w:numPr>
        <w:rPr>
          <w:rFonts w:ascii="Arial" w:cs="Arial" w:eastAsia="Arial" w:hAnsi="Arial"/>
          <w:sz w:val="16"/>
          <w:szCs w:val="16"/>
          <w:color w:val="010000"/>
        </w:rPr>
      </w:pPr>
      <w:r>
        <w:rPr>
          <w:rFonts w:ascii="Arial" w:cs="Arial" w:eastAsia="Arial" w:hAnsi="Arial"/>
          <w:sz w:val="16"/>
          <w:szCs w:val="16"/>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163" w:lineRule="exact"/>
        <w:rPr>
          <w:rFonts w:ascii="Arial" w:cs="Arial" w:eastAsia="Arial" w:hAnsi="Arial"/>
          <w:sz w:val="16"/>
          <w:szCs w:val="16"/>
          <w:color w:val="010000"/>
        </w:rPr>
      </w:pPr>
    </w:p>
    <w:p>
      <w:pPr>
        <w:ind w:left="660" w:right="120" w:firstLine="1292"/>
        <w:spacing w:after="0" w:line="225" w:lineRule="auto"/>
        <w:tabs>
          <w:tab w:leader="none" w:pos="2352" w:val="left"/>
        </w:tabs>
        <w:numPr>
          <w:ilvl w:val="1"/>
          <w:numId w:val="103"/>
        </w:numPr>
        <w:rPr>
          <w:rFonts w:ascii="Arial" w:cs="Arial" w:eastAsia="Arial" w:hAnsi="Arial"/>
          <w:sz w:val="16"/>
          <w:szCs w:val="16"/>
          <w:color w:val="010000"/>
        </w:rPr>
      </w:pPr>
      <w:r>
        <w:rPr>
          <w:rFonts w:ascii="Arial" w:cs="Arial" w:eastAsia="Arial" w:hAnsi="Arial"/>
          <w:sz w:val="16"/>
          <w:szCs w:val="16"/>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163" w:lineRule="exact"/>
        <w:rPr>
          <w:rFonts w:ascii="Arial" w:cs="Arial" w:eastAsia="Arial" w:hAnsi="Arial"/>
          <w:sz w:val="16"/>
          <w:szCs w:val="16"/>
          <w:color w:val="010000"/>
        </w:rPr>
      </w:pPr>
    </w:p>
    <w:p>
      <w:pPr>
        <w:ind w:left="660" w:right="60" w:firstLine="1292"/>
        <w:spacing w:after="0" w:line="234" w:lineRule="auto"/>
        <w:tabs>
          <w:tab w:leader="none" w:pos="2361" w:val="left"/>
        </w:tabs>
        <w:numPr>
          <w:ilvl w:val="1"/>
          <w:numId w:val="103"/>
        </w:numPr>
        <w:rPr>
          <w:rFonts w:ascii="Arial" w:cs="Arial" w:eastAsia="Arial" w:hAnsi="Arial"/>
          <w:sz w:val="16"/>
          <w:szCs w:val="16"/>
          <w:color w:val="010000"/>
        </w:rPr>
      </w:pPr>
      <w:r>
        <w:rPr>
          <w:rFonts w:ascii="Arial" w:cs="Arial" w:eastAsia="Arial" w:hAnsi="Arial"/>
          <w:sz w:val="16"/>
          <w:szCs w:val="16"/>
          <w:color w:val="auto"/>
        </w:rPr>
        <w:t>In its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upon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80"/>
        <w:spacing w:after="0" w:line="234" w:lineRule="auto"/>
        <w:rPr>
          <w:sz w:val="20"/>
          <w:szCs w:val="20"/>
          <w:color w:val="auto"/>
        </w:rPr>
      </w:pPr>
      <w:r>
        <w:rPr>
          <w:rFonts w:ascii="Arial" w:cs="Arial" w:eastAsia="Arial" w:hAnsi="Arial"/>
          <w:sz w:val="16"/>
          <w:szCs w:val="16"/>
          <w:color w:val="auto"/>
        </w:rPr>
        <w:t>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64" w:lineRule="exact"/>
        <w:rPr>
          <w:sz w:val="20"/>
          <w:szCs w:val="20"/>
          <w:color w:val="auto"/>
        </w:rPr>
      </w:pPr>
    </w:p>
    <w:p>
      <w:pPr>
        <w:ind w:left="660" w:right="260" w:firstLine="1292"/>
        <w:spacing w:after="0" w:line="225" w:lineRule="auto"/>
        <w:tabs>
          <w:tab w:leader="none" w:pos="2325" w:val="left"/>
        </w:tabs>
        <w:numPr>
          <w:ilvl w:val="1"/>
          <w:numId w:val="104"/>
        </w:numPr>
        <w:rPr>
          <w:rFonts w:ascii="Arial" w:cs="Arial" w:eastAsia="Arial" w:hAnsi="Arial"/>
          <w:sz w:val="16"/>
          <w:szCs w:val="16"/>
          <w:color w:val="010000"/>
        </w:rPr>
      </w:pPr>
      <w:r>
        <w:rPr>
          <w:rFonts w:ascii="Arial" w:cs="Arial" w:eastAsia="Arial" w:hAnsi="Arial"/>
          <w:sz w:val="16"/>
          <w:szCs w:val="16"/>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163" w:lineRule="exact"/>
        <w:rPr>
          <w:rFonts w:ascii="Arial" w:cs="Arial" w:eastAsia="Arial" w:hAnsi="Arial"/>
          <w:sz w:val="16"/>
          <w:szCs w:val="16"/>
          <w:color w:val="010000"/>
        </w:rPr>
      </w:pPr>
    </w:p>
    <w:p>
      <w:pPr>
        <w:ind w:left="660" w:right="60" w:firstLine="1292"/>
        <w:spacing w:after="0" w:line="228" w:lineRule="auto"/>
        <w:tabs>
          <w:tab w:leader="none" w:pos="2361" w:val="left"/>
        </w:tabs>
        <w:numPr>
          <w:ilvl w:val="1"/>
          <w:numId w:val="104"/>
        </w:numPr>
        <w:rPr>
          <w:rFonts w:ascii="Arial" w:cs="Arial" w:eastAsia="Arial" w:hAnsi="Arial"/>
          <w:sz w:val="16"/>
          <w:szCs w:val="16"/>
          <w:color w:val="010000"/>
        </w:rPr>
      </w:pPr>
      <w:r>
        <w:rPr>
          <w:rFonts w:ascii="Arial" w:cs="Arial" w:eastAsia="Arial" w:hAnsi="Arial"/>
          <w:sz w:val="16"/>
          <w:szCs w:val="16"/>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164" w:lineRule="exact"/>
        <w:rPr>
          <w:rFonts w:ascii="Arial" w:cs="Arial" w:eastAsia="Arial" w:hAnsi="Arial"/>
          <w:sz w:val="16"/>
          <w:szCs w:val="16"/>
          <w:color w:val="010000"/>
        </w:rPr>
      </w:pPr>
    </w:p>
    <w:p>
      <w:pPr>
        <w:ind w:left="660" w:right="180" w:firstLine="1292"/>
        <w:spacing w:after="0" w:line="251" w:lineRule="auto"/>
        <w:tabs>
          <w:tab w:leader="none" w:pos="2397" w:val="left"/>
        </w:tabs>
        <w:numPr>
          <w:ilvl w:val="1"/>
          <w:numId w:val="104"/>
        </w:numPr>
        <w:rPr>
          <w:rFonts w:ascii="Arial" w:cs="Arial" w:eastAsia="Arial" w:hAnsi="Arial"/>
          <w:sz w:val="16"/>
          <w:szCs w:val="16"/>
          <w:color w:val="010000"/>
        </w:rPr>
      </w:pPr>
      <w:r>
        <w:rPr>
          <w:rFonts w:ascii="Arial" w:cs="Arial" w:eastAsia="Arial" w:hAnsi="Arial"/>
          <w:sz w:val="16"/>
          <w:szCs w:val="16"/>
          <w:color w:val="auto"/>
        </w:rPr>
        <w:t>In its discretion, and on such terms and conditions as it deems appropriate, the Committee may make adjustments to the Performance Objectives of any outstanding award.</w:t>
      </w:r>
    </w:p>
    <w:p>
      <w:pPr>
        <w:spacing w:after="0" w:line="155" w:lineRule="exact"/>
        <w:rPr>
          <w:rFonts w:ascii="Arial" w:cs="Arial" w:eastAsia="Arial" w:hAnsi="Arial"/>
          <w:sz w:val="16"/>
          <w:szCs w:val="16"/>
          <w:color w:val="010000"/>
        </w:rPr>
      </w:pPr>
    </w:p>
    <w:p>
      <w:pPr>
        <w:ind w:right="100" w:firstLine="1304"/>
        <w:spacing w:after="0" w:line="222" w:lineRule="auto"/>
        <w:tabs>
          <w:tab w:leader="none" w:pos="1674"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166" w:lineRule="exact"/>
        <w:rPr>
          <w:rFonts w:ascii="Arial" w:cs="Arial" w:eastAsia="Arial" w:hAnsi="Arial"/>
          <w:sz w:val="16"/>
          <w:szCs w:val="16"/>
          <w:color w:val="010000"/>
        </w:rPr>
      </w:pPr>
    </w:p>
    <w:p>
      <w:pPr>
        <w:ind w:right="20" w:firstLine="1304"/>
        <w:spacing w:after="0" w:line="222" w:lineRule="auto"/>
        <w:tabs>
          <w:tab w:leader="none" w:pos="1674"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67" w:lineRule="exact"/>
        <w:rPr>
          <w:sz w:val="20"/>
          <w:szCs w:val="20"/>
          <w:color w:val="auto"/>
        </w:rPr>
      </w:pPr>
    </w:p>
    <w:p>
      <w:pPr>
        <w:ind w:right="100" w:firstLine="648"/>
        <w:spacing w:after="0" w:line="234" w:lineRule="auto"/>
        <w:rPr>
          <w:sz w:val="20"/>
          <w:szCs w:val="20"/>
          <w:color w:val="auto"/>
        </w:rPr>
      </w:pPr>
      <w:r>
        <w:rPr>
          <w:rFonts w:ascii="Arial" w:cs="Arial" w:eastAsia="Arial" w:hAnsi="Arial"/>
          <w:sz w:val="16"/>
          <w:szCs w:val="16"/>
          <w:color w:val="010000"/>
        </w:rPr>
        <w:t xml:space="preserve">9.4 </w:t>
      </w:r>
      <w:r>
        <w:rPr>
          <w:rFonts w:ascii="Arial" w:cs="Arial" w:eastAsia="Arial" w:hAnsi="Arial"/>
          <w:sz w:val="16"/>
          <w:szCs w:val="16"/>
          <w:color w:val="000000"/>
        </w:rPr>
        <w:t>Approval of Plan by Shareholders. The Plan was approved by Oil States International, Inc., the sole shareholder of Civeo US, a predecessor</w:t>
      </w:r>
      <w:r>
        <w:rPr>
          <w:rFonts w:ascii="Arial" w:cs="Arial" w:eastAsia="Arial" w:hAnsi="Arial"/>
          <w:sz w:val="16"/>
          <w:szCs w:val="16"/>
          <w:color w:val="010000"/>
        </w:rPr>
        <w:t xml:space="preserve"> </w:t>
      </w:r>
      <w:r>
        <w:rPr>
          <w:rFonts w:ascii="Arial" w:cs="Arial" w:eastAsia="Arial" w:hAnsi="Arial"/>
          <w:sz w:val="16"/>
          <w:szCs w:val="16"/>
          <w:color w:val="000000"/>
        </w:rPr>
        <w:t>of the Company, on May 5, 2014, and its amendment and restatement was approved by the shareholders of the Company at its annual meeting of shareholders on May 12, 2016.</w:t>
      </w:r>
    </w:p>
    <w:p>
      <w:pPr>
        <w:spacing w:after="0" w:line="164" w:lineRule="exact"/>
        <w:rPr>
          <w:sz w:val="20"/>
          <w:szCs w:val="20"/>
          <w:color w:val="auto"/>
        </w:rPr>
      </w:pPr>
    </w:p>
    <w:p>
      <w:pPr>
        <w:ind w:firstLine="648"/>
        <w:spacing w:after="0" w:line="219" w:lineRule="auto"/>
        <w:rPr>
          <w:sz w:val="20"/>
          <w:szCs w:val="20"/>
          <w:color w:val="auto"/>
        </w:rPr>
      </w:pPr>
      <w:r>
        <w:rPr>
          <w:rFonts w:ascii="Arial" w:cs="Arial" w:eastAsia="Arial" w:hAnsi="Arial"/>
          <w:sz w:val="16"/>
          <w:szCs w:val="16"/>
          <w:color w:val="010000"/>
        </w:rPr>
        <w:t xml:space="preserve">9.5 </w:t>
      </w:r>
      <w:r>
        <w:rPr>
          <w:rFonts w:ascii="Arial" w:cs="Arial" w:eastAsia="Arial" w:hAnsi="Arial"/>
          <w:sz w:val="16"/>
          <w:szCs w:val="16"/>
          <w:color w:val="000000"/>
        </w:rPr>
        <w:t>Tax Withholding. The Company and any of its Affiliates shall be entitled to require payment in cash or deduction from other compensation</w:t>
      </w:r>
      <w:r>
        <w:rPr>
          <w:rFonts w:ascii="Arial" w:cs="Arial" w:eastAsia="Arial" w:hAnsi="Arial"/>
          <w:sz w:val="16"/>
          <w:szCs w:val="16"/>
          <w:color w:val="010000"/>
        </w:rPr>
        <w:t xml:space="preserve"> </w:t>
      </w:r>
      <w:r>
        <w:rPr>
          <w:rFonts w:ascii="Arial" w:cs="Arial" w:eastAsia="Arial" w:hAnsi="Arial"/>
          <w:sz w:val="16"/>
          <w:szCs w:val="16"/>
          <w:color w:val="000000"/>
        </w:rPr>
        <w:t>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69" w:lineRule="exact"/>
        <w:rPr>
          <w:sz w:val="20"/>
          <w:szCs w:val="20"/>
          <w:color w:val="auto"/>
        </w:rPr>
      </w:pPr>
    </w:p>
    <w:p>
      <w:pPr>
        <w:ind w:right="80" w:firstLine="648"/>
        <w:spacing w:after="0" w:line="218" w:lineRule="auto"/>
        <w:rPr>
          <w:sz w:val="20"/>
          <w:szCs w:val="20"/>
          <w:color w:val="auto"/>
        </w:rPr>
      </w:pPr>
      <w:r>
        <w:rPr>
          <w:rFonts w:ascii="Arial" w:cs="Arial" w:eastAsia="Arial" w:hAnsi="Arial"/>
          <w:sz w:val="16"/>
          <w:szCs w:val="16"/>
          <w:color w:val="010000"/>
        </w:rPr>
        <w:t xml:space="preserve">9.6 </w:t>
      </w:r>
      <w:r>
        <w:rPr>
          <w:rFonts w:ascii="Arial" w:cs="Arial" w:eastAsia="Arial" w:hAnsi="Arial"/>
          <w:sz w:val="16"/>
          <w:szCs w:val="16"/>
          <w:color w:val="000000"/>
        </w:rPr>
        <w:t>Limitations Applicable to Section 16 Persons and Performance-Based Compensation. Notwithstanding any other provision of the Plan, the</w:t>
      </w:r>
      <w:r>
        <w:rPr>
          <w:rFonts w:ascii="Arial" w:cs="Arial" w:eastAsia="Arial" w:hAnsi="Arial"/>
          <w:sz w:val="16"/>
          <w:szCs w:val="16"/>
          <w:color w:val="010000"/>
        </w:rPr>
        <w:t xml:space="preserve"> </w:t>
      </w:r>
      <w:r>
        <w:rPr>
          <w:rFonts w:ascii="Arial" w:cs="Arial" w:eastAsia="Arial" w:hAnsi="Arial"/>
          <w:sz w:val="16"/>
          <w:szCs w:val="16"/>
          <w:color w:val="000000"/>
        </w:rPr>
        <w:t>Plan and any Option, SAR, Performance Award, Dividend Equivalent or Share Payment granted, or Restricted Share or Deferred Share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 (4)(C)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65" w:lineRule="exact"/>
        <w:rPr>
          <w:sz w:val="20"/>
          <w:szCs w:val="20"/>
          <w:color w:val="auto"/>
        </w:rPr>
      </w:pPr>
    </w:p>
    <w:p>
      <w:pPr>
        <w:ind w:right="220" w:firstLine="648"/>
        <w:spacing w:after="0" w:line="234" w:lineRule="auto"/>
        <w:rPr>
          <w:sz w:val="20"/>
          <w:szCs w:val="20"/>
          <w:color w:val="auto"/>
        </w:rPr>
      </w:pPr>
      <w:r>
        <w:rPr>
          <w:rFonts w:ascii="Arial" w:cs="Arial" w:eastAsia="Arial" w:hAnsi="Arial"/>
          <w:sz w:val="16"/>
          <w:szCs w:val="16"/>
          <w:color w:val="010000"/>
        </w:rPr>
        <w:t xml:space="preserve">9.7 </w:t>
      </w:r>
      <w:r>
        <w:rPr>
          <w:rFonts w:ascii="Arial" w:cs="Arial" w:eastAsia="Arial" w:hAnsi="Arial"/>
          <w:sz w:val="16"/>
          <w:szCs w:val="16"/>
          <w:color w:val="000000"/>
        </w:rPr>
        <w:t>Clawback Policy. Notwithstanding any other provisions in this Plan, any Award shall be subject to recovery or clawback by the Company</w:t>
      </w:r>
      <w:r>
        <w:rPr>
          <w:rFonts w:ascii="Arial" w:cs="Arial" w:eastAsia="Arial" w:hAnsi="Arial"/>
          <w:sz w:val="16"/>
          <w:szCs w:val="16"/>
          <w:color w:val="010000"/>
        </w:rPr>
        <w:t xml:space="preserve"> </w:t>
      </w:r>
      <w:r>
        <w:rPr>
          <w:rFonts w:ascii="Arial" w:cs="Arial" w:eastAsia="Arial" w:hAnsi="Arial"/>
          <w:sz w:val="16"/>
          <w:szCs w:val="16"/>
          <w:color w:val="000000"/>
        </w:rPr>
        <w:t>under any clawback policy adopted by the Company in accordance with SEC regulations or other applicable law, as amended or superseded from time to time.</w:t>
      </w:r>
    </w:p>
    <w:p>
      <w:pPr>
        <w:spacing w:after="0" w:line="16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010000"/>
        </w:rPr>
        <w:t>9.8</w:t>
      </w:r>
      <w:r>
        <w:rPr>
          <w:rFonts w:ascii="Arial" w:cs="Arial" w:eastAsia="Arial" w:hAnsi="Arial"/>
          <w:sz w:val="16"/>
          <w:szCs w:val="16"/>
          <w:color w:val="auto"/>
        </w:rPr>
        <w:tab/>
        <w:t>Section 409A.</w:t>
      </w:r>
    </w:p>
    <w:p>
      <w:pPr>
        <w:spacing w:after="0" w:line="194" w:lineRule="exact"/>
        <w:rPr>
          <w:sz w:val="20"/>
          <w:szCs w:val="20"/>
          <w:color w:val="auto"/>
        </w:rPr>
      </w:pPr>
    </w:p>
    <w:p>
      <w:pPr>
        <w:ind w:firstLine="1304"/>
        <w:spacing w:after="0" w:line="228" w:lineRule="auto"/>
        <w:tabs>
          <w:tab w:leader="none" w:pos="1674" w:val="left"/>
        </w:tabs>
        <w:numPr>
          <w:ilvl w:val="0"/>
          <w:numId w:val="106"/>
        </w:numPr>
        <w:rPr>
          <w:rFonts w:ascii="Arial" w:cs="Arial" w:eastAsia="Arial" w:hAnsi="Arial"/>
          <w:sz w:val="16"/>
          <w:szCs w:val="16"/>
          <w:color w:val="010000"/>
        </w:rPr>
      </w:pPr>
      <w:r>
        <w:rPr>
          <w:rFonts w:ascii="Arial" w:cs="Arial" w:eastAsia="Arial" w:hAnsi="Arial"/>
          <w:sz w:val="16"/>
          <w:szCs w:val="16"/>
          <w:color w:val="auto"/>
        </w:rPr>
        <w:t>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164" w:lineRule="exact"/>
        <w:rPr>
          <w:sz w:val="20"/>
          <w:szCs w:val="20"/>
          <w:color w:val="auto"/>
        </w:rPr>
      </w:pPr>
    </w:p>
    <w:p>
      <w:pPr>
        <w:ind w:right="40" w:firstLine="1304"/>
        <w:spacing w:after="0" w:line="225" w:lineRule="auto"/>
        <w:tabs>
          <w:tab w:leader="none" w:pos="1674" w:val="left"/>
        </w:tabs>
        <w:numPr>
          <w:ilvl w:val="1"/>
          <w:numId w:val="107"/>
        </w:numPr>
        <w:rPr>
          <w:rFonts w:ascii="Arial" w:cs="Arial" w:eastAsia="Arial" w:hAnsi="Arial"/>
          <w:sz w:val="16"/>
          <w:szCs w:val="16"/>
          <w:color w:val="010000"/>
        </w:rPr>
      </w:pPr>
      <w:r>
        <w:rPr>
          <w:rFonts w:ascii="Arial" w:cs="Arial" w:eastAsia="Arial" w:hAnsi="Arial"/>
          <w:sz w:val="16"/>
          <w:szCs w:val="16"/>
          <w:color w:val="auto"/>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 that is a Performance Award) is intended to be subject to Section 409A of the Code, the applicable award agreement shall include terms that are designed to satisfy the requirements of Section 409A of the Code.</w:t>
      </w:r>
    </w:p>
    <w:p>
      <w:pPr>
        <w:spacing w:after="0" w:line="163" w:lineRule="exact"/>
        <w:rPr>
          <w:rFonts w:ascii="Arial" w:cs="Arial" w:eastAsia="Arial" w:hAnsi="Arial"/>
          <w:sz w:val="16"/>
          <w:szCs w:val="16"/>
          <w:color w:val="010000"/>
        </w:rPr>
      </w:pPr>
    </w:p>
    <w:p>
      <w:pPr>
        <w:ind w:right="60" w:firstLine="1304"/>
        <w:spacing w:after="0" w:line="221" w:lineRule="auto"/>
        <w:tabs>
          <w:tab w:leader="none" w:pos="1665" w:val="left"/>
        </w:tabs>
        <w:numPr>
          <w:ilvl w:val="1"/>
          <w:numId w:val="107"/>
        </w:numPr>
        <w:rPr>
          <w:rFonts w:ascii="Arial" w:cs="Arial" w:eastAsia="Arial" w:hAnsi="Arial"/>
          <w:sz w:val="16"/>
          <w:szCs w:val="16"/>
          <w:color w:val="010000"/>
        </w:rPr>
      </w:pPr>
      <w:r>
        <w:rPr>
          <w:rFonts w:ascii="Arial" w:cs="Arial" w:eastAsia="Arial" w:hAnsi="Arial"/>
          <w:sz w:val="16"/>
          <w:szCs w:val="16"/>
          <w:color w:val="auto"/>
        </w:rPr>
        <w:t>If the Optionee or Grantee is identified by the Company as a “specified employee” within the meaning of Section 409A(a)(2)(B)(i) of the Code on the date on which the Optionee or Grantee has a “separation from service” (other than due to death) within the meaning of Treasury Regulation</w:t>
      </w:r>
    </w:p>
    <w:p>
      <w:pPr>
        <w:spacing w:after="0" w:line="1" w:lineRule="exact"/>
        <w:rPr>
          <w:rFonts w:ascii="Arial" w:cs="Arial" w:eastAsia="Arial" w:hAnsi="Arial"/>
          <w:sz w:val="16"/>
          <w:szCs w:val="16"/>
          <w:color w:val="010000"/>
        </w:rPr>
      </w:pPr>
    </w:p>
    <w:p>
      <w:pPr>
        <w:ind w:right="300" w:firstLine="8"/>
        <w:spacing w:after="0" w:line="227" w:lineRule="auto"/>
        <w:tabs>
          <w:tab w:leader="none" w:pos="1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64" w:lineRule="exact"/>
        <w:rPr>
          <w:sz w:val="20"/>
          <w:szCs w:val="20"/>
          <w:color w:val="auto"/>
        </w:rPr>
      </w:pPr>
    </w:p>
    <w:p>
      <w:pPr>
        <w:ind w:right="80" w:firstLine="648"/>
        <w:spacing w:after="0" w:line="225" w:lineRule="auto"/>
        <w:rPr>
          <w:sz w:val="20"/>
          <w:szCs w:val="20"/>
          <w:color w:val="auto"/>
        </w:rPr>
      </w:pPr>
      <w:r>
        <w:rPr>
          <w:rFonts w:ascii="Arial" w:cs="Arial" w:eastAsia="Arial" w:hAnsi="Arial"/>
          <w:sz w:val="16"/>
          <w:szCs w:val="16"/>
          <w:color w:val="010000"/>
        </w:rPr>
        <w:t xml:space="preserve">9.9 </w:t>
      </w:r>
      <w:r>
        <w:rPr>
          <w:rFonts w:ascii="Arial" w:cs="Arial" w:eastAsia="Arial" w:hAnsi="Arial"/>
          <w:sz w:val="16"/>
          <w:szCs w:val="16"/>
          <w:color w:val="000000"/>
        </w:rPr>
        <w:t>Effect of Plan Upon Options and Compensation Plans. The Plan shall not affect any other compensation or incentive plans in effect for the</w:t>
      </w:r>
      <w:r>
        <w:rPr>
          <w:rFonts w:ascii="Arial" w:cs="Arial" w:eastAsia="Arial" w:hAnsi="Arial"/>
          <w:sz w:val="16"/>
          <w:szCs w:val="16"/>
          <w:color w:val="010000"/>
        </w:rPr>
        <w:t xml:space="preserve"> </w:t>
      </w:r>
      <w:r>
        <w:rPr>
          <w:rFonts w:ascii="Arial" w:cs="Arial" w:eastAsia="Arial" w:hAnsi="Arial"/>
          <w:sz w:val="16"/>
          <w:szCs w:val="16"/>
          <w:color w:val="000000"/>
        </w:rPr>
        <w:t>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64" w:lineRule="exact"/>
        <w:rPr>
          <w:sz w:val="20"/>
          <w:szCs w:val="20"/>
          <w:color w:val="auto"/>
        </w:rPr>
      </w:pPr>
    </w:p>
    <w:p>
      <w:pPr>
        <w:ind w:right="40" w:firstLine="648"/>
        <w:spacing w:after="0" w:line="218" w:lineRule="auto"/>
        <w:rPr>
          <w:sz w:val="20"/>
          <w:szCs w:val="20"/>
          <w:color w:val="auto"/>
        </w:rPr>
      </w:pPr>
      <w:r>
        <w:rPr>
          <w:rFonts w:ascii="Arial" w:cs="Arial" w:eastAsia="Arial" w:hAnsi="Arial"/>
          <w:sz w:val="16"/>
          <w:szCs w:val="16"/>
          <w:color w:val="010000"/>
        </w:rPr>
        <w:t xml:space="preserve">9.10 </w:t>
      </w:r>
      <w:r>
        <w:rPr>
          <w:rFonts w:ascii="Arial" w:cs="Arial" w:eastAsia="Arial" w:hAnsi="Arial"/>
          <w:sz w:val="16"/>
          <w:szCs w:val="16"/>
          <w:color w:val="000000"/>
        </w:rPr>
        <w:t>Compliance with Laws. This Plan, the granting and vesting of Options, SARs, Restricted Shares, Deferred Shares, Performance Awards,</w:t>
      </w:r>
      <w:r>
        <w:rPr>
          <w:rFonts w:ascii="Arial" w:cs="Arial" w:eastAsia="Arial" w:hAnsi="Arial"/>
          <w:sz w:val="16"/>
          <w:szCs w:val="16"/>
          <w:color w:val="010000"/>
        </w:rPr>
        <w:t xml:space="preserve"> </w:t>
      </w:r>
      <w:r>
        <w:rPr>
          <w:rFonts w:ascii="Arial" w:cs="Arial" w:eastAsia="Arial" w:hAnsi="Arial"/>
          <w:sz w:val="16"/>
          <w:szCs w:val="16"/>
          <w:color w:val="000000"/>
        </w:rPr>
        <w:t>Dividend Equivalents or Share Payments under the Plan and the issuance 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16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color w:val="010000"/>
        </w:rPr>
        <w:t>9.11</w:t>
      </w:r>
      <w:r>
        <w:rPr>
          <w:rFonts w:ascii="Arial" w:cs="Arial" w:eastAsia="Arial" w:hAnsi="Arial"/>
          <w:sz w:val="16"/>
          <w:szCs w:val="16"/>
          <w:color w:val="auto"/>
        </w:rPr>
        <w:tab/>
        <w:t>Titles. Titles are provided herein for convenience only and are not to serve as a basis for interpretation or construction of the Plan.</w:t>
      </w:r>
    </w:p>
    <w:p>
      <w:pPr>
        <w:spacing w:after="0" w:line="194" w:lineRule="exact"/>
        <w:rPr>
          <w:sz w:val="20"/>
          <w:szCs w:val="20"/>
          <w:color w:val="auto"/>
        </w:rPr>
      </w:pPr>
    </w:p>
    <w:p>
      <w:pPr>
        <w:ind w:right="380" w:firstLine="648"/>
        <w:spacing w:after="0" w:line="251" w:lineRule="auto"/>
        <w:rPr>
          <w:sz w:val="20"/>
          <w:szCs w:val="20"/>
          <w:color w:val="auto"/>
        </w:rPr>
      </w:pPr>
      <w:r>
        <w:rPr>
          <w:rFonts w:ascii="Arial" w:cs="Arial" w:eastAsia="Arial" w:hAnsi="Arial"/>
          <w:sz w:val="16"/>
          <w:szCs w:val="16"/>
          <w:color w:val="010000"/>
        </w:rPr>
        <w:t xml:space="preserve">9.12 </w:t>
      </w:r>
      <w:r>
        <w:rPr>
          <w:rFonts w:ascii="Arial" w:cs="Arial" w:eastAsia="Arial" w:hAnsi="Arial"/>
          <w:sz w:val="16"/>
          <w:szCs w:val="16"/>
          <w:color w:val="000000"/>
        </w:rPr>
        <w:t>Governing Law. This Plan and any agreements hereunder shall be administered, interpreted and enforced under the internal laws of the</w:t>
      </w:r>
      <w:r>
        <w:rPr>
          <w:rFonts w:ascii="Arial" w:cs="Arial" w:eastAsia="Arial" w:hAnsi="Arial"/>
          <w:sz w:val="16"/>
          <w:szCs w:val="16"/>
          <w:color w:val="010000"/>
        </w:rPr>
        <w:t xml:space="preserve"> </w:t>
      </w:r>
      <w:r>
        <w:rPr>
          <w:rFonts w:ascii="Arial" w:cs="Arial" w:eastAsia="Arial" w:hAnsi="Arial"/>
          <w:sz w:val="16"/>
          <w:szCs w:val="16"/>
          <w:color w:val="000000"/>
        </w:rPr>
        <w:t>State of Texas without regard to conflicts of laws thereof.</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TO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CIVEO CORPORATION 2014 EQUITY PARTICIPATION PLAN</w:t>
      </w:r>
    </w:p>
    <w:p>
      <w:pPr>
        <w:spacing w:after="0" w:line="185" w:lineRule="exact"/>
        <w:rPr>
          <w:sz w:val="20"/>
          <w:szCs w:val="20"/>
          <w:color w:val="auto"/>
        </w:rPr>
      </w:pPr>
    </w:p>
    <w:p>
      <w:pPr>
        <w:ind w:right="740" w:firstLine="648"/>
        <w:spacing w:after="0" w:line="234" w:lineRule="auto"/>
        <w:rPr>
          <w:sz w:val="20"/>
          <w:szCs w:val="20"/>
          <w:color w:val="auto"/>
        </w:rPr>
      </w:pPr>
      <w:r>
        <w:rPr>
          <w:rFonts w:ascii="Arial" w:cs="Arial" w:eastAsia="Arial" w:hAnsi="Arial"/>
          <w:sz w:val="16"/>
          <w:szCs w:val="16"/>
          <w:b w:val="1"/>
          <w:bCs w:val="1"/>
          <w:color w:val="auto"/>
        </w:rPr>
        <w:t xml:space="preserve">WHEREAS, CIVEO CORPORATION </w:t>
      </w: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has heretofore adopted and restated the</w:t>
      </w:r>
      <w:r>
        <w:rPr>
          <w:rFonts w:ascii="Arial" w:cs="Arial" w:eastAsia="Arial" w:hAnsi="Arial"/>
          <w:sz w:val="16"/>
          <w:szCs w:val="16"/>
          <w:b w:val="1"/>
          <w:bCs w:val="1"/>
          <w:color w:val="auto"/>
        </w:rPr>
        <w:t xml:space="preserve"> CIVEO CORPORATION 2014 EQUITY PARTICIPATION PLAN </w:t>
      </w:r>
      <w:r>
        <w:rPr>
          <w:rFonts w:ascii="Arial" w:cs="Arial" w:eastAsia="Arial" w:hAnsi="Arial"/>
          <w:sz w:val="16"/>
          <w:szCs w:val="16"/>
          <w:color w:val="auto"/>
        </w:rPr>
        <w:t>(effective May 20, 2014 and as thereafter amended and restated as of May 12, 2016) (the “</w:t>
      </w:r>
      <w:r>
        <w:rPr>
          <w:rFonts w:ascii="Arial" w:cs="Arial" w:eastAsia="Arial" w:hAnsi="Arial"/>
          <w:sz w:val="16"/>
          <w:szCs w:val="16"/>
          <w:b w:val="1"/>
          <w:bCs w:val="1"/>
          <w:color w:val="auto"/>
        </w:rPr>
        <w:t>Plan</w:t>
      </w:r>
      <w:r>
        <w:rPr>
          <w:rFonts w:ascii="Arial" w:cs="Arial" w:eastAsia="Arial" w:hAnsi="Arial"/>
          <w:sz w:val="16"/>
          <w:szCs w:val="16"/>
          <w:color w:val="auto"/>
        </w:rPr>
        <w:t>”) for the benefit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directors and consultants of the Company and its subsidiaries; and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amend the Plan in certain respects;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amended as follows, effective as of January 1, 2017:</w:t>
      </w:r>
    </w:p>
    <w:p>
      <w:pPr>
        <w:spacing w:after="0" w:line="194"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Section 9.5 of the Plan shall be replaced in its entirety with the following:</w:t>
      </w:r>
    </w:p>
    <w:p>
      <w:pPr>
        <w:spacing w:after="0" w:line="194" w:lineRule="exact"/>
        <w:rPr>
          <w:sz w:val="20"/>
          <w:szCs w:val="20"/>
          <w:color w:val="auto"/>
        </w:rPr>
      </w:pPr>
    </w:p>
    <w:p>
      <w:pPr>
        <w:ind w:left="1300"/>
        <w:spacing w:after="0" w:line="21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spacing w:after="0" w:line="170" w:lineRule="exact"/>
        <w:rPr>
          <w:sz w:val="20"/>
          <w:szCs w:val="20"/>
          <w:color w:val="auto"/>
        </w:rPr>
      </w:pPr>
    </w:p>
    <w:p>
      <w:pPr>
        <w:jc w:val="right"/>
        <w:ind w:left="5540" w:right="5480" w:hanging="4884"/>
        <w:spacing w:after="0" w:line="726" w:lineRule="auto"/>
        <w:tabs>
          <w:tab w:leader="none" w:pos="96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amended hereby, the Plan is specifically ratified and reaffirmed.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AMENDMENT NO. 2 TO THE</w:t>
      </w:r>
    </w:p>
    <w:p>
      <w:pPr>
        <w:ind w:left="3940"/>
        <w:spacing w:after="0" w:line="197" w:lineRule="auto"/>
        <w:rPr>
          <w:sz w:val="20"/>
          <w:szCs w:val="20"/>
          <w:color w:val="auto"/>
        </w:rPr>
      </w:pPr>
      <w:r>
        <w:rPr>
          <w:rFonts w:ascii="Arial" w:cs="Arial" w:eastAsia="Arial" w:hAnsi="Arial"/>
          <w:sz w:val="20"/>
          <w:szCs w:val="20"/>
          <w:b w:val="1"/>
          <w:bCs w:val="1"/>
          <w:color w:val="auto"/>
        </w:rPr>
        <w:t>2014 EQUITY PARTICIPATION PLAN</w:t>
      </w:r>
    </w:p>
    <w:p>
      <w:pPr>
        <w:jc w:val="center"/>
        <w:spacing w:after="0" w:line="211" w:lineRule="auto"/>
        <w:rPr>
          <w:sz w:val="20"/>
          <w:szCs w:val="20"/>
          <w:color w:val="auto"/>
        </w:rPr>
      </w:pPr>
      <w:r>
        <w:rPr>
          <w:rFonts w:ascii="Arial" w:cs="Arial" w:eastAsia="Arial" w:hAnsi="Arial"/>
          <w:sz w:val="20"/>
          <w:szCs w:val="20"/>
          <w:b w:val="1"/>
          <w:bCs w:val="1"/>
          <w:color w:val="auto"/>
        </w:rPr>
        <w:t>OF CIVEO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as of May 12, 2016)</w:t>
      </w:r>
    </w:p>
    <w:p>
      <w:pPr>
        <w:spacing w:after="0" w:line="178" w:lineRule="exact"/>
        <w:rPr>
          <w:sz w:val="20"/>
          <w:szCs w:val="20"/>
          <w:color w:val="auto"/>
        </w:rPr>
      </w:pPr>
    </w:p>
    <w:p>
      <w:pPr>
        <w:ind w:right="320" w:firstLine="648"/>
        <w:spacing w:after="0" w:line="26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maintains the 2014 Equity Participation Plan of Civeo Corporation,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recently amended and restated as of May 12, 2016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40"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determined that, subject to and effective upon shareholder approval of the same, the Plan should be amended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the aggregate number of common shares of the Company, no par value, which may be issued pursuant to awards granted thereunder by 4,700,000 shares.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subject to and effective upon shareholder approval of the same, the Plan is hereby amended as follows:</w:t>
      </w:r>
    </w:p>
    <w:p>
      <w:pPr>
        <w:spacing w:after="0" w:line="194" w:lineRule="exact"/>
        <w:rPr>
          <w:sz w:val="20"/>
          <w:szCs w:val="20"/>
          <w:color w:val="auto"/>
        </w:rPr>
      </w:pPr>
    </w:p>
    <w:p>
      <w:pPr>
        <w:ind w:left="980" w:hanging="324"/>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Section 2.1(a) of the Plan is deleted in its entirety and replaced with the following:</w:t>
      </w:r>
    </w:p>
    <w:p>
      <w:pPr>
        <w:spacing w:after="0" w:line="194" w:lineRule="exact"/>
        <w:rPr>
          <w:sz w:val="20"/>
          <w:szCs w:val="20"/>
          <w:color w:val="auto"/>
        </w:rPr>
      </w:pPr>
    </w:p>
    <w:p>
      <w:pPr>
        <w:jc w:val="both"/>
        <w:ind w:left="660" w:right="580"/>
        <w:spacing w:after="0" w:line="225" w:lineRule="auto"/>
        <w:rPr>
          <w:sz w:val="20"/>
          <w:szCs w:val="20"/>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42"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AMENDMENT NO. 3 TO THE</w:t>
      </w:r>
    </w:p>
    <w:p>
      <w:pPr>
        <w:ind w:left="3940"/>
        <w:spacing w:after="0" w:line="197" w:lineRule="auto"/>
        <w:rPr>
          <w:sz w:val="20"/>
          <w:szCs w:val="20"/>
          <w:color w:val="auto"/>
        </w:rPr>
      </w:pPr>
      <w:r>
        <w:rPr>
          <w:rFonts w:ascii="Arial" w:cs="Arial" w:eastAsia="Arial" w:hAnsi="Arial"/>
          <w:sz w:val="20"/>
          <w:szCs w:val="20"/>
          <w:b w:val="1"/>
          <w:bCs w:val="1"/>
          <w:color w:val="auto"/>
        </w:rPr>
        <w:t>2014 EQUITY PARTICIPATION PLAN</w:t>
      </w:r>
    </w:p>
    <w:p>
      <w:pPr>
        <w:jc w:val="center"/>
        <w:spacing w:after="0" w:line="211" w:lineRule="auto"/>
        <w:rPr>
          <w:sz w:val="20"/>
          <w:szCs w:val="20"/>
          <w:color w:val="auto"/>
        </w:rPr>
      </w:pPr>
      <w:r>
        <w:rPr>
          <w:rFonts w:ascii="Arial" w:cs="Arial" w:eastAsia="Arial" w:hAnsi="Arial"/>
          <w:sz w:val="20"/>
          <w:szCs w:val="20"/>
          <w:b w:val="1"/>
          <w:bCs w:val="1"/>
          <w:color w:val="auto"/>
        </w:rPr>
        <w:t>OF CIVEO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as of May 12, 2016)</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maintains the 2014 Equity Participation Plan of Civeo Corporation,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recently amended and restated as of May 12, 2016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4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determined that, subject to and effective upon shareholder approval of the same, the Plan should be amended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the aggregate number of common shares of the Company, no par value, which may be issued pursuant to awards granted thereunder by 13,000,000 shares.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subject to and effective upon shareholder approval of the same, the Plan is hereby amended as follows:</w:t>
      </w:r>
    </w:p>
    <w:p>
      <w:pPr>
        <w:spacing w:after="0" w:line="194"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Section 2.1(a) of the Plan is deleted in its entirety and replaced with the following:</w:t>
      </w:r>
    </w:p>
    <w:p>
      <w:pPr>
        <w:spacing w:after="0" w:line="194" w:lineRule="exact"/>
        <w:rPr>
          <w:sz w:val="20"/>
          <w:szCs w:val="20"/>
          <w:color w:val="auto"/>
        </w:rPr>
      </w:pPr>
    </w:p>
    <w:p>
      <w:pPr>
        <w:jc w:val="both"/>
        <w:ind w:left="660" w:right="660"/>
        <w:spacing w:after="0" w:line="225" w:lineRule="auto"/>
        <w:rPr>
          <w:sz w:val="20"/>
          <w:szCs w:val="20"/>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31,700,000, all of which shall be available for Incentive Options. Common Shares issuable upon exercise of such options or rights or upon any such awards may be either previously authorized but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42"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AMENDMENT NO. 4 TO THE</w:t>
      </w:r>
    </w:p>
    <w:p>
      <w:pPr>
        <w:ind w:left="3940"/>
        <w:spacing w:after="0" w:line="197" w:lineRule="auto"/>
        <w:rPr>
          <w:sz w:val="20"/>
          <w:szCs w:val="20"/>
          <w:color w:val="auto"/>
        </w:rPr>
      </w:pPr>
      <w:r>
        <w:rPr>
          <w:rFonts w:ascii="Arial" w:cs="Arial" w:eastAsia="Arial" w:hAnsi="Arial"/>
          <w:sz w:val="20"/>
          <w:szCs w:val="20"/>
          <w:b w:val="1"/>
          <w:bCs w:val="1"/>
          <w:color w:val="auto"/>
        </w:rPr>
        <w:t>2014 EQUITY PARTICIPATION PLAN</w:t>
      </w:r>
    </w:p>
    <w:p>
      <w:pPr>
        <w:jc w:val="center"/>
        <w:spacing w:after="0" w:line="211" w:lineRule="auto"/>
        <w:rPr>
          <w:sz w:val="20"/>
          <w:szCs w:val="20"/>
          <w:color w:val="auto"/>
        </w:rPr>
      </w:pPr>
      <w:r>
        <w:rPr>
          <w:rFonts w:ascii="Arial" w:cs="Arial" w:eastAsia="Arial" w:hAnsi="Arial"/>
          <w:sz w:val="20"/>
          <w:szCs w:val="20"/>
          <w:b w:val="1"/>
          <w:bCs w:val="1"/>
          <w:color w:val="auto"/>
        </w:rPr>
        <w:t>OF CIVEO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as of May 12, 2016)</w:t>
      </w:r>
    </w:p>
    <w:p>
      <w:pPr>
        <w:spacing w:after="0" w:line="205"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Corporation, a limited company organized under the laws of British Columbia, Canada (the “</w:t>
      </w:r>
      <w:r>
        <w:rPr>
          <w:rFonts w:ascii="Arial" w:cs="Arial" w:eastAsia="Arial" w:hAnsi="Arial"/>
          <w:sz w:val="16"/>
          <w:szCs w:val="16"/>
          <w:b w:val="1"/>
          <w:bCs w:val="1"/>
          <w:color w:val="auto"/>
        </w:rPr>
        <w:t>Company</w:t>
      </w:r>
      <w:r>
        <w:rPr>
          <w:rFonts w:ascii="Arial" w:cs="Arial" w:eastAsia="Arial" w:hAnsi="Arial"/>
          <w:sz w:val="16"/>
          <w:szCs w:val="16"/>
          <w:color w:val="auto"/>
        </w:rPr>
        <w:t>”), maintains the 2014</w:t>
      </w:r>
      <w:r>
        <w:rPr>
          <w:rFonts w:ascii="Arial" w:cs="Arial" w:eastAsia="Arial" w:hAnsi="Arial"/>
          <w:sz w:val="16"/>
          <w:szCs w:val="16"/>
          <w:b w:val="1"/>
          <w:bCs w:val="1"/>
          <w:color w:val="auto"/>
        </w:rPr>
        <w:t xml:space="preserve"> </w:t>
      </w:r>
      <w:r>
        <w:rPr>
          <w:rFonts w:ascii="Arial" w:cs="Arial" w:eastAsia="Arial" w:hAnsi="Arial"/>
          <w:sz w:val="16"/>
          <w:szCs w:val="16"/>
          <w:color w:val="auto"/>
        </w:rPr>
        <w:t>Equity Participation Plan of Civeo Corporation, as most recently amended and restated as of May 12, 2016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67"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determined that, subject to and effective upon shareholder approval of the same, the Plan should be amended as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subject to and effective upon shareholder approval of the same, the Plan is hereby amended as follows:</w:t>
      </w:r>
    </w:p>
    <w:p>
      <w:pPr>
        <w:spacing w:after="0" w:line="221"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Section 2.1(a) of the Plan is deleted in its entirety and replaced with the following:</w:t>
      </w:r>
    </w:p>
    <w:p>
      <w:pPr>
        <w:spacing w:after="0" w:line="221" w:lineRule="exact"/>
        <w:rPr>
          <w:rFonts w:ascii="Arial" w:cs="Arial" w:eastAsia="Arial" w:hAnsi="Arial"/>
          <w:sz w:val="16"/>
          <w:szCs w:val="16"/>
          <w:color w:val="auto"/>
        </w:rPr>
      </w:pPr>
    </w:p>
    <w:p>
      <w:pPr>
        <w:jc w:val="both"/>
        <w:ind w:left="660"/>
        <w:spacing w:after="0" w:line="225" w:lineRule="auto"/>
        <w:rPr>
          <w:rFonts w:ascii="Arial" w:cs="Arial" w:eastAsia="Arial" w:hAnsi="Arial"/>
          <w:sz w:val="16"/>
          <w:szCs w:val="16"/>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under any such awards under the Plan shall not exceed 3,028,667, all of which shall be available for issuance pursuant to Incentive Options. Common Shares issuable upon exercise of such options or rights or upon any such awards may be either previously authorized but unissued shares or treasury shares, including shares reacquired by the Company.</w:t>
      </w:r>
    </w:p>
    <w:p>
      <w:pPr>
        <w:spacing w:after="0" w:line="190"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Section 6.3 of the Plan is deleted in its entirety and replaced with the following:</w:t>
      </w:r>
    </w:p>
    <w:p>
      <w:pPr>
        <w:spacing w:after="0" w:line="221" w:lineRule="exact"/>
        <w:rPr>
          <w:rFonts w:ascii="Arial" w:cs="Arial" w:eastAsia="Arial" w:hAnsi="Arial"/>
          <w:sz w:val="16"/>
          <w:szCs w:val="16"/>
          <w:color w:val="auto"/>
        </w:rPr>
      </w:pPr>
    </w:p>
    <w:p>
      <w:pPr>
        <w:jc w:val="both"/>
        <w:ind w:left="660"/>
        <w:spacing w:after="0" w:line="222" w:lineRule="auto"/>
        <w:rPr>
          <w:rFonts w:ascii="Arial" w:cs="Arial" w:eastAsia="Arial" w:hAnsi="Arial"/>
          <w:sz w:val="16"/>
          <w:szCs w:val="16"/>
          <w:color w:val="auto"/>
        </w:rPr>
      </w:pPr>
      <w:r>
        <w:rPr>
          <w:rFonts w:ascii="Arial" w:cs="Arial" w:eastAsia="Arial" w:hAnsi="Arial"/>
          <w:sz w:val="16"/>
          <w:szCs w:val="16"/>
          <w:b w:val="1"/>
          <w:bCs w:val="1"/>
          <w:u w:val="single" w:color="auto"/>
          <w:color w:val="auto"/>
        </w:rPr>
        <w:t>Rights as Shareholders</w:t>
      </w:r>
      <w:r>
        <w:rPr>
          <w:rFonts w:ascii="Arial" w:cs="Arial" w:eastAsia="Arial" w:hAnsi="Arial"/>
          <w:sz w:val="16"/>
          <w:szCs w:val="16"/>
          <w:color w:val="auto"/>
        </w:rPr>
        <w:t>. Upon the issuance of Restricted Shares, the Restricted Shareholder shall have, unless otherwise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all the rights of a shareholder with respect to said shares, subject to the restrictions in his Restricted Share Agreement, including the right to accrue all dividends and other distributions paid or made with respect to the shares; provided, however, that in the discretion of the Committee, any extraordinary distributions with respect to the Common Shares shall be subject to the restrictions set forth in Section 6.4; provided, further, that dividends shall not be paid out prior to the time the underlying Restricted Shares vest. For the avoidance of doubt, no dividends or Dividend Equivalents on any Award may be paid out prior to the date such Award vests.</w:t>
      </w:r>
    </w:p>
    <w:p>
      <w:pPr>
        <w:spacing w:after="0" w:line="193"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Section 3.6 of the Plan is deleted in its entirety and a new Section 9.13 is hereby added to read as follows:</w:t>
      </w:r>
    </w:p>
    <w:p>
      <w:pPr>
        <w:spacing w:after="0" w:line="221" w:lineRule="exact"/>
        <w:rPr>
          <w:rFonts w:ascii="Arial" w:cs="Arial" w:eastAsia="Arial" w:hAnsi="Arial"/>
          <w:sz w:val="16"/>
          <w:szCs w:val="16"/>
          <w:color w:val="auto"/>
        </w:rPr>
      </w:pPr>
    </w:p>
    <w:p>
      <w:pPr>
        <w:jc w:val="both"/>
        <w:ind w:left="660"/>
        <w:spacing w:after="0" w:line="221" w:lineRule="auto"/>
        <w:rPr>
          <w:rFonts w:ascii="Arial" w:cs="Arial" w:eastAsia="Arial" w:hAnsi="Arial"/>
          <w:sz w:val="16"/>
          <w:szCs w:val="16"/>
          <w:color w:val="auto"/>
        </w:rPr>
      </w:pPr>
      <w:r>
        <w:rPr>
          <w:rFonts w:ascii="Arial" w:cs="Arial" w:eastAsia="Arial" w:hAnsi="Arial"/>
          <w:sz w:val="16"/>
          <w:szCs w:val="16"/>
          <w:b w:val="1"/>
          <w:bCs w:val="1"/>
          <w:u w:val="single" w:color="auto"/>
          <w:color w:val="auto"/>
        </w:rPr>
        <w:t>Minimum Vesting</w:t>
      </w:r>
      <w:r>
        <w:rPr>
          <w:rFonts w:ascii="Arial" w:cs="Arial" w:eastAsia="Arial" w:hAnsi="Arial"/>
          <w:sz w:val="16"/>
          <w:szCs w:val="16"/>
          <w:color w:val="auto"/>
        </w:rPr>
        <w:t>. Notwithstanding any other provision of the Plan to the contrary, Awards granted under the Plan shall not vest over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one year from the date on which the Award is granted; provided that the following Awards shall not be subject to the foregoing minimum vesting requirement: any (a) Awards granted to Directors that vest on the earlier of the one-year anniversary of the date of grant and the next annual meeting of shareholders that is at least 50 weeks after the immediately preceding year’s annual meeting, and (ii) any additional Awards that the Company may grant, up to a maximum of five percent (5%) of the available share reserve authorized or issuance under the Plan under Section 2.1(a) (subject to adjustment under Section 9.3); provided, further, that the Committee may authorize acceleration of vesting of such Awards in the event of the recipient’s earlier death, disability or termination without cause or in the event of a Change of Control.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Amendment No. 5 to the</w:t>
      </w:r>
    </w:p>
    <w:p>
      <w:pPr>
        <w:ind w:left="4220"/>
        <w:spacing w:after="0" w:line="197" w:lineRule="auto"/>
        <w:rPr>
          <w:sz w:val="20"/>
          <w:szCs w:val="20"/>
          <w:color w:val="auto"/>
        </w:rPr>
      </w:pPr>
      <w:r>
        <w:rPr>
          <w:rFonts w:ascii="Arial" w:cs="Arial" w:eastAsia="Arial" w:hAnsi="Arial"/>
          <w:sz w:val="20"/>
          <w:szCs w:val="20"/>
          <w:b w:val="1"/>
          <w:bCs w:val="1"/>
          <w:color w:val="auto"/>
        </w:rPr>
        <w:t>2014 Equity Participation Plan</w:t>
      </w:r>
    </w:p>
    <w:p>
      <w:pPr>
        <w:jc w:val="center"/>
        <w:ind w:right="-59"/>
        <w:spacing w:after="0" w:line="211" w:lineRule="auto"/>
        <w:rPr>
          <w:sz w:val="20"/>
          <w:szCs w:val="20"/>
          <w:color w:val="auto"/>
        </w:rPr>
      </w:pPr>
      <w:r>
        <w:rPr>
          <w:rFonts w:ascii="Arial" w:cs="Arial" w:eastAsia="Arial" w:hAnsi="Arial"/>
          <w:sz w:val="20"/>
          <w:szCs w:val="20"/>
          <w:b w:val="1"/>
          <w:bCs w:val="1"/>
          <w:color w:val="auto"/>
        </w:rPr>
        <w:t>of Civeo Corporation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(as Amended and Restated as of May 12, 2016)</w:t>
      </w:r>
    </w:p>
    <w:p>
      <w:pPr>
        <w:spacing w:after="0" w:line="205" w:lineRule="exact"/>
        <w:rPr>
          <w:sz w:val="20"/>
          <w:szCs w:val="20"/>
          <w:color w:val="auto"/>
        </w:rPr>
      </w:pPr>
    </w:p>
    <w:p>
      <w:pPr>
        <w:ind w:right="320" w:firstLine="648"/>
        <w:spacing w:after="0" w:line="25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Corporation, a limited company organized under the laws of British Columbia, Canada (the “Company”), maintains the 2014</w:t>
      </w:r>
      <w:r>
        <w:rPr>
          <w:rFonts w:ascii="Arial" w:cs="Arial" w:eastAsia="Arial" w:hAnsi="Arial"/>
          <w:sz w:val="16"/>
          <w:szCs w:val="16"/>
          <w:b w:val="1"/>
          <w:bCs w:val="1"/>
          <w:color w:val="auto"/>
        </w:rPr>
        <w:t xml:space="preserve"> </w:t>
      </w:r>
      <w:r>
        <w:rPr>
          <w:rFonts w:ascii="Arial" w:cs="Arial" w:eastAsia="Arial" w:hAnsi="Arial"/>
          <w:sz w:val="16"/>
          <w:szCs w:val="16"/>
          <w:color w:val="auto"/>
        </w:rPr>
        <w:t>Equity Participation Plan of Civeo Corporation, as most recently amended and restated as of May 12, 2016 (the “Plan”); and</w:t>
      </w:r>
    </w:p>
    <w:p>
      <w:pPr>
        <w:spacing w:after="0" w:line="182"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determined that, subject to and effective upon shareholder approval of the same, the Plan should be amended as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subject to and effective upon shareholder approval of the same, the Plan is hereby amended as follows:</w:t>
      </w:r>
    </w:p>
    <w:p>
      <w:pPr>
        <w:spacing w:after="0" w:line="221"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Section 2.1(a) of the Plan is deleted in its entirety and replaced with the following:</w:t>
      </w:r>
    </w:p>
    <w:p>
      <w:pPr>
        <w:spacing w:after="0" w:line="221" w:lineRule="exact"/>
        <w:rPr>
          <w:sz w:val="20"/>
          <w:szCs w:val="20"/>
          <w:color w:val="auto"/>
        </w:rPr>
      </w:pPr>
    </w:p>
    <w:p>
      <w:pPr>
        <w:ind w:left="1300"/>
        <w:spacing w:after="0" w:line="225" w:lineRule="auto"/>
        <w:rPr>
          <w:sz w:val="20"/>
          <w:szCs w:val="20"/>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under any such awards under the Plan shall not exceed 3,549,587, all of which shall be available for issuance pursuant to Incentive Options. Common Shares issuable upon exercise of such options or rights or upon any such awards may be either previously authorized but unissued shares or treasury shares, including shares reacquired by the Company.</w:t>
      </w:r>
    </w:p>
    <w:p>
      <w:pPr>
        <w:spacing w:after="0" w:line="191" w:lineRule="exact"/>
        <w:rPr>
          <w:sz w:val="20"/>
          <w:szCs w:val="20"/>
          <w:color w:val="auto"/>
        </w:rPr>
      </w:pPr>
    </w:p>
    <w:p>
      <w:pPr>
        <w:ind w:left="960" w:hanging="304"/>
        <w:spacing w:after="0"/>
        <w:tabs>
          <w:tab w:leader="none" w:pos="9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final sentence of Section 9.2 of the Plan is deleted in its entirety and replaced with the following:</w:t>
      </w:r>
    </w:p>
    <w:p>
      <w:pPr>
        <w:spacing w:after="0" w:line="221" w:lineRule="exact"/>
        <w:rPr>
          <w:sz w:val="20"/>
          <w:szCs w:val="20"/>
          <w:color w:val="auto"/>
        </w:rPr>
      </w:pPr>
    </w:p>
    <w:p>
      <w:pPr>
        <w:jc w:val="both"/>
        <w:ind w:left="1300" w:right="120"/>
        <w:spacing w:after="0" w:line="234" w:lineRule="auto"/>
        <w:rPr>
          <w:sz w:val="20"/>
          <w:szCs w:val="20"/>
          <w:color w:val="auto"/>
        </w:rPr>
      </w:pPr>
      <w:r>
        <w:rPr>
          <w:rFonts w:ascii="Arial" w:cs="Arial" w:eastAsia="Arial" w:hAnsi="Arial"/>
          <w:sz w:val="16"/>
          <w:szCs w:val="16"/>
          <w:color w:val="auto"/>
        </w:rPr>
        <w:t>No Options, SARs, Restricted Shares, Deferred Shares, Performance Awards, Dividend Equivalents or Share Payments may be granted or awarded during any period of suspension or after termination of the Plan, and in no event may any Incentive Option be granted under the Plan after March 25, 2036.</w:t>
      </w:r>
    </w:p>
    <w:p>
      <w:pPr>
        <w:spacing w:after="0" w:line="191" w:lineRule="exact"/>
        <w:rPr>
          <w:sz w:val="20"/>
          <w:szCs w:val="20"/>
          <w:color w:val="auto"/>
        </w:rPr>
      </w:pPr>
    </w:p>
    <w:p>
      <w:pPr>
        <w:ind w:left="960" w:hanging="304"/>
        <w:spacing w:after="0"/>
        <w:tabs>
          <w:tab w:leader="none" w:pos="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As amended hereby, the Plan is specifically ratified and reaffirmed.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791845</wp:posOffset>
            </wp:positionV>
            <wp:extent cx="7157720" cy="84397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8439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966460" cy="77152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lvl w:ilvl="1">
      <w:lvlJc w:val="left"/>
      <w:lvlText w:val="◦"/>
      <w:numFmt w:val="bullet"/>
      <w:start w:val="1"/>
    </w:lvl>
  </w:abstractNum>
  <w:abstractNum w:abstractNumId="17">
    <w:nsid w:val="4AD084E9"/>
    <w:multiLevelType w:val="hybridMultilevel"/>
    <w:lvl w:ilvl="0">
      <w:lvlJc w:val="left"/>
      <w:lvlText w:val="•"/>
      <w:numFmt w:val="bullet"/>
      <w:start w:val="1"/>
    </w:lvl>
    <w:lvl w:ilvl="1">
      <w:lvlJc w:val="left"/>
      <w:lvlText w:val="◦"/>
      <w:numFmt w:val="bullet"/>
      <w:start w:val="1"/>
    </w:lvl>
  </w:abstractNum>
  <w:abstractNum w:abstractNumId="18">
    <w:nsid w:val="1F48EAA1"/>
    <w:multiLevelType w:val="hybridMultilevel"/>
    <w:lvl w:ilvl="0">
      <w:lvlJc w:val="left"/>
      <w:lvlText w:val="•"/>
      <w:numFmt w:val="bullet"/>
      <w:start w:val="1"/>
    </w:lvl>
    <w:lvl w:ilvl="1">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1)"/>
      <w:numFmt w:val="decimal"/>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1)"/>
      <w:numFmt w:val="decimal"/>
      <w:start w:val="3"/>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endash "/>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lowerRoman"/>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lowerLetter"/>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2"/>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3"/>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1:"/>
      <w:numFmt w:val="upperLetter"/>
      <w:start w:val="1"/>
    </w:lvl>
  </w:abstractNum>
  <w:abstractNum w:abstractNumId="65">
    <w:nsid w:val="2DF6D648"/>
    <w:multiLevelType w:val="hybridMultilevel"/>
    <w:lvl w:ilvl="0">
      <w:lvlJc w:val="left"/>
      <w:lvlText w:val="%1:"/>
      <w:numFmt w:val="upperLetter"/>
      <w:start w:val="1"/>
    </w:lvl>
  </w:abstractNum>
  <w:abstractNum w:abstractNumId="66">
    <w:nsid w:val="46B7D447"/>
    <w:multiLevelType w:val="hybridMultilevel"/>
    <w:lvl w:ilvl="0">
      <w:lvlJc w:val="left"/>
      <w:lvlText w:val="%1:"/>
      <w:numFmt w:val="upperLetter"/>
      <w:start w:val="1"/>
    </w:lvl>
  </w:abstractNum>
  <w:abstractNum w:abstractNumId="67">
    <w:nsid w:val="4A2AC315"/>
    <w:multiLevelType w:val="hybridMultilevel"/>
    <w:lvl w:ilvl="0">
      <w:lvlJc w:val="left"/>
      <w:lvlText w:val="%1:"/>
      <w:numFmt w:val="upperLetter"/>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1:"/>
      <w:numFmt w:val="upperLetter"/>
      <w:start w:val="1"/>
    </w:lvl>
  </w:abstractNum>
  <w:abstractNum w:abstractNumId="71">
    <w:nsid w:val="43F18422"/>
    <w:multiLevelType w:val="hybridMultilevel"/>
    <w:lvl w:ilvl="0">
      <w:lvlJc w:val="left"/>
      <w:lvlText w:val="%1:"/>
      <w:numFmt w:val="upperLetter"/>
      <w:start w:val="1"/>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upperLetter"/>
      <w:start w:val="1"/>
    </w:lvl>
  </w:abstractNum>
  <w:abstractNum w:abstractNumId="74">
    <w:nsid w:val="7F01579B"/>
    <w:multiLevelType w:val="hybridMultilevel"/>
    <w:lvl w:ilvl="0">
      <w:lvlJc w:val="left"/>
      <w:lvlText w:val="%1:"/>
      <w:numFmt w:val="upperLetter"/>
      <w:start w:val="1"/>
    </w:lvl>
  </w:abstractNum>
  <w:abstractNum w:abstractNumId="75">
    <w:nsid w:val="49DA307D"/>
    <w:multiLevelType w:val="hybridMultilevel"/>
    <w:lvl w:ilvl="0">
      <w:lvlJc w:val="left"/>
      <w:lvlText w:val="%1:"/>
      <w:numFmt w:val="upperLetter"/>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1:"/>
      <w:numFmt w:val="upperLetter"/>
      <w:start w:val="1"/>
    </w:lvl>
  </w:abstractNum>
  <w:abstractNum w:abstractNumId="78">
    <w:nsid w:val="50801EE1"/>
    <w:multiLevelType w:val="hybridMultilevel"/>
    <w:lvl w:ilvl="0">
      <w:lvlJc w:val="left"/>
      <w:lvlText w:val="%1:"/>
      <w:numFmt w:val="upperLetter"/>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upperLetter"/>
      <w:start w:val="1"/>
    </w:lvl>
  </w:abstractNum>
  <w:abstractNum w:abstractNumId="81">
    <w:nsid w:val="6AA78F7F"/>
    <w:multiLevelType w:val="hybridMultilevel"/>
    <w:lvl w:ilvl="0">
      <w:lvlJc w:val="left"/>
      <w:lvlText w:val="%1:"/>
      <w:numFmt w:val="upperLetter"/>
      <w:start w:val="1"/>
    </w:lvl>
  </w:abstractNum>
  <w:abstractNum w:abstractNumId="82">
    <w:nsid w:val="7672BD23"/>
    <w:multiLevelType w:val="hybridMultilevel"/>
    <w:lvl w:ilvl="0">
      <w:lvlJc w:val="left"/>
      <w:lvlText w:val="%1:"/>
      <w:numFmt w:val="upperLetter"/>
      <w:start w:val="1"/>
    </w:lvl>
  </w:abstractNum>
  <w:abstractNum w:abstractNumId="83">
    <w:nsid w:val="6FC75AF8"/>
    <w:multiLevelType w:val="hybridMultilevel"/>
    <w:lvl w:ilvl="0">
      <w:lvlJc w:val="left"/>
      <w:lvlText w:val="%1:"/>
      <w:numFmt w:val="upperLetter"/>
      <w:start w:val="1"/>
    </w:lvl>
  </w:abstractNum>
  <w:abstractNum w:abstractNumId="84">
    <w:nsid w:val="6A5F7029"/>
    <w:multiLevelType w:val="hybridMultilevel"/>
    <w:lvl w:ilvl="0">
      <w:lvlJc w:val="left"/>
      <w:lvlText w:val="(%1)"/>
      <w:numFmt w:val="decimal"/>
      <w:start w:val="1"/>
    </w:lvl>
  </w:abstractNum>
  <w:abstractNum w:abstractNumId="85">
    <w:nsid w:val="7D5E18F8"/>
    <w:multiLevelType w:val="hybridMultilevel"/>
    <w:lvl w:ilvl="0">
      <w:lvlJc w:val="left"/>
      <w:lvlText w:val="(%1)"/>
      <w:numFmt w:val="decimal"/>
      <w:start w:val="2"/>
    </w:lvl>
  </w:abstractNum>
  <w:abstractNum w:abstractNumId="86">
    <w:nsid w:val="5F3534A4"/>
    <w:multiLevelType w:val="hybridMultilevel"/>
    <w:lvl w:ilvl="0">
      <w:lvlJc w:val="left"/>
      <w:lvlText w:val="(%1)"/>
      <w:numFmt w:val="decimal"/>
      <w:start w:val="3"/>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3"/>
    </w:lvl>
  </w:abstractNum>
  <w:abstractNum w:abstractNumId="91">
    <w:nsid w:val="14FCE74E"/>
    <w:multiLevelType w:val="hybridMultilevel"/>
    <w:lvl w:ilvl="0">
      <w:lvlJc w:val="left"/>
      <w:lvlText w:val="(%1)"/>
      <w:numFmt w:val="lowerLetter"/>
      <w:start w:val="4"/>
    </w:lvl>
  </w:abstractNum>
  <w:abstractNum w:abstractNumId="92">
    <w:nsid w:val="6A3DD3E8"/>
    <w:multiLevelType w:val="hybridMultilevel"/>
    <w:lvl w:ilvl="0">
      <w:lvlJc w:val="left"/>
      <w:lvlText w:val="(%1)"/>
      <w:numFmt w:val="lowerRoman"/>
      <w:start w:val="2"/>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lowerLetter"/>
      <w:start w:val="1"/>
    </w:lvl>
    <w:lvl w:ilvl="1">
      <w:lvlJc w:val="left"/>
      <w:lvlText w:val="(%2)"/>
      <w:numFmt w:val="lowerRoman"/>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lowerLetter"/>
      <w:start w:val="3"/>
    </w:lvl>
  </w:abstractNum>
  <w:abstractNum w:abstractNumId="99">
    <w:nsid w:val="59ADEA3D"/>
    <w:multiLevelType w:val="hybridMultilevel"/>
    <w:lvl w:ilvl="0">
      <w:lvlJc w:val="left"/>
      <w:lvlText w:val="(%1)"/>
      <w:numFmt w:val="lowerLetter"/>
      <w:start w:val="1"/>
    </w:lvl>
    <w:lvl w:ilvl="1">
      <w:lvlJc w:val="left"/>
      <w:lvlText w:val="(%2)"/>
      <w:numFmt w:val="lowerRoman"/>
      <w:start w:val="1"/>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Letter"/>
      <w:start w:val="1"/>
    </w:lvl>
    <w:lvl w:ilvl="1">
      <w:lvlJc w:val="left"/>
      <w:lvlText w:val="(%2)"/>
      <w:numFmt w:val="lowerRoman"/>
      <w:start w:val="1"/>
    </w:lvl>
  </w:abstractNum>
  <w:abstractNum w:abstractNumId="102">
    <w:nsid w:val="1D9F6E5F"/>
    <w:multiLevelType w:val="hybridMultilevel"/>
    <w:lvl w:ilvl="0">
      <w:lvlJc w:val="left"/>
      <w:lvlText w:val="(%1)"/>
      <w:numFmt w:val="lowerLetter"/>
      <w:start w:val="2"/>
    </w:lvl>
    <w:lvl w:ilvl="1">
      <w:lvlJc w:val="left"/>
      <w:lvlText w:val="(%2)"/>
      <w:numFmt w:val="lowerRoman"/>
      <w:start w:val="1"/>
    </w:lvl>
  </w:abstractNum>
  <w:abstractNum w:abstractNumId="103">
    <w:nsid w:val="97E1B4E"/>
    <w:multiLevelType w:val="hybridMultilevel"/>
    <w:lvl w:ilvl="0">
      <w:lvlJc w:val="left"/>
      <w:lvlText w:val="%1"/>
      <w:numFmt w:val="lowerLetter"/>
      <w:start w:val="1"/>
    </w:lvl>
    <w:lvl w:ilvl="1">
      <w:lvlJc w:val="left"/>
      <w:lvlText w:val="(%2)"/>
      <w:numFmt w:val="lowerRoman"/>
      <w:start w:val="5"/>
    </w:lvl>
  </w:abstractNum>
  <w:abstractNum w:abstractNumId="104">
    <w:nsid w:val="51088277"/>
    <w:multiLevelType w:val="hybridMultilevel"/>
    <w:lvl w:ilvl="0">
      <w:lvlJc w:val="left"/>
      <w:lvlText w:val="(%1)"/>
      <w:numFmt w:val="lowerLetter"/>
      <w:start w:val="4"/>
    </w:lvl>
    <w:lvl w:ilvl="1">
      <w:lvlJc w:val="left"/>
      <w:lvlText w:val="%2"/>
      <w:numFmt w:val="lowerRoman"/>
      <w:start w:val="1"/>
    </w:lvl>
  </w:abstractNum>
  <w:abstractNum w:abstractNumId="105">
    <w:nsid w:val="1CA0C5FA"/>
    <w:multiLevelType w:val="hybridMultilevel"/>
    <w:lvl w:ilvl="0">
      <w:lvlJc w:val="left"/>
      <w:lvlText w:val="(%1)"/>
      <w:numFmt w:val="lowerLetter"/>
      <w:start w:val="1"/>
    </w:lvl>
  </w:abstractNum>
  <w:abstractNum w:abstractNumId="106">
    <w:nsid w:val="53584BCB"/>
    <w:multiLevelType w:val="hybridMultilevel"/>
    <w:lvl w:ilvl="0">
      <w:lvlJc w:val="left"/>
      <w:lvlText w:val="§"/>
      <w:numFmt w:val="bullet"/>
      <w:start w:val="1"/>
    </w:lvl>
    <w:lvl w:ilvl="1">
      <w:lvlJc w:val="left"/>
      <w:lvlText w:val="(%2)"/>
      <w:numFmt w:val="lowerLetter"/>
      <w:start w:val="2"/>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2"/>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2"/>
    </w:lvl>
  </w:abstractNum>
  <w:abstractNum w:abstractNumId="114">
    <w:nsid w:val="4BD859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2026-04-13T15:47:31Z</dcterms:created>
  <dcterms:modified xsi:type="dcterms:W3CDTF">2026-04-13T15:47:31Z</dcterms:modified>
</cp:coreProperties>
</file>