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7"/>
          <w:szCs w:val="17"/>
          <w:color w:val="auto"/>
        </w:rPr>
        <w:t>UNITED STATES</w:t>
      </w:r>
    </w:p>
    <w:p>
      <w:pPr>
        <w:spacing w:after="0" w:line="3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14"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44" w:lineRule="exact"/>
        <w:rPr>
          <w:sz w:val="24"/>
          <w:szCs w:val="24"/>
          <w:color w:val="auto"/>
        </w:rPr>
      </w:pPr>
    </w:p>
    <w:p>
      <w:pPr>
        <w:ind w:left="820" w:hanging="785"/>
        <w:spacing w:after="0"/>
        <w:tabs>
          <w:tab w:leader="none" w:pos="8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123"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color w:val="auto"/>
        </w:rPr>
        <w:t>For the quarterly period ended September 30, 2024</w:t>
      </w:r>
    </w:p>
    <w:p>
      <w:pPr>
        <w:spacing w:after="0" w:line="66"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OR</w:t>
      </w:r>
    </w:p>
    <w:p>
      <w:pPr>
        <w:spacing w:after="0" w:line="105" w:lineRule="exact"/>
        <w:rPr>
          <w:sz w:val="24"/>
          <w:szCs w:val="24"/>
          <w:color w:val="auto"/>
        </w:rPr>
      </w:pPr>
    </w:p>
    <w:p>
      <w:pPr>
        <w:ind w:left="1280" w:hanging="788"/>
        <w:spacing w:after="0"/>
        <w:tabs>
          <w:tab w:leader="none" w:pos="12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4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7"/>
          <w:szCs w:val="17"/>
          <w:color w:val="auto"/>
        </w:rPr>
        <w:t>For the transition period from _________________________ to _________________________</w:t>
      </w:r>
    </w:p>
    <w:p>
      <w:pPr>
        <w:spacing w:after="0" w:line="1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u w:val="single" w:color="auto"/>
          <w:color w:val="auto"/>
        </w:rPr>
        <w:t>001-36246</w:t>
      </w:r>
    </w:p>
    <w:p>
      <w:pPr>
        <w:spacing w:after="0" w:line="1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2940685</wp:posOffset>
            </wp:positionH>
            <wp:positionV relativeFrom="paragraph">
              <wp:posOffset>40640</wp:posOffset>
            </wp:positionV>
            <wp:extent cx="13608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15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42" w:lineRule="exact"/>
        <w:rPr>
          <w:sz w:val="24"/>
          <w:szCs w:val="24"/>
          <w:color w:val="auto"/>
        </w:rPr>
      </w:pPr>
    </w:p>
    <w:tbl>
      <w:tblPr>
        <w:tblLayout w:type="fixed"/>
        <w:tblInd w:w="1100" w:type="dxa"/>
        <w:tblCellMar>
          <w:top w:w="0" w:type="dxa"/>
          <w:left w:w="0" w:type="dxa"/>
          <w:bottom w:w="0" w:type="dxa"/>
          <w:right w:w="0" w:type="dxa"/>
        </w:tblCellMar>
      </w:tblPr>
      <w:tr>
        <w:trPr>
          <w:trHeight w:val="195"/>
        </w:trPr>
        <w:tc>
          <w:tcPr>
            <w:tcW w:w="800" w:type="dxa"/>
            <w:vAlign w:val="bottom"/>
          </w:tcPr>
          <w:p>
            <w:pPr>
              <w:spacing w:after="0"/>
              <w:rPr>
                <w:sz w:val="17"/>
                <w:szCs w:val="17"/>
                <w:color w:val="auto"/>
              </w:rPr>
            </w:pPr>
          </w:p>
        </w:tc>
        <w:tc>
          <w:tcPr>
            <w:tcW w:w="2920" w:type="dxa"/>
            <w:vAlign w:val="bottom"/>
            <w:gridSpan w:val="2"/>
          </w:tcPr>
          <w:p>
            <w:pPr>
              <w:jc w:val="center"/>
              <w:ind w:right="1120"/>
              <w:spacing w:after="0"/>
              <w:rPr>
                <w:sz w:val="20"/>
                <w:szCs w:val="20"/>
                <w:color w:val="auto"/>
              </w:rPr>
            </w:pPr>
            <w:r>
              <w:rPr>
                <w:rFonts w:ascii="Times New Roman" w:cs="Times New Roman" w:eastAsia="Times New Roman" w:hAnsi="Times New Roman"/>
                <w:sz w:val="17"/>
                <w:szCs w:val="17"/>
                <w:color w:val="auto"/>
              </w:rPr>
              <w:t>British Columbia, Canada</w:t>
            </w:r>
          </w:p>
        </w:tc>
        <w:tc>
          <w:tcPr>
            <w:tcW w:w="4220" w:type="dxa"/>
            <w:vAlign w:val="bottom"/>
            <w:gridSpan w:val="5"/>
          </w:tcPr>
          <w:p>
            <w:pPr>
              <w:jc w:val="right"/>
              <w:ind w:right="220"/>
              <w:spacing w:after="0"/>
              <w:rPr>
                <w:sz w:val="20"/>
                <w:szCs w:val="20"/>
                <w:color w:val="auto"/>
              </w:rPr>
            </w:pPr>
            <w:r>
              <w:rPr>
                <w:rFonts w:ascii="Times New Roman" w:cs="Times New Roman" w:eastAsia="Times New Roman" w:hAnsi="Times New Roman"/>
                <w:sz w:val="17"/>
                <w:szCs w:val="17"/>
                <w:color w:val="auto"/>
              </w:rPr>
              <w:t>98-1253716</w:t>
            </w:r>
          </w:p>
        </w:tc>
      </w:tr>
      <w:tr>
        <w:trPr>
          <w:trHeight w:val="20"/>
        </w:trPr>
        <w:tc>
          <w:tcPr>
            <w:tcW w:w="8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6"/>
        </w:trPr>
        <w:tc>
          <w:tcPr>
            <w:tcW w:w="372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4220" w:type="dxa"/>
            <w:vAlign w:val="bottom"/>
            <w:gridSpan w:val="5"/>
          </w:tcPr>
          <w:p>
            <w:pPr>
              <w:jc w:val="center"/>
              <w:ind w:left="2853"/>
              <w:spacing w:after="0"/>
              <w:rPr>
                <w:sz w:val="20"/>
                <w:szCs w:val="20"/>
                <w:color w:val="auto"/>
              </w:rPr>
            </w:pPr>
            <w:r>
              <w:rPr>
                <w:rFonts w:ascii="Times New Roman" w:cs="Times New Roman" w:eastAsia="Times New Roman" w:hAnsi="Times New Roman"/>
                <w:sz w:val="17"/>
                <w:szCs w:val="17"/>
                <w:color w:val="auto"/>
              </w:rPr>
              <w:t>(I.R.S. Employer</w:t>
            </w:r>
          </w:p>
        </w:tc>
      </w:tr>
      <w:tr>
        <w:trPr>
          <w:trHeight w:val="227"/>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4220" w:type="dxa"/>
            <w:vAlign w:val="bottom"/>
            <w:gridSpan w:val="5"/>
          </w:tcPr>
          <w:p>
            <w:pPr>
              <w:jc w:val="center"/>
              <w:ind w:left="2853"/>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405"/>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Three Allen Center, 333 Clay Street, Suite 4980,</w:t>
            </w:r>
          </w:p>
        </w:tc>
        <w:tc>
          <w:tcPr>
            <w:tcW w:w="336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77002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6"/>
        </w:trPr>
        <w:tc>
          <w:tcPr>
            <w:tcW w:w="800" w:type="dxa"/>
            <w:vAlign w:val="bottom"/>
          </w:tcPr>
          <w:p>
            <w:pPr>
              <w:spacing w:after="0"/>
              <w:rPr>
                <w:sz w:val="20"/>
                <w:szCs w:val="20"/>
                <w:color w:val="auto"/>
              </w:rPr>
            </w:pPr>
          </w:p>
        </w:tc>
        <w:tc>
          <w:tcPr>
            <w:tcW w:w="2920" w:type="dxa"/>
            <w:vAlign w:val="bottom"/>
            <w:gridSpan w:val="2"/>
          </w:tcPr>
          <w:p>
            <w:pPr>
              <w:jc w:val="center"/>
              <w:ind w:right="1120"/>
              <w:spacing w:after="0"/>
              <w:rPr>
                <w:sz w:val="20"/>
                <w:szCs w:val="20"/>
                <w:color w:val="auto"/>
              </w:rPr>
            </w:pPr>
            <w:r>
              <w:rPr>
                <w:rFonts w:ascii="Times New Roman" w:cs="Times New Roman" w:eastAsia="Times New Roman" w:hAnsi="Times New Roman"/>
                <w:sz w:val="17"/>
                <w:szCs w:val="17"/>
                <w:color w:val="auto"/>
              </w:rPr>
              <w:t>Houston, Texas</w:t>
            </w:r>
          </w:p>
        </w:tc>
        <w:tc>
          <w:tcPr>
            <w:tcW w:w="3160" w:type="dxa"/>
            <w:vAlign w:val="bottom"/>
          </w:tcPr>
          <w:p>
            <w:pPr>
              <w:spacing w:after="0"/>
              <w:rPr>
                <w:sz w:val="20"/>
                <w:szCs w:val="20"/>
                <w:color w:val="auto"/>
              </w:rPr>
            </w:pPr>
          </w:p>
        </w:tc>
        <w:tc>
          <w:tcPr>
            <w:tcW w:w="1060" w:type="dxa"/>
            <w:vAlign w:val="bottom"/>
            <w:gridSpan w:val="4"/>
          </w:tcPr>
          <w:p>
            <w:pPr>
              <w:jc w:val="center"/>
              <w:ind w:right="220"/>
              <w:spacing w:after="0"/>
              <w:rPr>
                <w:sz w:val="20"/>
                <w:szCs w:val="20"/>
                <w:color w:val="auto"/>
              </w:rPr>
            </w:pPr>
            <w:r>
              <w:rPr>
                <w:rFonts w:ascii="Times New Roman" w:cs="Times New Roman" w:eastAsia="Times New Roman" w:hAnsi="Times New Roman"/>
                <w:sz w:val="17"/>
                <w:szCs w:val="17"/>
                <w:color w:val="auto"/>
              </w:rPr>
              <w:t>(Zip Code)</w:t>
            </w:r>
          </w:p>
        </w:tc>
      </w:tr>
      <w:tr>
        <w:trPr>
          <w:trHeight w:val="227"/>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301"/>
        </w:trPr>
        <w:tc>
          <w:tcPr>
            <w:tcW w:w="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60" w:type="dxa"/>
            <w:vAlign w:val="bottom"/>
          </w:tcPr>
          <w:p>
            <w:pPr>
              <w:jc w:val="right"/>
              <w:ind w:right="1653"/>
              <w:spacing w:after="0"/>
              <w:rPr>
                <w:sz w:val="20"/>
                <w:szCs w:val="20"/>
                <w:color w:val="auto"/>
              </w:rPr>
            </w:pPr>
            <w:r>
              <w:rPr>
                <w:rFonts w:ascii="Times New Roman" w:cs="Times New Roman" w:eastAsia="Times New Roman" w:hAnsi="Times New Roman"/>
                <w:sz w:val="17"/>
                <w:szCs w:val="17"/>
                <w:color w:val="auto"/>
              </w:rPr>
              <w:t>(713) 510-2400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86"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162"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25"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5"/>
          <w:szCs w:val="15"/>
          <w:color w:val="auto"/>
        </w:rPr>
        <w:t>Common Shares, no par value</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5"/>
          <w:szCs w:val="15"/>
          <w:color w:val="auto"/>
        </w:rPr>
        <w:t>Trading Symbol</w:t>
      </w:r>
    </w:p>
    <w:p>
      <w:pPr>
        <w:spacing w:after="0" w:line="37"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6"/>
          <w:szCs w:val="16"/>
          <w:color w:val="auto"/>
        </w:rPr>
        <w:t>CVEO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5"/>
          <w:szCs w:val="15"/>
          <w:color w:val="auto"/>
        </w:rPr>
        <w:t>Name of Each Exchange on Which Registered</w:t>
      </w:r>
    </w:p>
    <w:p>
      <w:pPr>
        <w:spacing w:after="0" w:line="37"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6"/>
          <w:szCs w:val="16"/>
          <w:color w:val="auto"/>
        </w:rPr>
        <w:t>New York Stock Exchange</w:t>
      </w:r>
    </w:p>
    <w:p>
      <w:pPr>
        <w:spacing w:after="0" w:line="108" w:lineRule="exact"/>
        <w:rPr>
          <w:sz w:val="24"/>
          <w:szCs w:val="24"/>
          <w:color w:val="auto"/>
        </w:rPr>
      </w:pPr>
    </w:p>
    <w:p>
      <w:pPr>
        <w:sectPr>
          <w:pgSz w:w="11900" w:h="16838" w:orient="portrait"/>
          <w:cols w:equalWidth="0" w:num="3">
            <w:col w:w="3580" w:space="720"/>
            <w:col w:w="1760" w:space="720"/>
            <w:col w:w="4460"/>
          </w:cols>
          <w:pgMar w:left="320" w:top="1440" w:right="339" w:bottom="1440" w:gutter="0" w:footer="0" w:header="0"/>
          <w:type w:val="continuous"/>
        </w:sectPr>
      </w:pPr>
    </w:p>
    <w:p>
      <w:pPr>
        <w:ind w:right="280"/>
        <w:spacing w:after="0" w:line="252"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3260"/>
        <w:spacing w:after="0" w:line="161" w:lineRule="exact"/>
        <w:tabs>
          <w:tab w:leader="none" w:pos="378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6"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8" w:lineRule="exact"/>
        <w:rPr>
          <w:sz w:val="24"/>
          <w:szCs w:val="24"/>
          <w:color w:val="auto"/>
        </w:rPr>
      </w:pPr>
    </w:p>
    <w:p>
      <w:pPr>
        <w:ind w:left="3260"/>
        <w:spacing w:after="0" w:line="161" w:lineRule="exact"/>
        <w:tabs>
          <w:tab w:leader="none" w:pos="378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10" w:lineRule="exact"/>
        <w:rPr>
          <w:sz w:val="24"/>
          <w:szCs w:val="24"/>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type w:val="continuous"/>
        </w:sectPr>
      </w:pPr>
    </w:p>
    <w:p>
      <w:pPr>
        <w:spacing w:after="0" w:line="1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3" w:lineRule="exact"/>
        <w:rPr>
          <w:sz w:val="24"/>
          <w:szCs w:val="24"/>
          <w:color w:val="auto"/>
        </w:rPr>
      </w:pPr>
    </w:p>
    <w:p>
      <w:pPr>
        <w:sectPr>
          <w:pgSz w:w="11900" w:h="16838" w:orient="portrait"/>
          <w:cols w:equalWidth="0" w:num="6">
            <w:col w:w="1340" w:space="560"/>
            <w:col w:w="160" w:space="420"/>
            <w:col w:w="1540" w:space="720"/>
            <w:col w:w="160" w:space="440"/>
            <w:col w:w="2260" w:space="720"/>
            <w:col w:w="2920"/>
          </w:cols>
          <w:pgMar w:left="320" w:top="1440" w:right="339" w:bottom="1440" w:gutter="0" w:footer="0" w:header="0"/>
          <w:type w:val="continuous"/>
        </w:sectPr>
      </w:pPr>
    </w:p>
    <w:p>
      <w:pPr>
        <w:spacing w:after="0" w:line="6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72" w:lineRule="exact"/>
        <w:rPr>
          <w:sz w:val="24"/>
          <w:szCs w:val="24"/>
          <w:color w:val="auto"/>
        </w:rPr>
      </w:pPr>
    </w:p>
    <w:p>
      <w:pPr>
        <w:sectPr>
          <w:pgSz w:w="11900" w:h="16838" w:orient="portrait"/>
          <w:cols w:equalWidth="0" w:num="4">
            <w:col w:w="1280" w:space="620"/>
            <w:col w:w="160" w:space="420"/>
            <w:col w:w="1600" w:space="660"/>
            <w:col w:w="6500"/>
          </w:cols>
          <w:pgMar w:left="320" w:top="1440" w:right="339" w:bottom="1440" w:gutter="0" w:footer="0" w:header="0"/>
          <w:type w:val="continuous"/>
        </w:sectPr>
      </w:pPr>
    </w:p>
    <w:p>
      <w:pPr>
        <w:spacing w:after="0" w:line="149" w:lineRule="exact"/>
        <w:rPr>
          <w:sz w:val="24"/>
          <w:szCs w:val="24"/>
          <w:color w:val="auto"/>
        </w:rPr>
      </w:pPr>
    </w:p>
    <w:p>
      <w:pPr>
        <w:ind w:right="360"/>
        <w:spacing w:after="0" w:line="20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571500</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49" w:lineRule="exact"/>
        <w:rPr>
          <w:sz w:val="20"/>
          <w:szCs w:val="20"/>
          <w:color w:val="auto"/>
        </w:rPr>
      </w:pPr>
    </w:p>
    <w:p>
      <w:pPr>
        <w:jc w:val="both"/>
        <w:ind w:left="3260"/>
        <w:spacing w:after="0" w:line="161" w:lineRule="exact"/>
        <w:tabs>
          <w:tab w:leader="none" w:pos="378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Registrant had 13,772,802 common shares outstanding as of October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563245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7"/>
          <w:szCs w:val="17"/>
          <w:color w:val="auto"/>
        </w:rPr>
        <w:t>CIVEO CORPORATION</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INDEX</w:t>
      </w:r>
    </w:p>
    <w:p>
      <w:pPr>
        <w:spacing w:after="0" w:line="151" w:lineRule="exact"/>
        <w:rPr>
          <w:sz w:val="20"/>
          <w:szCs w:val="20"/>
          <w:color w:val="auto"/>
        </w:rPr>
      </w:pPr>
    </w:p>
    <w:p>
      <w:pPr>
        <w:ind w:left="10500"/>
        <w:spacing w:after="0"/>
        <w:rPr>
          <w:sz w:val="20"/>
          <w:szCs w:val="20"/>
          <w:color w:val="auto"/>
        </w:rPr>
      </w:pPr>
      <w:r>
        <w:rPr>
          <w:rFonts w:ascii="Times New Roman" w:cs="Times New Roman" w:eastAsia="Times New Roman" w:hAnsi="Times New Roman"/>
          <w:sz w:val="14"/>
          <w:szCs w:val="14"/>
          <w:b w:val="1"/>
          <w:bCs w:val="1"/>
          <w:u w:val="single" w:color="auto"/>
          <w:color w:val="auto"/>
        </w:rPr>
        <w:t>Page No.</w:t>
      </w:r>
    </w:p>
    <w:p>
      <w:pPr>
        <w:spacing w:after="0" w:line="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6765" cy="12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124460"/>
                    </a:xfrm>
                    <a:prstGeom prst="rect">
                      <a:avLst/>
                    </a:prstGeom>
                    <a:noFill/>
                  </pic:spPr>
                </pic:pic>
              </a:graphicData>
            </a:graphic>
          </wp:anchor>
        </w:drawing>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6765" cy="124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12446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 w:type="dxa"/>
            <w:vAlign w:val="bottom"/>
            <w:shd w:val="clear" w:color="auto" w:fill="CCEEFF"/>
          </w:tcPr>
          <w:p>
            <w:pPr>
              <w:spacing w:after="0"/>
              <w:rPr>
                <w:sz w:val="17"/>
                <w:szCs w:val="17"/>
                <w:color w:val="auto"/>
              </w:rPr>
            </w:pPr>
          </w:p>
        </w:tc>
        <w:tc>
          <w:tcPr>
            <w:tcW w:w="10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Consolidated Financial Statements</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Operations for the Three and Nine Months Ended September 30, 2024 and 2023</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rPr>
              <w:t>4</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44"/>
        </w:trPr>
        <w:tc>
          <w:tcPr>
            <w:tcW w:w="560" w:type="dxa"/>
            <w:vAlign w:val="bottom"/>
            <w:shd w:val="clear" w:color="auto" w:fill="CCEEFF"/>
          </w:tcPr>
          <w:p>
            <w:pPr>
              <w:spacing w:after="0"/>
              <w:rPr>
                <w:sz w:val="12"/>
                <w:szCs w:val="12"/>
                <w:color w:val="auto"/>
              </w:rPr>
            </w:pPr>
          </w:p>
        </w:tc>
        <w:tc>
          <w:tcPr>
            <w:tcW w:w="1052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Comprehensive Income (Loss) for the Three and Nine Months Ended September 30, 2024 and 2023</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rPr>
              <w:t>5</w:t>
            </w:r>
          </w:p>
        </w:tc>
        <w:tc>
          <w:tcPr>
            <w:tcW w:w="20" w:type="dxa"/>
            <w:vAlign w:val="bottom"/>
            <w:shd w:val="clear" w:color="auto" w:fill="CCEEFF"/>
          </w:tcPr>
          <w:p>
            <w:pPr>
              <w:spacing w:after="0"/>
              <w:rPr>
                <w:sz w:val="12"/>
                <w:szCs w:val="12"/>
                <w:color w:val="auto"/>
              </w:rPr>
            </w:pPr>
          </w:p>
        </w:tc>
      </w:tr>
      <w:tr>
        <w:trPr>
          <w:trHeight w:val="32"/>
        </w:trPr>
        <w:tc>
          <w:tcPr>
            <w:tcW w:w="560" w:type="dxa"/>
            <w:vAlign w:val="bottom"/>
            <w:tcBorders>
              <w:top w:val="single" w:sz="8" w:color="CCEEFF"/>
            </w:tcBorders>
            <w:shd w:val="clear" w:color="auto" w:fill="CCEEFF"/>
          </w:tcPr>
          <w:p>
            <w:pPr>
              <w:spacing w:after="0"/>
              <w:rPr>
                <w:sz w:val="2"/>
                <w:szCs w:val="2"/>
                <w:color w:val="auto"/>
              </w:rPr>
            </w:pPr>
          </w:p>
        </w:tc>
        <w:tc>
          <w:tcPr>
            <w:tcW w:w="10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Consolidated Balance Sheets – as of September 30, 2024 (unaudited) and December 31, 2023</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rPr>
              <w:t>6</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44"/>
        </w:trPr>
        <w:tc>
          <w:tcPr>
            <w:tcW w:w="560" w:type="dxa"/>
            <w:vAlign w:val="bottom"/>
            <w:shd w:val="clear" w:color="auto" w:fill="CCEEFF"/>
          </w:tcPr>
          <w:p>
            <w:pPr>
              <w:spacing w:after="0"/>
              <w:rPr>
                <w:sz w:val="12"/>
                <w:szCs w:val="12"/>
                <w:color w:val="auto"/>
              </w:rPr>
            </w:pPr>
          </w:p>
        </w:tc>
        <w:tc>
          <w:tcPr>
            <w:tcW w:w="1052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Changes in Shareholders’ Equity for the Three and Nine Months Ended September 30, 2024 and 2023</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rPr>
              <w:t>7</w:t>
            </w:r>
          </w:p>
        </w:tc>
        <w:tc>
          <w:tcPr>
            <w:tcW w:w="20" w:type="dxa"/>
            <w:vAlign w:val="bottom"/>
            <w:shd w:val="clear" w:color="auto" w:fill="CCEEFF"/>
          </w:tcPr>
          <w:p>
            <w:pPr>
              <w:spacing w:after="0"/>
              <w:rPr>
                <w:sz w:val="12"/>
                <w:szCs w:val="12"/>
                <w:color w:val="auto"/>
              </w:rPr>
            </w:pPr>
          </w:p>
        </w:tc>
      </w:tr>
      <w:tr>
        <w:trPr>
          <w:trHeight w:val="32"/>
        </w:trPr>
        <w:tc>
          <w:tcPr>
            <w:tcW w:w="560" w:type="dxa"/>
            <w:vAlign w:val="bottom"/>
            <w:tcBorders>
              <w:top w:val="single" w:sz="8" w:color="CCEEFF"/>
            </w:tcBorders>
            <w:shd w:val="clear" w:color="auto" w:fill="CCEEFF"/>
          </w:tcPr>
          <w:p>
            <w:pPr>
              <w:spacing w:after="0"/>
              <w:rPr>
                <w:sz w:val="2"/>
                <w:szCs w:val="2"/>
                <w:color w:val="auto"/>
              </w:rPr>
            </w:pPr>
          </w:p>
        </w:tc>
        <w:tc>
          <w:tcPr>
            <w:tcW w:w="10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Cash Flows for the Nine Months Ended September 30, 2024 and 2023</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rPr>
              <w:t>8</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560" w:type="dxa"/>
            <w:vAlign w:val="bottom"/>
            <w:shd w:val="clear" w:color="auto" w:fill="CCEEFF"/>
          </w:tcPr>
          <w:p>
            <w:pPr>
              <w:spacing w:after="0"/>
              <w:rPr>
                <w:sz w:val="15"/>
                <w:szCs w:val="15"/>
                <w:color w:val="auto"/>
              </w:rPr>
            </w:pPr>
          </w:p>
        </w:tc>
        <w:tc>
          <w:tcPr>
            <w:tcW w:w="1052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Notes to Unaudited Consolidated Financial Statements</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rPr>
              <w:t>9</w:t>
            </w:r>
          </w:p>
        </w:tc>
        <w:tc>
          <w:tcPr>
            <w:tcW w:w="20" w:type="dxa"/>
            <w:vAlign w:val="bottom"/>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Cautionary Statement Regarding Forward-Looking Statements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19</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2.  Management’s Discussion and Analysis of Financial Condition and Results of Operations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19</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3.  Quantitative and Qualitative Disclosures About Market Risk</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34</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4.  Controls and Procedures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34</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560" w:type="dxa"/>
            <w:vAlign w:val="bottom"/>
            <w:tcBorders>
              <w:top w:val="single" w:sz="8" w:color="CCEEFF"/>
            </w:tcBorders>
          </w:tcPr>
          <w:p>
            <w:pPr>
              <w:spacing w:after="0"/>
              <w:rPr>
                <w:sz w:val="18"/>
                <w:szCs w:val="18"/>
                <w:color w:val="auto"/>
              </w:rPr>
            </w:pPr>
          </w:p>
        </w:tc>
        <w:tc>
          <w:tcPr>
            <w:tcW w:w="10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60" w:type="dxa"/>
            <w:vAlign w:val="bottom"/>
          </w:tcPr>
          <w:p>
            <w:pPr>
              <w:spacing w:after="0"/>
              <w:rPr>
                <w:sz w:val="16"/>
                <w:szCs w:val="16"/>
                <w:color w:val="auto"/>
              </w:rPr>
            </w:pPr>
          </w:p>
        </w:tc>
        <w:tc>
          <w:tcPr>
            <w:tcW w:w="105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Part II -- OTHER INFORMATION</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1.</w:t>
            </w:r>
          </w:p>
        </w:tc>
        <w:tc>
          <w:tcPr>
            <w:tcW w:w="105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Legal Proceedings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35</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1A.</w:t>
            </w:r>
          </w:p>
        </w:tc>
        <w:tc>
          <w:tcPr>
            <w:tcW w:w="105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Risk Factors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35</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1108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2. Unregistered Sales of Equity Securities and Use of Proceeds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35</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5.</w:t>
            </w:r>
          </w:p>
        </w:tc>
        <w:tc>
          <w:tcPr>
            <w:tcW w:w="105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Other Information</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35</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6.</w:t>
            </w:r>
          </w:p>
        </w:tc>
        <w:tc>
          <w:tcPr>
            <w:tcW w:w="105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Exhibits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36</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(a) Index of Exhibits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36</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1108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Signature Page</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38</w:t>
            </w:r>
          </w:p>
        </w:tc>
        <w:tc>
          <w:tcPr>
            <w:tcW w:w="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OPERATIONS</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6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9"/>
        </w:trPr>
        <w:tc>
          <w:tcPr>
            <w:tcW w:w="6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7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89"/>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Service and other</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175,968</w:t>
            </w:r>
          </w:p>
        </w:tc>
        <w:tc>
          <w:tcPr>
            <w:tcW w:w="12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183,229</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529,731</w:t>
            </w:r>
          </w:p>
        </w:tc>
        <w:tc>
          <w:tcPr>
            <w:tcW w:w="10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529,172</w:t>
            </w: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Rental</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Product</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w:t>
            </w:r>
          </w:p>
        </w:tc>
      </w:tr>
      <w:tr>
        <w:trPr>
          <w:trHeight w:val="196"/>
        </w:trPr>
        <w:tc>
          <w:tcPr>
            <w:tcW w:w="60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176,338</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183,572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531,171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530,006</w:t>
            </w:r>
          </w:p>
        </w:tc>
      </w:tr>
      <w:tr>
        <w:trPr>
          <w:trHeight w:val="169"/>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 and other costs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138,445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130,183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409,560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394,953</w:t>
            </w:r>
          </w:p>
        </w:tc>
      </w:tr>
      <w:tr>
        <w:trPr>
          <w:trHeight w:val="222"/>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Rental costs</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Product costs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r>
      <w:tr>
        <w:trPr>
          <w:trHeight w:val="189"/>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20,236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55,708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52,885</w:t>
            </w: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16,914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59,277</w:t>
            </w:r>
          </w:p>
        </w:tc>
      </w:tr>
      <w:tr>
        <w:trPr>
          <w:trHeight w:val="222"/>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expense</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loss on sale of McClelland Lake Lodge assets, net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operating expense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r>
      <w:tr>
        <w:trPr>
          <w:trHeight w:val="196"/>
        </w:trPr>
        <w:tc>
          <w:tcPr>
            <w:tcW w:w="60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176,294</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167,533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519,796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507,699</w:t>
            </w:r>
          </w:p>
        </w:tc>
      </w:tr>
      <w:tr>
        <w:trPr>
          <w:trHeight w:val="182"/>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16,039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22,307</w:t>
            </w:r>
          </w:p>
        </w:tc>
      </w:tr>
      <w:tr>
        <w:trPr>
          <w:trHeight w:val="216"/>
        </w:trPr>
        <w:tc>
          <w:tcPr>
            <w:tcW w:w="6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89"/>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(10,625)</w:t>
            </w: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189"/>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(1,832)</w:t>
            </w:r>
          </w:p>
        </w:tc>
      </w:tr>
      <w:tr>
        <w:trPr>
          <w:trHeight w:val="19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8,009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9,976</w:t>
            </w:r>
          </w:p>
        </w:tc>
      </w:tr>
      <w:tr>
        <w:trPr>
          <w:trHeight w:val="189"/>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(2,897)</w:t>
            </w:r>
          </w:p>
        </w:tc>
      </w:tr>
      <w:tr>
        <w:trPr>
          <w:trHeight w:val="19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9,223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7,079</w:t>
            </w:r>
          </w:p>
        </w:tc>
      </w:tr>
      <w:tr>
        <w:trPr>
          <w:trHeight w:val="189"/>
        </w:trPr>
        <w:tc>
          <w:tcPr>
            <w:tcW w:w="6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9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Civeo Corporation</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(5,091)</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9,022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9"/>
        </w:trPr>
        <w:tc>
          <w:tcPr>
            <w:tcW w:w="6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90"/>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 (see Note 7)</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2"/>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net income (loss) per share attributable to Civeo Corporation common shareholders</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0.48</w:t>
            </w:r>
          </w:p>
        </w:tc>
      </w:tr>
      <w:tr>
        <w:trPr>
          <w:trHeight w:val="209"/>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net income (loss) per share attributable to Civeo Corporation common shareholders</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r>
      <w:tr>
        <w:trPr>
          <w:trHeight w:val="209"/>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89"/>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14,814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14,980</w:t>
            </w: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14,891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15,051</w:t>
            </w:r>
          </w:p>
        </w:tc>
      </w:tr>
      <w:tr>
        <w:trPr>
          <w:trHeight w:val="209"/>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per common share</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r>
    </w:tbl>
    <w:p>
      <w:pPr>
        <w:spacing w:after="0" w:line="200" w:lineRule="exact"/>
        <w:rPr>
          <w:sz w:val="20"/>
          <w:szCs w:val="20"/>
          <w:color w:val="auto"/>
        </w:rPr>
      </w:pPr>
    </w:p>
    <w:p>
      <w:pPr>
        <w:spacing w:after="0" w:line="3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74295</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0"/>
          </w:cols>
          <w:pgMar w:left="480" w:top="1374" w:right="499" w:bottom="1440" w:gutter="0" w:footer="0" w:header="0"/>
        </w:sectPr>
      </w:pPr>
    </w:p>
    <w:bookmarkStart w:id="4" w:name="page5"/>
    <w:bookmarkEnd w:id="4"/>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COMPREHENSIVE INCOME (LOSS)</w:t>
      </w:r>
    </w:p>
    <w:p>
      <w:pPr>
        <w:spacing w:after="0" w:line="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9"/>
        </w:trPr>
        <w:tc>
          <w:tcPr>
            <w:tcW w:w="5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4"/>
        </w:trPr>
        <w:tc>
          <w:tcPr>
            <w:tcW w:w="5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8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(5,289)</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7,079</w:t>
            </w:r>
          </w:p>
        </w:tc>
      </w:tr>
      <w:tr>
        <w:trPr>
          <w:trHeight w:val="131"/>
        </w:trPr>
        <w:tc>
          <w:tcPr>
            <w:tcW w:w="5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9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 net of taxes: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89"/>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Foreign currency translation adjustment, net of zero taxes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7,238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(6,890)</w:t>
            </w:r>
          </w:p>
        </w:tc>
      </w:tr>
      <w:tr>
        <w:trPr>
          <w:trHeight w:val="18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comprehensive income (loss), net of taxes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7,238</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w:t>
            </w:r>
          </w:p>
        </w:tc>
      </w:tr>
      <w:tr>
        <w:trPr>
          <w:trHeight w:val="131"/>
        </w:trPr>
        <w:tc>
          <w:tcPr>
            <w:tcW w:w="5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9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1,949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189"/>
        </w:trPr>
        <w:tc>
          <w:tcPr>
            <w:tcW w:w="5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Comprehensive income (loss) attributable to noncontrolling interest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21"/>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Civeo Corporation</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2,121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74295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820"/>
          </w:cols>
          <w:pgMar w:left="540" w:top="1374" w:right="539" w:bottom="1440" w:gutter="0" w:footer="0" w:header="0"/>
        </w:sectPr>
      </w:pPr>
    </w:p>
    <w:bookmarkStart w:id="5" w:name="page6"/>
    <w:bookmarkEnd w:id="5"/>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 Thousands, Excluding Share Amounts)</w:t>
      </w:r>
    </w:p>
    <w:p>
      <w:pPr>
        <w:sectPr>
          <w:pgSz w:w="11900" w:h="16838" w:orient="portrait"/>
          <w:cols w:equalWidth="0" w:num="1">
            <w:col w:w="11180"/>
          </w:cols>
          <w:pgMar w:left="480" w:top="13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assets: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Accounts receivable, net</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Inventories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Prepaid expenses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Other current assets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Assets held for sale</w:t>
      </w: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192" w:lineRule="exact"/>
        <w:rPr>
          <w:sz w:val="20"/>
          <w:szCs w:val="20"/>
          <w:color w:val="auto"/>
        </w:rPr>
      </w:pPr>
    </w:p>
    <w:p>
      <w:pPr>
        <w:ind w:left="20"/>
        <w:spacing w:after="0" w:line="292" w:lineRule="auto"/>
        <w:rPr>
          <w:sz w:val="20"/>
          <w:szCs w:val="20"/>
          <w:color w:val="auto"/>
        </w:rPr>
      </w:pPr>
      <w:r>
        <w:rPr>
          <w:rFonts w:ascii="Times New Roman" w:cs="Times New Roman" w:eastAsia="Times New Roman" w:hAnsi="Times New Roman"/>
          <w:sz w:val="14"/>
          <w:szCs w:val="14"/>
          <w:color w:val="auto"/>
        </w:rPr>
        <w:t>Property, plant and equipment, net Goodwill</w:t>
      </w:r>
    </w:p>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assets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118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75"/>
        </w:trPr>
        <w:tc>
          <w:tcPr>
            <w:tcW w:w="4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r>
      <w:tr>
        <w:trPr>
          <w:trHeight w:val="187"/>
        </w:trPr>
        <w:tc>
          <w:tcPr>
            <w:tcW w:w="4320" w:type="dxa"/>
            <w:vAlign w:val="bottom"/>
            <w:gridSpan w:val="2"/>
          </w:tcPr>
          <w:p>
            <w:pPr>
              <w:jc w:val="right"/>
              <w:ind w:right="3750"/>
              <w:spacing w:after="0"/>
              <w:rPr>
                <w:sz w:val="20"/>
                <w:szCs w:val="20"/>
                <w:color w:val="auto"/>
              </w:rPr>
            </w:pPr>
            <w:r>
              <w:rPr>
                <w:rFonts w:ascii="Times New Roman" w:cs="Times New Roman" w:eastAsia="Times New Roman" w:hAnsi="Times New Roman"/>
                <w:sz w:val="14"/>
                <w:szCs w:val="14"/>
                <w:color w:val="auto"/>
                <w:w w:val="94"/>
              </w:rPr>
              <w:t>ASSETS</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549"/>
        </w:trPr>
        <w:tc>
          <w:tcPr>
            <w:tcW w:w="43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17,910</w:t>
            </w:r>
          </w:p>
        </w:tc>
        <w:tc>
          <w:tcPr>
            <w:tcW w:w="100" w:type="dxa"/>
            <w:vAlign w:val="bottom"/>
          </w:tcPr>
          <w:p>
            <w:pPr>
              <w:spacing w:after="0"/>
              <w:rPr>
                <w:sz w:val="24"/>
                <w:szCs w:val="24"/>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143,222</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6,982</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8,439</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7,407</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5,873</w:t>
            </w:r>
          </w:p>
        </w:tc>
      </w:tr>
      <w:tr>
        <w:trPr>
          <w:trHeight w:val="23"/>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5"/>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175,246</w:t>
            </w:r>
          </w:p>
        </w:tc>
      </w:tr>
      <w:tr>
        <w:trPr>
          <w:trHeight w:val="343"/>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233,864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270,563</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7,690</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77,999</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12,286</w:t>
            </w: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4,278</w:t>
            </w:r>
          </w:p>
        </w:tc>
      </w:tr>
      <w:tr>
        <w:trPr>
          <w:trHeight w:val="23"/>
        </w:trPr>
        <w:tc>
          <w:tcPr>
            <w:tcW w:w="43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2"/>
        </w:trPr>
        <w:tc>
          <w:tcPr>
            <w:tcW w:w="41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477,636</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548,062</w:t>
            </w:r>
          </w:p>
        </w:tc>
      </w:tr>
      <w:tr>
        <w:trPr>
          <w:trHeight w:val="26"/>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-2115185</wp:posOffset>
            </wp:positionV>
            <wp:extent cx="7098665" cy="124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-1891665</wp:posOffset>
            </wp:positionV>
            <wp:extent cx="7098665" cy="124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-1642745</wp:posOffset>
            </wp:positionV>
            <wp:extent cx="7098665" cy="124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-1393825</wp:posOffset>
            </wp:positionV>
            <wp:extent cx="7098665" cy="124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-1144270</wp:posOffset>
            </wp:positionV>
            <wp:extent cx="7098665" cy="124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-887095</wp:posOffset>
            </wp:positionV>
            <wp:extent cx="7098665" cy="99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665" cy="99695"/>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-662940</wp:posOffset>
            </wp:positionV>
            <wp:extent cx="7098665" cy="124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-414020</wp:posOffset>
            </wp:positionV>
            <wp:extent cx="7098665" cy="124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-165100</wp:posOffset>
            </wp:positionV>
            <wp:extent cx="7098665" cy="149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665" cy="14922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-95885</wp:posOffset>
            </wp:positionV>
            <wp:extent cx="7098665" cy="124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665" cy="1244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520"/>
            <w:col w:w="8720"/>
          </w:cols>
          <w:pgMar w:left="480" w:top="1374" w:right="239" w:bottom="1440"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48,497</w:t>
            </w:r>
          </w:p>
        </w:tc>
        <w:tc>
          <w:tcPr>
            <w:tcW w:w="100" w:type="dxa"/>
            <w:vAlign w:val="bottom"/>
          </w:tcPr>
          <w:p>
            <w:pPr>
              <w:spacing w:after="0"/>
              <w:rPr>
                <w:sz w:val="16"/>
                <w:szCs w:val="16"/>
                <w:color w:val="auto"/>
              </w:rPr>
            </w:pPr>
          </w:p>
        </w:tc>
        <w:tc>
          <w:tcPr>
            <w:tcW w:w="560" w:type="dxa"/>
            <w:vAlign w:val="bottom"/>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58,699</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36,485</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40,523</w:t>
            </w: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3,831</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4,849</w:t>
            </w: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5,039</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6,334</w:t>
            </w: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106,839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114,236</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50,078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65,554</w:t>
            </w: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11,803</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7,915</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9,264</w:t>
            </w: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23,619</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24,167</w:t>
            </w: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193,692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225,024</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78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shares (no par value; 46,000,000 shares authorized, 14,275,876 shares and 15,046,756 shares issued, respectively, and</w:t>
            </w:r>
          </w:p>
        </w:tc>
        <w:tc>
          <w:tcPr>
            <w:tcW w:w="54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13,861,802 shares and 14,680,081 shares outstanding, respectively)</w:t>
            </w:r>
          </w:p>
        </w:tc>
        <w:tc>
          <w:tcPr>
            <w:tcW w:w="5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1,630,851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1,628,972</w:t>
            </w: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(956,545)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(919,023)</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shares held in treasury at cost, 414,074 and 366,675 shares, respectively</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(9,063)</w:t>
            </w: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(382,017)</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(380,715)</w:t>
            </w: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Civeo Corporation shareholders’ equity</w:t>
            </w: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282,159</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320,171</w:t>
            </w:r>
          </w:p>
        </w:tc>
        <w:tc>
          <w:tcPr>
            <w:tcW w:w="0" w:type="dxa"/>
            <w:vAlign w:val="bottom"/>
          </w:tcPr>
          <w:p>
            <w:pPr>
              <w:spacing w:after="0"/>
              <w:rPr>
                <w:sz w:val="1"/>
                <w:szCs w:val="1"/>
                <w:color w:val="auto"/>
              </w:rPr>
            </w:pPr>
          </w:p>
        </w:tc>
      </w:tr>
      <w:tr>
        <w:trPr>
          <w:trHeight w:val="18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1,785</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5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283,944</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323,038</w:t>
            </w:r>
          </w:p>
        </w:tc>
        <w:tc>
          <w:tcPr>
            <w:tcW w:w="0" w:type="dxa"/>
            <w:vAlign w:val="bottom"/>
          </w:tcPr>
          <w:p>
            <w:pPr>
              <w:spacing w:after="0"/>
              <w:rPr>
                <w:sz w:val="1"/>
                <w:szCs w:val="1"/>
                <w:color w:val="auto"/>
              </w:rPr>
            </w:pPr>
          </w:p>
        </w:tc>
      </w:tr>
      <w:tr>
        <w:trPr>
          <w:trHeight w:val="196"/>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5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477,636</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548,062</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38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74295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480" w:top="1374" w:right="239" w:bottom="1440" w:gutter="0" w:footer="0" w:header="0"/>
          <w:type w:val="continuous"/>
        </w:sectPr>
      </w:pPr>
    </w:p>
    <w:bookmarkStart w:id="6" w:name="page7"/>
    <w:bookmarkEnd w:id="6"/>
    <w:p>
      <w:pPr>
        <w:jc w:val="center"/>
        <w:ind w:right="-103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w:t>
      </w:r>
    </w:p>
    <w:p>
      <w:pPr>
        <w:spacing w:after="0" w:line="34"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7"/>
          <w:szCs w:val="17"/>
          <w:b w:val="1"/>
          <w:bCs w:val="1"/>
          <w:color w:val="auto"/>
        </w:rPr>
        <w:t>CHANGES IN SHAREHOLDERS’ EQUITY</w:t>
      </w:r>
    </w:p>
    <w:p>
      <w:pPr>
        <w:spacing w:after="0" w:line="14"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34" w:lineRule="exact"/>
        <w:rPr>
          <w:sz w:val="20"/>
          <w:szCs w:val="20"/>
          <w:color w:val="auto"/>
        </w:rPr>
      </w:pPr>
    </w:p>
    <w:tbl>
      <w:tblPr>
        <w:tblLayout w:type="fixed"/>
        <w:tblInd w:w="2680" w:type="dxa"/>
        <w:tblCellMar>
          <w:top w:w="0" w:type="dxa"/>
          <w:left w:w="0" w:type="dxa"/>
          <w:bottom w:w="0" w:type="dxa"/>
          <w:right w:w="0" w:type="dxa"/>
        </w:tblCellMar>
      </w:tblPr>
      <w:tr>
        <w:trPr>
          <w:trHeight w:val="170"/>
        </w:trPr>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Attributable to Civeo</w:t>
            </w:r>
          </w:p>
        </w:tc>
        <w:tc>
          <w:tcPr>
            <w:tcW w:w="7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Common</w:t>
            </w:r>
          </w:p>
        </w:tc>
        <w:tc>
          <w:tcPr>
            <w:tcW w:w="10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vMerge w:val="restart"/>
          </w:tcPr>
          <w:p>
            <w:pPr>
              <w:jc w:val="center"/>
              <w:ind w:left="79"/>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280" w:type="dxa"/>
            <w:vAlign w:val="bottom"/>
          </w:tcPr>
          <w:p>
            <w:pPr>
              <w:spacing w:after="0" w:line="20" w:lineRule="exact"/>
              <w:rPr>
                <w:sz w:val="1"/>
                <w:szCs w:val="1"/>
                <w:color w:val="auto"/>
              </w:rPr>
            </w:pPr>
          </w:p>
        </w:tc>
        <w:tc>
          <w:tcPr>
            <w:tcW w:w="960" w:type="dxa"/>
            <w:vAlign w:val="bottom"/>
            <w:vMerge w:val="restart"/>
          </w:tcPr>
          <w:p>
            <w:pPr>
              <w:jc w:val="center"/>
              <w:ind w:left="159"/>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340" w:type="dxa"/>
            <w:vAlign w:val="bottom"/>
            <w:vMerge w:val="restart"/>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760" w:type="dxa"/>
            <w:vAlign w:val="bottom"/>
            <w:vMerge w:val="restart"/>
          </w:tcPr>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122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Other</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tcPr>
          <w:p>
            <w:pPr>
              <w:jc w:val="center"/>
              <w:ind w:left="59"/>
              <w:spacing w:after="0" w:line="11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3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22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280" w:type="dxa"/>
            <w:vAlign w:val="bottom"/>
            <w:vMerge w:val="continue"/>
          </w:tcPr>
          <w:p>
            <w:pPr>
              <w:spacing w:after="0"/>
              <w:rPr>
                <w:sz w:val="10"/>
                <w:szCs w:val="10"/>
                <w:color w:val="auto"/>
              </w:rPr>
            </w:pPr>
          </w:p>
        </w:tc>
        <w:tc>
          <w:tcPr>
            <w:tcW w:w="960" w:type="dxa"/>
            <w:vAlign w:val="bottom"/>
          </w:tcPr>
          <w:p>
            <w:pPr>
              <w:jc w:val="center"/>
              <w:ind w:left="159"/>
              <w:spacing w:after="0" w:line="118"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1020" w:type="dxa"/>
            <w:vAlign w:val="bottom"/>
          </w:tcPr>
          <w:p>
            <w:pPr>
              <w:jc w:val="center"/>
              <w:ind w:left="59"/>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760" w:type="dxa"/>
            <w:vAlign w:val="bottom"/>
          </w:tcPr>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1280" w:type="dxa"/>
            <w:vAlign w:val="bottom"/>
          </w:tcPr>
          <w:p>
            <w:pPr>
              <w:jc w:val="center"/>
              <w:ind w:left="19"/>
              <w:spacing w:after="0"/>
              <w:rPr>
                <w:sz w:val="20"/>
                <w:szCs w:val="20"/>
                <w:color w:val="auto"/>
              </w:rPr>
            </w:pPr>
            <w:r>
              <w:rPr>
                <w:rFonts w:ascii="Times New Roman" w:cs="Times New Roman" w:eastAsia="Times New Roman" w:hAnsi="Times New Roman"/>
                <w:sz w:val="12"/>
                <w:szCs w:val="12"/>
                <w:b w:val="1"/>
                <w:bCs w:val="1"/>
                <w:color w:val="auto"/>
                <w:w w:val="99"/>
              </w:rPr>
              <w:t>Interest</w:t>
            </w:r>
          </w:p>
        </w:tc>
        <w:tc>
          <w:tcPr>
            <w:tcW w:w="960" w:type="dxa"/>
            <w:vAlign w:val="bottom"/>
          </w:tcPr>
          <w:p>
            <w:pPr>
              <w:jc w:val="center"/>
              <w:ind w:left="15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6572250" cy="132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72250" cy="132715"/>
                    </a:xfrm>
                    <a:prstGeom prst="rect">
                      <a:avLst/>
                    </a:prstGeom>
                    <a:noFill/>
                  </pic:spPr>
                </pic:pic>
              </a:graphicData>
            </a:graphic>
          </wp:anchor>
        </w:drawing>
      </w:r>
    </w:p>
    <w:p>
      <w:pPr>
        <w:sectPr>
          <w:pgSz w:w="11900" w:h="16838" w:orient="portrait"/>
          <w:cols w:equalWidth="0" w:num="1">
            <w:col w:w="10360"/>
          </w:cols>
          <w:pgMar w:left="320" w:top="1374" w:right="1219" w:bottom="1440" w:gutter="0" w:footer="0" w:header="0"/>
        </w:sectPr>
      </w:pPr>
    </w:p>
    <w:tbl>
      <w:tblPr>
        <w:tblLayout w:type="fixed"/>
        <w:tblInd w:w="0" w:type="dxa"/>
        <w:tblCellMar>
          <w:top w:w="0" w:type="dxa"/>
          <w:left w:w="0" w:type="dxa"/>
          <w:bottom w:w="0" w:type="dxa"/>
          <w:right w:w="0" w:type="dxa"/>
        </w:tblCellMar>
      </w:tblPr>
      <w:tr>
        <w:trPr>
          <w:trHeight w:val="19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1,626,556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1,627,809</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1,630,130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Excise tax on common shares repurchased</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1,630,851</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1,624,512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1,627,809</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1,628,972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Excise tax on common shares repurchased</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1,630,851</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Shares (in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7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14,680</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(922)</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120" w:type="dxa"/>
            <w:vAlign w:val="bottom"/>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13,862</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(939,983)</w:t>
            </w:r>
          </w:p>
        </w:tc>
        <w:tc>
          <w:tcPr>
            <w:tcW w:w="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(9,063)</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(385,350)</w:t>
            </w:r>
          </w:p>
        </w:tc>
        <w:tc>
          <w:tcPr>
            <w:tcW w:w="100" w:type="dxa"/>
            <w:vAlign w:val="bottom"/>
          </w:tcPr>
          <w:p>
            <w:pPr>
              <w:spacing w:after="0"/>
              <w:rPr>
                <w:sz w:val="16"/>
                <w:szCs w:val="16"/>
                <w:color w:val="auto"/>
              </w:rPr>
            </w:pPr>
          </w:p>
        </w:tc>
        <w:tc>
          <w:tcPr>
            <w:tcW w:w="4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3,173</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295,333</w:t>
            </w:r>
          </w:p>
        </w:tc>
        <w:tc>
          <w:tcPr>
            <w:tcW w:w="0" w:type="dxa"/>
            <w:vAlign w:val="bottom"/>
          </w:tcPr>
          <w:p>
            <w:pPr>
              <w:spacing w:after="0"/>
              <w:rPr>
                <w:sz w:val="1"/>
                <w:szCs w:val="1"/>
                <w:color w:val="auto"/>
              </w:rPr>
            </w:pPr>
          </w:p>
        </w:tc>
      </w:tr>
      <w:tr>
        <w:trPr>
          <w:trHeight w:val="185"/>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9,022</w:t>
            </w:r>
          </w:p>
        </w:tc>
        <w:tc>
          <w:tcPr>
            <w:tcW w:w="22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9,223</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(6,795)</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(3,731)</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(3,799)</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(1,252)</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0" w:type="dxa"/>
            <w:vAlign w:val="bottom"/>
          </w:tcPr>
          <w:p>
            <w:pPr>
              <w:spacing w:after="0"/>
              <w:rPr>
                <w:sz w:val="1"/>
                <w:szCs w:val="1"/>
                <w:color w:val="auto"/>
              </w:rPr>
            </w:pPr>
          </w:p>
        </w:tc>
      </w:tr>
      <w:tr>
        <w:trPr>
          <w:trHeight w:val="23"/>
        </w:trPr>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(935,944)</w:t>
            </w: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8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(9,063)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(392,080)</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3,241</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293,963</w:t>
            </w:r>
          </w:p>
        </w:tc>
        <w:tc>
          <w:tcPr>
            <w:tcW w:w="0" w:type="dxa"/>
            <w:vAlign w:val="bottom"/>
          </w:tcPr>
          <w:p>
            <w:pPr>
              <w:spacing w:after="0"/>
              <w:rPr>
                <w:sz w:val="1"/>
                <w:szCs w:val="1"/>
                <w:color w:val="auto"/>
              </w:rPr>
            </w:pPr>
          </w:p>
        </w:tc>
      </w:tr>
      <w:tr>
        <w:trPr>
          <w:trHeight w:val="25"/>
        </w:trPr>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(933,346)</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(10,130)</w:t>
            </w:r>
          </w:p>
        </w:tc>
        <w:tc>
          <w:tcPr>
            <w:tcW w:w="100" w:type="dxa"/>
            <w:vAlign w:val="bottom"/>
          </w:tcPr>
          <w:p>
            <w:pPr>
              <w:spacing w:after="0"/>
              <w:rPr>
                <w:sz w:val="24"/>
                <w:szCs w:val="24"/>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(389,229)</w:t>
            </w:r>
          </w:p>
        </w:tc>
        <w:tc>
          <w:tcPr>
            <w:tcW w:w="100" w:type="dxa"/>
            <w:vAlign w:val="bottom"/>
          </w:tcPr>
          <w:p>
            <w:pPr>
              <w:spacing w:after="0"/>
              <w:rPr>
                <w:sz w:val="24"/>
                <w:szCs w:val="24"/>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1,963</w:t>
            </w:r>
          </w:p>
        </w:tc>
        <w:tc>
          <w:tcPr>
            <w:tcW w:w="100" w:type="dxa"/>
            <w:vAlign w:val="bottom"/>
          </w:tcPr>
          <w:p>
            <w:pPr>
              <w:spacing w:after="0"/>
              <w:rPr>
                <w:sz w:val="24"/>
                <w:szCs w:val="24"/>
                <w:color w:val="auto"/>
              </w:rPr>
            </w:pP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299,388</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(5,091)</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(5,289)</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7,238</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(3,616)</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(3,622)</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(14,208)</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(14,208)</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(284)</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23"/>
        </w:trPr>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(956,545)</w:t>
            </w: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8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(10,130)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(382,017)</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1,785</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283,944</w:t>
            </w:r>
          </w:p>
        </w:tc>
        <w:tc>
          <w:tcPr>
            <w:tcW w:w="0" w:type="dxa"/>
            <w:vAlign w:val="bottom"/>
          </w:tcPr>
          <w:p>
            <w:pPr>
              <w:spacing w:after="0"/>
              <w:rPr>
                <w:sz w:val="1"/>
                <w:szCs w:val="1"/>
                <w:color w:val="auto"/>
              </w:rPr>
            </w:pPr>
          </w:p>
        </w:tc>
      </w:tr>
      <w:tr>
        <w:trPr>
          <w:trHeight w:val="25"/>
        </w:trPr>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1"/>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(930,123)</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(9,063)</w:t>
            </w:r>
          </w:p>
        </w:tc>
        <w:tc>
          <w:tcPr>
            <w:tcW w:w="100" w:type="dxa"/>
            <w:vAlign w:val="bottom"/>
          </w:tcPr>
          <w:p>
            <w:pPr>
              <w:spacing w:after="0"/>
              <w:rPr>
                <w:sz w:val="24"/>
                <w:szCs w:val="24"/>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(385,187)</w:t>
            </w:r>
          </w:p>
        </w:tc>
        <w:tc>
          <w:tcPr>
            <w:tcW w:w="100" w:type="dxa"/>
            <w:vAlign w:val="bottom"/>
          </w:tcPr>
          <w:p>
            <w:pPr>
              <w:spacing w:after="0"/>
              <w:rPr>
                <w:sz w:val="24"/>
                <w:szCs w:val="24"/>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3,562</w:t>
            </w:r>
          </w:p>
        </w:tc>
        <w:tc>
          <w:tcPr>
            <w:tcW w:w="100" w:type="dxa"/>
            <w:vAlign w:val="bottom"/>
          </w:tcPr>
          <w:p>
            <w:pPr>
              <w:spacing w:after="0"/>
              <w:rPr>
                <w:sz w:val="24"/>
                <w:szCs w:val="24"/>
                <w:color w:val="auto"/>
              </w:rPr>
            </w:pP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303,701</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7,132</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7,079</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(3,731)</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(4,002)</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(9,222)</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(9,222)</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3,297</w:t>
            </w:r>
          </w:p>
        </w:tc>
        <w:tc>
          <w:tcPr>
            <w:tcW w:w="0" w:type="dxa"/>
            <w:vAlign w:val="bottom"/>
          </w:tcPr>
          <w:p>
            <w:pPr>
              <w:spacing w:after="0"/>
              <w:rPr>
                <w:sz w:val="1"/>
                <w:szCs w:val="1"/>
                <w:color w:val="auto"/>
              </w:rPr>
            </w:pPr>
          </w:p>
        </w:tc>
      </w:tr>
      <w:tr>
        <w:trPr>
          <w:trHeight w:val="23"/>
        </w:trPr>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(935,944)</w:t>
            </w: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8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(9,063)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(392,080)</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3,241</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293,963</w:t>
            </w:r>
          </w:p>
        </w:tc>
        <w:tc>
          <w:tcPr>
            <w:tcW w:w="0" w:type="dxa"/>
            <w:vAlign w:val="bottom"/>
          </w:tcPr>
          <w:p>
            <w:pPr>
              <w:spacing w:after="0"/>
              <w:rPr>
                <w:sz w:val="1"/>
                <w:szCs w:val="1"/>
                <w:color w:val="auto"/>
              </w:rPr>
            </w:pPr>
          </w:p>
        </w:tc>
      </w:tr>
      <w:tr>
        <w:trPr>
          <w:trHeight w:val="25"/>
        </w:trPr>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(919,023)</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(9,063)</w:t>
            </w:r>
          </w:p>
        </w:tc>
        <w:tc>
          <w:tcPr>
            <w:tcW w:w="100" w:type="dxa"/>
            <w:vAlign w:val="bottom"/>
          </w:tcPr>
          <w:p>
            <w:pPr>
              <w:spacing w:after="0"/>
              <w:rPr>
                <w:sz w:val="24"/>
                <w:szCs w:val="24"/>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(380,715)</w:t>
            </w:r>
          </w:p>
        </w:tc>
        <w:tc>
          <w:tcPr>
            <w:tcW w:w="100" w:type="dxa"/>
            <w:vAlign w:val="bottom"/>
          </w:tcPr>
          <w:p>
            <w:pPr>
              <w:spacing w:after="0"/>
              <w:rPr>
                <w:sz w:val="24"/>
                <w:szCs w:val="24"/>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2,867</w:t>
            </w:r>
          </w:p>
        </w:tc>
        <w:tc>
          <w:tcPr>
            <w:tcW w:w="100" w:type="dxa"/>
            <w:vAlign w:val="bottom"/>
          </w:tcPr>
          <w:p>
            <w:pPr>
              <w:spacing w:after="0"/>
              <w:rPr>
                <w:sz w:val="24"/>
                <w:szCs w:val="24"/>
                <w:color w:val="auto"/>
              </w:rPr>
            </w:pP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323,038</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(1,997)</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(10,984)</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(10,995)</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(24,060)</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(24,060)</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(481)</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0" w:type="dxa"/>
            <w:vAlign w:val="bottom"/>
          </w:tcPr>
          <w:p>
            <w:pPr>
              <w:spacing w:after="0"/>
              <w:rPr>
                <w:sz w:val="1"/>
                <w:szCs w:val="1"/>
                <w:color w:val="auto"/>
              </w:rPr>
            </w:pPr>
          </w:p>
        </w:tc>
      </w:tr>
      <w:tr>
        <w:trPr>
          <w:trHeight w:val="23"/>
        </w:trPr>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(956,545)</w:t>
            </w: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8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(10,130)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(382,017)</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1,785</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283,944</w:t>
            </w:r>
          </w:p>
        </w:tc>
        <w:tc>
          <w:tcPr>
            <w:tcW w:w="0" w:type="dxa"/>
            <w:vAlign w:val="bottom"/>
          </w:tcPr>
          <w:p>
            <w:pPr>
              <w:spacing w:after="0"/>
              <w:rPr>
                <w:sz w:val="1"/>
                <w:szCs w:val="1"/>
                <w:color w:val="auto"/>
              </w:rPr>
            </w:pPr>
          </w:p>
        </w:tc>
      </w:tr>
      <w:tr>
        <w:trPr>
          <w:trHeight w:val="25"/>
        </w:trPr>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-3285490</wp:posOffset>
            </wp:positionH>
            <wp:positionV relativeFrom="paragraph">
              <wp:posOffset>-3990975</wp:posOffset>
            </wp:positionV>
            <wp:extent cx="6572250" cy="1244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72250" cy="12446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-3742055</wp:posOffset>
            </wp:positionV>
            <wp:extent cx="6572250" cy="1244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72250" cy="12446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-3244215</wp:posOffset>
            </wp:positionV>
            <wp:extent cx="6572250" cy="1244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72250" cy="12446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-2995295</wp:posOffset>
            </wp:positionV>
            <wp:extent cx="6572250" cy="1244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72250" cy="12446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-2746375</wp:posOffset>
            </wp:positionV>
            <wp:extent cx="6572250" cy="124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72250" cy="12446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-2497455</wp:posOffset>
            </wp:positionV>
            <wp:extent cx="6572250" cy="2614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72250" cy="2614295"/>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-3493135</wp:posOffset>
            </wp:positionV>
            <wp:extent cx="6572250" cy="165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72250" cy="165735"/>
                    </a:xfrm>
                    <a:prstGeom prst="rect">
                      <a:avLst/>
                    </a:prstGeom>
                    <a:noFill/>
                  </pic:spPr>
                </pic:pic>
              </a:graphicData>
            </a:graphic>
          </wp:anchor>
        </w:drawing>
      </w:r>
    </w:p>
    <w:p>
      <w:pPr>
        <w:spacing w:after="0" w:line="1911" w:lineRule="exact"/>
        <w:rPr>
          <w:sz w:val="20"/>
          <w:szCs w:val="20"/>
          <w:color w:val="auto"/>
        </w:rPr>
      </w:pPr>
    </w:p>
    <w:p>
      <w:pPr>
        <w:sectPr>
          <w:pgSz w:w="11900" w:h="16838" w:orient="portrait"/>
          <w:cols w:equalWidth="0" w:num="2">
            <w:col w:w="4840" w:space="340"/>
            <w:col w:w="5180"/>
          </w:cols>
          <w:pgMar w:left="320" w:top="1374" w:right="1219" w:bottom="1440" w:gutter="0" w:footer="0" w:header="0"/>
          <w:type w:val="continuous"/>
        </w:sectPr>
      </w:pPr>
    </w:p>
    <w:p>
      <w:pPr>
        <w:spacing w:after="0" w:line="3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ectPr>
          <w:pgSz w:w="11900" w:h="16838" w:orient="portrait"/>
          <w:cols w:equalWidth="0" w:num="1">
            <w:col w:w="10360"/>
          </w:cols>
          <w:pgMar w:left="320" w:top="1374" w:right="121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360"/>
          </w:cols>
          <w:pgMar w:left="320" w:top="1374" w:right="1219" w:bottom="1440" w:gutter="0" w:footer="0" w:header="0"/>
          <w:type w:val="continuous"/>
        </w:sectPr>
      </w:pPr>
    </w:p>
    <w:bookmarkStart w:id="7" w:name="page8"/>
    <w:bookmarkEnd w:id="7"/>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CASH FLOWS</w:t>
      </w:r>
    </w:p>
    <w:p>
      <w:pPr>
        <w:spacing w:after="0" w:line="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17"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5"/>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9"/>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12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7,079</w:t>
            </w:r>
          </w:p>
        </w:tc>
      </w:tr>
      <w:tr>
        <w:trPr>
          <w:trHeight w:val="20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51,269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59,277</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charges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compensation charge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3,297</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(Gains) losses on disposals of assets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credit losses, net of recoveries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9"/>
        </w:trPr>
        <w:tc>
          <w:tcPr>
            <w:tcW w:w="7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35,771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(37,411)</w:t>
            </w:r>
          </w:p>
        </w:tc>
      </w:tr>
      <w:tr>
        <w:trPr>
          <w:trHeight w:val="203"/>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r>
      <w:tr>
        <w:trPr>
          <w:trHeight w:val="189"/>
        </w:trPr>
        <w:tc>
          <w:tcPr>
            <w:tcW w:w="7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4,767</w:t>
            </w:r>
          </w:p>
        </w:tc>
      </w:tr>
      <w:tr>
        <w:trPr>
          <w:trHeight w:val="203"/>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Taxes payable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9"/>
        </w:trPr>
        <w:tc>
          <w:tcPr>
            <w:tcW w:w="7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current and noncurrent assets and liabilities, net</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12,197</w:t>
            </w:r>
          </w:p>
        </w:tc>
      </w:tr>
      <w:tr>
        <w:trPr>
          <w:trHeight w:val="19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74,014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56,593</w:t>
            </w:r>
          </w:p>
        </w:tc>
      </w:tr>
      <w:tr>
        <w:trPr>
          <w:trHeight w:val="105"/>
        </w:trPr>
        <w:tc>
          <w:tcPr>
            <w:tcW w:w="7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(21,179)</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dispositions of property, plant and equipment</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7,070</w:t>
            </w:r>
          </w:p>
        </w:tc>
      </w:tr>
      <w:tr>
        <w:trPr>
          <w:trHeight w:val="189"/>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(14,109)</w:t>
            </w:r>
          </w:p>
        </w:tc>
      </w:tr>
      <w:tr>
        <w:trPr>
          <w:trHeight w:val="105"/>
        </w:trPr>
        <w:tc>
          <w:tcPr>
            <w:tcW w:w="7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Revolving credit borrowings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233,613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172,867</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Revolving credit repayments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(242,859)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(179,599)</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Term loan repayments</w:t>
            </w:r>
          </w:p>
        </w:tc>
        <w:tc>
          <w:tcPr>
            <w:tcW w:w="8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(22,338)</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issuance costs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paid</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(3,731)</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shares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(9,222)</w:t>
            </w:r>
          </w:p>
        </w:tc>
      </w:tr>
      <w:tr>
        <w:trPr>
          <w:trHeight w:val="189"/>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Taxes paid on vested shares</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flows used in financing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(48,333)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(42,023)</w:t>
            </w:r>
          </w:p>
        </w:tc>
      </w:tr>
      <w:tr>
        <w:trPr>
          <w:trHeight w:val="105"/>
        </w:trPr>
        <w:tc>
          <w:tcPr>
            <w:tcW w:w="7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r>
      <w:tr>
        <w:trPr>
          <w:trHeight w:val="182"/>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7,954</w:t>
            </w:r>
          </w:p>
        </w:tc>
      </w:tr>
      <w:tr>
        <w:trPr>
          <w:trHeight w:val="91"/>
        </w:trPr>
        <w:tc>
          <w:tcPr>
            <w:tcW w:w="7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21"/>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60"/>
          </w:cols>
          <w:pgMar w:left="320" w:top="1374" w:right="619" w:bottom="1440" w:gutter="0" w:footer="0" w:header="0"/>
        </w:sectPr>
      </w:pPr>
    </w:p>
    <w:bookmarkStart w:id="8" w:name="page9"/>
    <w:bookmarkEnd w:id="8"/>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 w:hanging="315"/>
        <w:spacing w:after="0"/>
        <w:tabs>
          <w:tab w:leader="none" w:pos="3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 AND BASIS OF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Description of the Business</w:t>
      </w:r>
    </w:p>
    <w:p>
      <w:pPr>
        <w:spacing w:after="0" w:line="227"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We provide hospitality services to remote workforces in Canada and Australia, including lodging, catering and food service, housekeeping and maintenance at accommodation facilities that we or our customers own. We provide services that support the day-to-day operations of these facilities, such as laundry, facility management and maintenance, water and wastewater treatment, power generation, communication systems, security and logistics. We also manage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We operate in two principal reportable business segments – Canada and Australia.</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2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47"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United States (U.S.) Generally Accepted Accounting Principles (GAAP) has been condensed or omitted pursuant to those rules and regulations. The unaudited consolidated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w:t>
      </w:r>
    </w:p>
    <w:p>
      <w:pPr>
        <w:spacing w:after="0" w:line="20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69"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unaudited consolidated financial statements included in this report should be read in conjunction with our audited consolidated financial statements and accompanying notes included in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3" w:lineRule="exact"/>
        <w:rPr>
          <w:sz w:val="20"/>
          <w:szCs w:val="20"/>
          <w:color w:val="auto"/>
        </w:rPr>
      </w:pPr>
    </w:p>
    <w:p>
      <w:pPr>
        <w:ind w:left="320" w:hanging="315"/>
        <w:spacing w:after="0"/>
        <w:tabs>
          <w:tab w:leader="none" w:pos="3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w:t>
      </w:r>
    </w:p>
    <w:p>
      <w:pPr>
        <w:spacing w:after="0" w:line="225" w:lineRule="exact"/>
        <w:rPr>
          <w:sz w:val="20"/>
          <w:szCs w:val="20"/>
          <w:color w:val="auto"/>
        </w:rPr>
      </w:pPr>
    </w:p>
    <w:p>
      <w:pPr>
        <w:ind w:right="240" w:firstLine="470"/>
        <w:spacing w:after="0" w:line="282" w:lineRule="auto"/>
        <w:rPr>
          <w:sz w:val="20"/>
          <w:szCs w:val="20"/>
          <w:color w:val="auto"/>
        </w:rPr>
      </w:pPr>
      <w:r>
        <w:rPr>
          <w:rFonts w:ascii="Times New Roman" w:cs="Times New Roman" w:eastAsia="Times New Roman" w:hAnsi="Times New Roman"/>
          <w:sz w:val="17"/>
          <w:szCs w:val="17"/>
          <w:color w:val="auto"/>
        </w:rPr>
        <w:t>The following table disaggregates our revenue by our two reportable segments (Canada and Australia) into major categories for the periods indicated (in thousands):</w:t>
      </w:r>
    </w:p>
    <w:tbl>
      <w:tblPr>
        <w:tblLayout w:type="fixed"/>
        <w:tblInd w:w="480" w:type="dxa"/>
        <w:tblCellMar>
          <w:top w:w="0" w:type="dxa"/>
          <w:left w:w="0" w:type="dxa"/>
          <w:bottom w:w="0" w:type="dxa"/>
          <w:right w:w="0" w:type="dxa"/>
        </w:tblCellMar>
      </w:tblPr>
      <w:tr>
        <w:trPr>
          <w:trHeight w:val="160"/>
        </w:trPr>
        <w:tc>
          <w:tcPr>
            <w:tcW w:w="5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gridSpan w:val="5"/>
          </w:tcPr>
          <w:p>
            <w:pPr>
              <w:ind w:left="360"/>
              <w:spacing w:after="0" w:line="160"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3"/>
                <w:szCs w:val="13"/>
                <w:color w:val="auto"/>
              </w:rPr>
            </w:pPr>
          </w:p>
        </w:tc>
        <w:tc>
          <w:tcPr>
            <w:tcW w:w="2140" w:type="dxa"/>
            <w:vAlign w:val="bottom"/>
            <w:gridSpan w:val="4"/>
          </w:tcPr>
          <w:p>
            <w:pPr>
              <w:jc w:val="right"/>
              <w:ind w:right="302"/>
              <w:spacing w:after="0" w:line="160"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7"/>
        </w:trPr>
        <w:tc>
          <w:tcPr>
            <w:tcW w:w="5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20" w:type="dxa"/>
            <w:vAlign w:val="bottom"/>
            <w:tcBorders>
              <w:bottom w:val="single" w:sz="8" w:color="auto"/>
            </w:tcBorders>
          </w:tcPr>
          <w:p>
            <w:pPr>
              <w:spacing w:after="0"/>
              <w:rPr>
                <w:sz w:val="18"/>
                <w:szCs w:val="18"/>
                <w:color w:val="auto"/>
              </w:rPr>
            </w:pPr>
          </w:p>
        </w:tc>
      </w:tr>
      <w:tr>
        <w:trPr>
          <w:trHeight w:val="202"/>
        </w:trPr>
        <w:tc>
          <w:tcPr>
            <w:tcW w:w="55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04"/>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Canada</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6"/>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Accommodation revenues</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48,747</w:t>
            </w:r>
          </w:p>
        </w:tc>
        <w:tc>
          <w:tcPr>
            <w:tcW w:w="100" w:type="dxa"/>
            <w:vAlign w:val="bottom"/>
          </w:tcPr>
          <w:p>
            <w:pPr>
              <w:spacing w:after="0"/>
              <w:rPr>
                <w:sz w:val="17"/>
                <w:szCs w:val="17"/>
                <w:color w:val="auto"/>
              </w:rPr>
            </w:pPr>
          </w:p>
        </w:tc>
        <w:tc>
          <w:tcPr>
            <w:tcW w:w="46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71,417</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180,793</w:t>
            </w:r>
          </w:p>
        </w:tc>
        <w:tc>
          <w:tcPr>
            <w:tcW w:w="100" w:type="dxa"/>
            <w:vAlign w:val="bottom"/>
          </w:tcPr>
          <w:p>
            <w:pPr>
              <w:spacing w:after="0"/>
              <w:rPr>
                <w:sz w:val="17"/>
                <w:szCs w:val="17"/>
                <w:color w:val="auto"/>
              </w:rPr>
            </w:pPr>
          </w:p>
        </w:tc>
        <w:tc>
          <w:tcPr>
            <w:tcW w:w="48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1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Mobile facility rental 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6"/>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Food service and other services revenues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8,866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22,157</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5"/>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Canada revenues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57,736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204,423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09"/>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Australia</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6"/>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Accommodation revenues</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51,370</w:t>
            </w:r>
          </w:p>
        </w:tc>
        <w:tc>
          <w:tcPr>
            <w:tcW w:w="100" w:type="dxa"/>
            <w:vAlign w:val="bottom"/>
          </w:tcPr>
          <w:p>
            <w:pPr>
              <w:spacing w:after="0"/>
              <w:rPr>
                <w:sz w:val="17"/>
                <w:szCs w:val="17"/>
                <w:color w:val="auto"/>
              </w:rPr>
            </w:pPr>
          </w:p>
        </w:tc>
        <w:tc>
          <w:tcPr>
            <w:tcW w:w="46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46,012</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147,391</w:t>
            </w:r>
          </w:p>
        </w:tc>
        <w:tc>
          <w:tcPr>
            <w:tcW w:w="100" w:type="dxa"/>
            <w:vAlign w:val="bottom"/>
          </w:tcPr>
          <w:p>
            <w:pPr>
              <w:spacing w:after="0"/>
              <w:rPr>
                <w:sz w:val="17"/>
                <w:szCs w:val="17"/>
                <w:color w:val="auto"/>
              </w:rPr>
            </w:pPr>
          </w:p>
        </w:tc>
        <w:tc>
          <w:tcPr>
            <w:tcW w:w="48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service and other services revenues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65,252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169,576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199"/>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Australia revenues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116,622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316,967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212"/>
        </w:trPr>
        <w:tc>
          <w:tcPr>
            <w:tcW w:w="5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7"/>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1,980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199"/>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revenues</w:t>
            </w:r>
          </w:p>
        </w:tc>
        <w:tc>
          <w:tcPr>
            <w:tcW w:w="30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1,980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55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r>
      <w:tr>
        <w:trPr>
          <w:trHeight w:val="202"/>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176,338</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183,572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531,171</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w:t>
            </w: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both"/>
        <w:ind w:right="100" w:firstLine="470"/>
        <w:spacing w:after="0" w:line="276" w:lineRule="auto"/>
        <w:rPr>
          <w:sz w:val="20"/>
          <w:szCs w:val="20"/>
          <w:color w:val="auto"/>
        </w:rPr>
      </w:pPr>
      <w:r>
        <w:rPr>
          <w:rFonts w:ascii="Times New Roman" w:cs="Times New Roman" w:eastAsia="Times New Roman" w:hAnsi="Times New Roman"/>
          <w:sz w:val="17"/>
          <w:szCs w:val="17"/>
          <w:color w:val="auto"/>
        </w:rPr>
        <w:t>Our payment terms vary by the type and location of our customer and the services offered. The time between invoicing and when our performance obligations are satisfied is not significant. Payment terms are generally within 30 days and in most cases do not extend beyond 60 days. We do not have significant financing components or significant payment terms.</w:t>
      </w:r>
    </w:p>
    <w:p>
      <w:pPr>
        <w:spacing w:after="0" w:line="188" w:lineRule="exact"/>
        <w:rPr>
          <w:sz w:val="20"/>
          <w:szCs w:val="20"/>
          <w:color w:val="auto"/>
        </w:rPr>
      </w:pPr>
    </w:p>
    <w:p>
      <w:pPr>
        <w:jc w:val="both"/>
        <w:ind w:right="100" w:firstLine="470"/>
        <w:spacing w:after="0" w:line="276" w:lineRule="auto"/>
        <w:rPr>
          <w:sz w:val="20"/>
          <w:szCs w:val="20"/>
          <w:color w:val="auto"/>
        </w:rPr>
      </w:pPr>
      <w:r>
        <w:rPr>
          <w:rFonts w:ascii="Times New Roman" w:cs="Times New Roman" w:eastAsia="Times New Roman" w:hAnsi="Times New Roman"/>
          <w:sz w:val="17"/>
          <w:szCs w:val="17"/>
          <w:color w:val="auto"/>
        </w:rPr>
        <w:t>As of September 30, 2024,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3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6"/>
                <w:szCs w:val="16"/>
                <w:b w:val="1"/>
                <w:bCs w:val="1"/>
                <w:color w:val="auto"/>
              </w:rPr>
              <w:t>For the years ending December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300" w:type="dxa"/>
            <w:vAlign w:val="bottom"/>
          </w:tcPr>
          <w:p>
            <w:pPr>
              <w:spacing w:after="0"/>
              <w:rPr>
                <w:sz w:val="17"/>
                <w:szCs w:val="17"/>
                <w:color w:val="auto"/>
              </w:rPr>
            </w:pPr>
          </w:p>
        </w:tc>
        <w:tc>
          <w:tcPr>
            <w:tcW w:w="104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39"/>
        </w:trPr>
        <w:tc>
          <w:tcPr>
            <w:tcW w:w="3520" w:type="dxa"/>
            <w:vAlign w:val="bottom"/>
            <w:tcBorders>
              <w:top w:val="single" w:sz="8" w:color="CCEEFF"/>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6"/>
                <w:szCs w:val="16"/>
                <w:color w:val="auto"/>
              </w:rPr>
              <w:t>Revenue expected to be recognized as of September</w:t>
            </w:r>
          </w:p>
        </w:tc>
        <w:tc>
          <w:tcPr>
            <w:tcW w:w="300" w:type="dxa"/>
            <w:vAlign w:val="bottom"/>
            <w:tcBorders>
              <w:top w:val="single" w:sz="8" w:color="auto"/>
            </w:tcBorders>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47,271</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147,648</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108,393</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303,385</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606,697</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30, 2024</w:t>
            </w:r>
          </w:p>
        </w:tc>
        <w:tc>
          <w:tcPr>
            <w:tcW w:w="3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right="100" w:firstLine="470"/>
        <w:spacing w:after="0" w:line="269" w:lineRule="auto"/>
        <w:rPr>
          <w:sz w:val="20"/>
          <w:szCs w:val="20"/>
          <w:color w:val="auto"/>
        </w:rPr>
      </w:pPr>
      <w:r>
        <w:rPr>
          <w:rFonts w:ascii="Times New Roman" w:cs="Times New Roman" w:eastAsia="Times New Roman" w:hAnsi="Times New Roman"/>
          <w:sz w:val="17"/>
          <w:szCs w:val="17"/>
          <w:color w:val="auto"/>
        </w:rPr>
        <w:t>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w:t>
      </w:r>
    </w:p>
    <w:p>
      <w:pPr>
        <w:spacing w:after="0" w:line="193" w:lineRule="exact"/>
        <w:rPr>
          <w:sz w:val="20"/>
          <w:szCs w:val="20"/>
          <w:color w:val="auto"/>
        </w:rPr>
      </w:pPr>
    </w:p>
    <w:p>
      <w:pPr>
        <w:ind w:left="320" w:hanging="315"/>
        <w:spacing w:after="0"/>
        <w:tabs>
          <w:tab w:leader="none" w:pos="3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IMPAIRMENT CHARGES</w:t>
      </w:r>
    </w:p>
    <w:p>
      <w:pPr>
        <w:spacing w:after="0" w:line="120" w:lineRule="exact"/>
        <w:rPr>
          <w:sz w:val="20"/>
          <w:szCs w:val="20"/>
          <w:color w:val="auto"/>
        </w:rPr>
      </w:pPr>
    </w:p>
    <w:p>
      <w:pPr>
        <w:ind w:right="100" w:firstLine="470"/>
        <w:spacing w:after="0" w:line="295" w:lineRule="auto"/>
        <w:rPr>
          <w:sz w:val="20"/>
          <w:szCs w:val="20"/>
          <w:color w:val="auto"/>
        </w:rPr>
      </w:pPr>
      <w:r>
        <w:rPr>
          <w:rFonts w:ascii="Times New Roman" w:cs="Times New Roman" w:eastAsia="Times New Roman" w:hAnsi="Times New Roman"/>
          <w:sz w:val="17"/>
          <w:szCs w:val="17"/>
          <w:color w:val="auto"/>
        </w:rPr>
        <w:t>The following summarizes pre-tax impairment charges recorded during 2024, which are included in Impairment expense in our consolidated statements of operations (in thousands):</w:t>
      </w:r>
    </w:p>
    <w:p>
      <w:pPr>
        <w:spacing w:after="0" w:line="79" w:lineRule="exact"/>
        <w:rPr>
          <w:sz w:val="20"/>
          <w:szCs w:val="20"/>
          <w:color w:val="auto"/>
        </w:rPr>
      </w:pPr>
    </w:p>
    <w:tbl>
      <w:tblPr>
        <w:tblLayout w:type="fixed"/>
        <w:tblInd w:w="1120" w:type="dxa"/>
        <w:tblCellMar>
          <w:top w:w="0" w:type="dxa"/>
          <w:left w:w="0" w:type="dxa"/>
          <w:bottom w:w="0" w:type="dxa"/>
          <w:right w:w="0" w:type="dxa"/>
        </w:tblCellMar>
      </w:tblPr>
      <w:tr>
        <w:trPr>
          <w:trHeight w:val="229"/>
        </w:trPr>
        <w:tc>
          <w:tcPr>
            <w:tcW w:w="4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U.S.</w:t>
            </w:r>
          </w:p>
        </w:tc>
        <w:tc>
          <w:tcPr>
            <w:tcW w:w="280" w:type="dxa"/>
            <w:vAlign w:val="bottom"/>
          </w:tcPr>
          <w:p>
            <w:pPr>
              <w:spacing w:after="0"/>
              <w:rPr>
                <w:sz w:val="19"/>
                <w:szCs w:val="19"/>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2"/>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Quarter ended March 31, 2024</w:t>
            </w: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2"/>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Long-lived assets</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7,823</w:t>
            </w:r>
          </w:p>
        </w:tc>
      </w:tr>
      <w:tr>
        <w:trPr>
          <w:trHeight w:val="240"/>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7,823</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10" w:name="page11"/>
    <w:bookmarkEnd w:id="10"/>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5" w:lineRule="exact"/>
        <w:rPr>
          <w:sz w:val="20"/>
          <w:szCs w:val="20"/>
          <w:color w:val="auto"/>
        </w:rPr>
      </w:pPr>
    </w:p>
    <w:p>
      <w:pPr>
        <w:jc w:val="both"/>
        <w:ind w:firstLine="47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Quarter ended March 31, 2024</w:t>
      </w:r>
      <w:r>
        <w:rPr>
          <w:rFonts w:ascii="Times New Roman" w:cs="Times New Roman" w:eastAsia="Times New Roman" w:hAnsi="Times New Roman"/>
          <w:sz w:val="17"/>
          <w:szCs w:val="17"/>
          <w:color w:val="auto"/>
        </w:rPr>
        <w:t>. During the first quarter of 2024, we recorded impairment expense of $5.7 million related to various undeveloped land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positions and related permitting costs in Australia. At March 31, 2024, we identified an impairment trigger related to certain of these properties due to the denial of development permit applications in Australia. Accordingly, the assets were written down to their estimated fair value of $0.6 million.</w:t>
      </w:r>
    </w:p>
    <w:p>
      <w:pPr>
        <w:spacing w:after="0" w:line="2"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color w:val="auto"/>
        </w:rPr>
        <w:t>In addition, during the first quarter of 2024, we recorded impairment expense of $2.1 million, related to land located in the U.S. The land was written down to its estimated fair value (less costs to sell) of $3.8 million.</w:t>
      </w:r>
    </w:p>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 impairment expense was recorded during the second or third quarters of 2024.</w:t>
      </w:r>
    </w:p>
    <w:p>
      <w:pPr>
        <w:spacing w:after="0" w:line="247" w:lineRule="exact"/>
        <w:rPr>
          <w:sz w:val="20"/>
          <w:szCs w:val="20"/>
          <w:color w:val="auto"/>
        </w:rPr>
      </w:pPr>
    </w:p>
    <w:p>
      <w:pPr>
        <w:ind w:left="320" w:hanging="315"/>
        <w:spacing w:after="0"/>
        <w:tabs>
          <w:tab w:leader="none" w:pos="3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2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47"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As of September 30, 2024 and December 31, 2023, we believe the carrying value of our floating-rate debt outstanding under our revolving credit facilities approximates fair value because the terms include short-term interest rates and exclude penalties for prepayment. We estimated the fair value of our floating-rate revolving credit facilities using significant other observable inputs, representative of a Level 2 fair value measurement, including terms and credit spreads for these loans. In addition, the estimated fair value of our assets held for sale was based upon Level 2 fair value measurements, which included appraisals, broker price opinions and negotiations with third parties.</w:t>
      </w:r>
    </w:p>
    <w:p>
      <w:pPr>
        <w:spacing w:after="0" w:line="19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During the first quarter of 2024, we wrote down certain long-lived assets to fair value. Our estimate of the fair value of undeveloped land positions in Australia that were impaired was based on appraisals from third parties.</w:t>
      </w:r>
    </w:p>
    <w:p>
      <w:pPr>
        <w:spacing w:after="0" w:line="171" w:lineRule="exact"/>
        <w:rPr>
          <w:sz w:val="20"/>
          <w:szCs w:val="20"/>
          <w:color w:val="auto"/>
        </w:rPr>
      </w:pPr>
    </w:p>
    <w:p>
      <w:pPr>
        <w:ind w:left="320" w:hanging="315"/>
        <w:spacing w:after="0"/>
        <w:tabs>
          <w:tab w:leader="none" w:pos="3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DETAILS OF SELECTED BALANCE SHEET ACCOUNTS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Additional information regarding selected balance sheet accounts at September 30, 2024 and December 31, 2023 is presented below (in thousands):</w:t>
      </w:r>
    </w:p>
    <w:p>
      <w:pPr>
        <w:spacing w:after="0" w:line="356" w:lineRule="exact"/>
        <w:rPr>
          <w:sz w:val="20"/>
          <w:szCs w:val="20"/>
          <w:color w:val="auto"/>
        </w:rPr>
      </w:pPr>
    </w:p>
    <w:tbl>
      <w:tblPr>
        <w:tblLayout w:type="fixed"/>
        <w:tblInd w:w="540" w:type="dxa"/>
        <w:tblCellMar>
          <w:top w:w="0" w:type="dxa"/>
          <w:left w:w="0" w:type="dxa"/>
          <w:bottom w:w="0" w:type="dxa"/>
          <w:right w:w="0" w:type="dxa"/>
        </w:tblCellMar>
      </w:tblPr>
      <w:tr>
        <w:trPr>
          <w:trHeight w:val="209"/>
        </w:trPr>
        <w:tc>
          <w:tcPr>
            <w:tcW w:w="726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5"/>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Accounts receivable, net:</w:t>
            </w: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06"/>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w:t>
            </w: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79,992</w:t>
            </w:r>
          </w:p>
        </w:tc>
        <w:tc>
          <w:tcPr>
            <w:tcW w:w="120" w:type="dxa"/>
            <w:vAlign w:val="bottom"/>
          </w:tcPr>
          <w:p>
            <w:pPr>
              <w:spacing w:after="0"/>
              <w:rPr>
                <w:sz w:val="17"/>
                <w:szCs w:val="17"/>
                <w:color w:val="auto"/>
              </w:rPr>
            </w:pPr>
          </w:p>
        </w:tc>
        <w:tc>
          <w:tcPr>
            <w:tcW w:w="4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93,527</w:t>
            </w:r>
          </w:p>
        </w:tc>
      </w:tr>
      <w:tr>
        <w:trPr>
          <w:trHeight w:val="21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revenue</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46,331</w:t>
            </w:r>
          </w:p>
        </w:tc>
      </w:tr>
      <w:tr>
        <w:trPr>
          <w:trHeight w:val="206"/>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3,563</w:t>
            </w:r>
          </w:p>
        </w:tc>
      </w:tr>
      <w:tr>
        <w:trPr>
          <w:trHeight w:val="205"/>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106,925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143,421</w:t>
            </w:r>
          </w:p>
        </w:tc>
      </w:tr>
      <w:tr>
        <w:trPr>
          <w:trHeight w:val="206"/>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30"/>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106,707</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143,222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620" w:type="dxa"/>
        <w:tblCellMar>
          <w:top w:w="0" w:type="dxa"/>
          <w:left w:w="0" w:type="dxa"/>
          <w:bottom w:w="0" w:type="dxa"/>
          <w:right w:w="0" w:type="dxa"/>
        </w:tblCellMar>
      </w:tblPr>
      <w:tr>
        <w:trPr>
          <w:trHeight w:val="209"/>
        </w:trPr>
        <w:tc>
          <w:tcPr>
            <w:tcW w:w="726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5"/>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5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06"/>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Finished goods and purchased products</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7,115</w:t>
            </w:r>
          </w:p>
        </w:tc>
        <w:tc>
          <w:tcPr>
            <w:tcW w:w="100" w:type="dxa"/>
            <w:vAlign w:val="bottom"/>
          </w:tcPr>
          <w:p>
            <w:pPr>
              <w:spacing w:after="0"/>
              <w:rPr>
                <w:sz w:val="17"/>
                <w:szCs w:val="17"/>
                <w:color w:val="auto"/>
              </w:rPr>
            </w:pPr>
          </w:p>
        </w:tc>
        <w:tc>
          <w:tcPr>
            <w:tcW w:w="56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5,648</w:t>
            </w:r>
          </w:p>
        </w:tc>
      </w:tr>
      <w:tr>
        <w:trPr>
          <w:trHeight w:val="20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r>
      <w:tr>
        <w:trPr>
          <w:trHeight w:val="205"/>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8,769</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6,982</w:t>
            </w:r>
          </w:p>
        </w:tc>
      </w:tr>
      <w:tr>
        <w:trPr>
          <w:trHeight w:val="20"/>
        </w:trPr>
        <w:tc>
          <w:tcPr>
            <w:tcW w:w="7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27"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Estimated</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100" w:type="dxa"/>
            <w:vAlign w:val="bottom"/>
          </w:tcPr>
          <w:p>
            <w:pPr>
              <w:spacing w:after="0"/>
              <w:rPr>
                <w:sz w:val="13"/>
                <w:szCs w:val="13"/>
                <w:color w:val="auto"/>
              </w:rPr>
            </w:pPr>
          </w:p>
        </w:tc>
        <w:tc>
          <w:tcPr>
            <w:tcW w:w="1440" w:type="dxa"/>
            <w:vAlign w:val="bottom"/>
            <w:gridSpan w:val="4"/>
          </w:tcPr>
          <w:p>
            <w:pPr>
              <w:jc w:val="center"/>
              <w:ind w:right="140"/>
              <w:spacing w:after="0" w:line="157" w:lineRule="exact"/>
              <w:rPr>
                <w:sz w:val="20"/>
                <w:szCs w:val="20"/>
                <w:color w:val="auto"/>
              </w:rPr>
            </w:pPr>
            <w:r>
              <w:rPr>
                <w:rFonts w:ascii="Times New Roman" w:cs="Times New Roman" w:eastAsia="Times New Roman" w:hAnsi="Times New Roman"/>
                <w:sz w:val="16"/>
                <w:szCs w:val="16"/>
                <w:b w:val="1"/>
                <w:bCs w:val="1"/>
                <w:color w:val="auto"/>
                <w:w w:val="98"/>
              </w:rPr>
              <w:t>Useful Life</w:t>
            </w: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7"/>
        </w:trPr>
        <w:tc>
          <w:tcPr>
            <w:tcW w:w="6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1480" w:type="dxa"/>
            <w:vAlign w:val="bottom"/>
            <w:gridSpan w:val="3"/>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26,280</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27,988</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Accommodations assets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1,374,390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1,378,408</w:t>
            </w:r>
          </w:p>
        </w:tc>
        <w:tc>
          <w:tcPr>
            <w:tcW w:w="0" w:type="dxa"/>
            <w:vAlign w:val="bottom"/>
          </w:tcPr>
          <w:p>
            <w:pPr>
              <w:spacing w:after="0"/>
              <w:rPr>
                <w:sz w:val="1"/>
                <w:szCs w:val="1"/>
                <w:color w:val="auto"/>
              </w:rPr>
            </w:pPr>
          </w:p>
        </w:tc>
      </w:tr>
      <w:tr>
        <w:trPr>
          <w:trHeight w:val="206"/>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14,603</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13,255</w:t>
            </w:r>
          </w:p>
        </w:tc>
        <w:tc>
          <w:tcPr>
            <w:tcW w:w="0" w:type="dxa"/>
            <w:vAlign w:val="bottom"/>
          </w:tcPr>
          <w:p>
            <w:pPr>
              <w:spacing w:after="0"/>
              <w:rPr>
                <w:sz w:val="1"/>
                <w:szCs w:val="1"/>
                <w:color w:val="auto"/>
              </w:rPr>
            </w:pPr>
          </w:p>
        </w:tc>
      </w:tr>
      <w:tr>
        <w:trPr>
          <w:trHeight w:val="206"/>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67,248</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10,025</w:t>
            </w:r>
          </w:p>
        </w:tc>
        <w:tc>
          <w:tcPr>
            <w:tcW w:w="0" w:type="dxa"/>
            <w:vAlign w:val="bottom"/>
          </w:tcPr>
          <w:p>
            <w:pPr>
              <w:spacing w:after="0"/>
              <w:rPr>
                <w:sz w:val="1"/>
                <w:szCs w:val="1"/>
                <w:color w:val="auto"/>
              </w:rPr>
            </w:pPr>
          </w:p>
        </w:tc>
      </w:tr>
      <w:tr>
        <w:trPr>
          <w:trHeight w:val="20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12,087</w:t>
            </w:r>
          </w:p>
        </w:tc>
        <w:tc>
          <w:tcPr>
            <w:tcW w:w="0" w:type="dxa"/>
            <w:vAlign w:val="bottom"/>
          </w:tcPr>
          <w:p>
            <w:pPr>
              <w:spacing w:after="0"/>
              <w:rPr>
                <w:sz w:val="1"/>
                <w:szCs w:val="1"/>
                <w:color w:val="auto"/>
              </w:rPr>
            </w:pPr>
          </w:p>
        </w:tc>
      </w:tr>
      <w:tr>
        <w:trPr>
          <w:trHeight w:val="205"/>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property, plant and equipment</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1,515,527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1,523,614</w:t>
            </w:r>
          </w:p>
        </w:tc>
        <w:tc>
          <w:tcPr>
            <w:tcW w:w="0" w:type="dxa"/>
            <w:vAlign w:val="bottom"/>
          </w:tcPr>
          <w:p>
            <w:pPr>
              <w:spacing w:after="0"/>
              <w:rPr>
                <w:sz w:val="1"/>
                <w:szCs w:val="1"/>
                <w:color w:val="auto"/>
              </w:rPr>
            </w:pPr>
          </w:p>
        </w:tc>
      </w:tr>
      <w:tr>
        <w:trPr>
          <w:trHeight w:val="20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(1,281,663)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(1,253,051)</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3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233,864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270,563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tbl>
      <w:tblPr>
        <w:tblLayout w:type="fixed"/>
        <w:tblInd w:w="780" w:type="dxa"/>
        <w:tblCellMar>
          <w:top w:w="0" w:type="dxa"/>
          <w:left w:w="0" w:type="dxa"/>
          <w:bottom w:w="0" w:type="dxa"/>
          <w:right w:w="0" w:type="dxa"/>
        </w:tblCellMar>
      </w:tblPr>
      <w:tr>
        <w:trPr>
          <w:trHeight w:val="209"/>
        </w:trPr>
        <w:tc>
          <w:tcPr>
            <w:tcW w:w="724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5"/>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Accrued liabilities:</w:t>
            </w: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6"/>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50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30,511</w:t>
            </w:r>
          </w:p>
        </w:tc>
        <w:tc>
          <w:tcPr>
            <w:tcW w:w="100" w:type="dxa"/>
            <w:vAlign w:val="bottom"/>
          </w:tcPr>
          <w:p>
            <w:pPr>
              <w:spacing w:after="0"/>
              <w:rPr>
                <w:sz w:val="17"/>
                <w:szCs w:val="17"/>
                <w:color w:val="auto"/>
              </w:rPr>
            </w:pPr>
          </w:p>
        </w:tc>
        <w:tc>
          <w:tcPr>
            <w:tcW w:w="50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33,854</w:t>
            </w:r>
          </w:p>
        </w:tc>
      </w:tr>
      <w:tr>
        <w:trPr>
          <w:trHeight w:val="21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taxes, other than income taxes</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3,307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3,997</w:t>
            </w:r>
          </w:p>
        </w:tc>
      </w:tr>
      <w:tr>
        <w:trPr>
          <w:trHeight w:val="206"/>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2,667</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2,672</w:t>
            </w:r>
          </w:p>
        </w:tc>
      </w:tr>
      <w:tr>
        <w:trPr>
          <w:trHeight w:val="230"/>
        </w:trPr>
        <w:tc>
          <w:tcPr>
            <w:tcW w:w="7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accrued liabilities</w:t>
            </w: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36,485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40,523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tbl>
      <w:tblPr>
        <w:tblLayout w:type="fixed"/>
        <w:tblInd w:w="160" w:type="dxa"/>
        <w:tblCellMar>
          <w:top w:w="0" w:type="dxa"/>
          <w:left w:w="0" w:type="dxa"/>
          <w:bottom w:w="0" w:type="dxa"/>
          <w:right w:w="0" w:type="dxa"/>
        </w:tblCellMar>
      </w:tblPr>
      <w:tr>
        <w:trPr>
          <w:trHeight w:val="209"/>
        </w:trPr>
        <w:tc>
          <w:tcPr>
            <w:tcW w:w="7620" w:type="dxa"/>
            <w:vAlign w:val="bottom"/>
          </w:tcPr>
          <w:p>
            <w:pPr>
              <w:spacing w:after="0"/>
              <w:rPr>
                <w:sz w:val="18"/>
                <w:szCs w:val="18"/>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December 31, 2023</w:t>
            </w:r>
          </w:p>
        </w:tc>
      </w:tr>
      <w:tr>
        <w:trPr>
          <w:trHeight w:val="192"/>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Contract liabilities (Deferred revenue):</w:t>
            </w:r>
          </w:p>
        </w:tc>
        <w:tc>
          <w:tcPr>
            <w:tcW w:w="5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r>
      <w:tr>
        <w:trPr>
          <w:trHeight w:val="209"/>
        </w:trPr>
        <w:tc>
          <w:tcPr>
            <w:tcW w:w="762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Current contract liabilities </w:t>
            </w:r>
            <w:r>
              <w:rPr>
                <w:rFonts w:ascii="Times New Roman" w:cs="Times New Roman" w:eastAsia="Times New Roman" w:hAnsi="Times New Roman"/>
                <w:sz w:val="20"/>
                <w:szCs w:val="20"/>
                <w:color w:val="auto"/>
                <w:vertAlign w:val="superscript"/>
              </w:rPr>
              <w:t>(1)</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2,792</w:t>
            </w:r>
          </w:p>
        </w:tc>
        <w:tc>
          <w:tcPr>
            <w:tcW w:w="22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w:t>
            </w:r>
          </w:p>
        </w:tc>
      </w:tr>
      <w:tr>
        <w:trPr>
          <w:trHeight w:val="209"/>
        </w:trPr>
        <w:tc>
          <w:tcPr>
            <w:tcW w:w="762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Noncurrent contract liabilities </w:t>
            </w:r>
            <w:r>
              <w:rPr>
                <w:rFonts w:ascii="Times New Roman" w:cs="Times New Roman" w:eastAsia="Times New Roman" w:hAnsi="Times New Roman"/>
                <w:sz w:val="20"/>
                <w:szCs w:val="20"/>
                <w:color w:val="auto"/>
                <w:vertAlign w:val="superscript"/>
              </w:rPr>
              <w:t>(1)</w:t>
            </w: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6,363</w:t>
            </w:r>
          </w:p>
        </w:tc>
        <w:tc>
          <w:tcPr>
            <w:tcW w:w="2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8,068</w:t>
            </w: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contract liabilities (Deferred revenue)</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9,155</w:t>
            </w:r>
          </w:p>
        </w:tc>
        <w:tc>
          <w:tcPr>
            <w:tcW w:w="220" w:type="dxa"/>
            <w:vAlign w:val="bottom"/>
          </w:tcPr>
          <w:p>
            <w:pPr>
              <w:spacing w:after="0"/>
              <w:rPr>
                <w:sz w:val="17"/>
                <w:szCs w:val="17"/>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12,917</w:t>
            </w:r>
          </w:p>
        </w:tc>
      </w:tr>
      <w:tr>
        <w:trPr>
          <w:trHeight w:val="20"/>
        </w:trPr>
        <w:tc>
          <w:tcPr>
            <w:tcW w:w="7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640" w:hanging="322"/>
        <w:spacing w:after="0" w:line="295" w:lineRule="auto"/>
        <w:tabs>
          <w:tab w:leader="none" w:pos="628"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Current contract liabilities and Noncurrent contract liabilities are included in "Deferred revenue" and "Other noncurrent liabilities," respectively, in our unaudited consolidated balance sheets.</w:t>
      </w:r>
    </w:p>
    <w:p>
      <w:pPr>
        <w:spacing w:after="0" w:line="173"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Deferred revenue typically consists of upfront payments received before we satisfy the associated performance obligation. The decrease in deferred revenue from December 31, 2023 to September 30, 2024 was due to revenue recognized over the contracted terms related to advance payments received from a customer for village enhancements in Australia.</w:t>
      </w:r>
    </w:p>
    <w:p>
      <w:pPr>
        <w:spacing w:after="0" w:line="186" w:lineRule="exact"/>
        <w:rPr>
          <w:sz w:val="20"/>
          <w:szCs w:val="20"/>
          <w:color w:val="auto"/>
        </w:rPr>
      </w:pPr>
    </w:p>
    <w:p>
      <w:pPr>
        <w:ind w:left="320" w:hanging="315"/>
        <w:spacing w:after="0"/>
        <w:tabs>
          <w:tab w:leader="none" w:pos="3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ASSETS HELD FOR SALE</w:t>
      </w:r>
    </w:p>
    <w:p>
      <w:pPr>
        <w:spacing w:after="0" w:line="251"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As of December 31, 2023, assets held for sale included certain assets in the U.S. These assets were recorded at the estimated fair value less costs to sell, which exceeded or equaled their carry values. In the second quarter of 2024, we sold the land at our Louisiana location for no gain.</w:t>
      </w:r>
    </w:p>
    <w:p>
      <w:pPr>
        <w:spacing w:after="0" w:line="173"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During the third quarter of 2023, we entered into a definitive agreement to sell our McClelland Lake Lodge assets for approximately $36 million. The related assets had no remaining carrying value. During the third and fourth quarters of 2023, we recognized $14.2 million in dismantle costs and received $28.2 million in cash proceeds associated with the sale. During the first quarter of 2024, we recognized the remaining $1.0 million in dismantle costs and received the remaining $7.8 million in cash proceeds.</w:t>
      </w:r>
    </w:p>
    <w:p>
      <w:pPr>
        <w:spacing w:after="0" w:line="195"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color w:val="auto"/>
        </w:rPr>
        <w:t>The following table summarizes the carrying amount as of September 30, 2024 and December 31, 2023 of the assets classified as held for sale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42" w:lineRule="exact"/>
        <w:rPr>
          <w:sz w:val="20"/>
          <w:szCs w:val="20"/>
          <w:color w:val="auto"/>
        </w:rPr>
      </w:pPr>
    </w:p>
    <w:tbl>
      <w:tblPr>
        <w:tblLayout w:type="fixed"/>
        <w:tblInd w:w="480" w:type="dxa"/>
        <w:tblCellMar>
          <w:top w:w="0" w:type="dxa"/>
          <w:left w:w="0" w:type="dxa"/>
          <w:bottom w:w="0" w:type="dxa"/>
          <w:right w:w="0" w:type="dxa"/>
        </w:tblCellMar>
      </w:tblPr>
      <w:tr>
        <w:trPr>
          <w:trHeight w:val="209"/>
        </w:trPr>
        <w:tc>
          <w:tcPr>
            <w:tcW w:w="738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4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 held for sale:</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6"/>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5,873</w:t>
            </w:r>
          </w:p>
        </w:tc>
      </w:tr>
      <w:tr>
        <w:trPr>
          <w:trHeight w:val="230"/>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held for sale</w:t>
            </w: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5,873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20" w:hanging="315"/>
        <w:spacing w:after="0"/>
        <w:tabs>
          <w:tab w:leader="none" w:pos="3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EARNINGS PER SHARE</w:t>
      </w:r>
    </w:p>
    <w:p>
      <w:pPr>
        <w:spacing w:after="0" w:line="2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calculate our basic earnings per share by dividing net income (loss) attributable to us by the weighted average number of common shares outstanding.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diluted earnings per share, the basic shares outstanding are adjusted by adding all potentially dilutive securities.</w:t>
      </w:r>
    </w:p>
    <w:p>
      <w:pPr>
        <w:spacing w:after="0" w:line="231" w:lineRule="exact"/>
        <w:rPr>
          <w:sz w:val="20"/>
          <w:szCs w:val="20"/>
          <w:color w:val="auto"/>
        </w:rPr>
      </w:pPr>
    </w:p>
    <w:p>
      <w:pPr>
        <w:jc w:val="both"/>
        <w:ind w:firstLine="470"/>
        <w:spacing w:after="0" w:line="282" w:lineRule="auto"/>
        <w:rPr>
          <w:sz w:val="20"/>
          <w:szCs w:val="20"/>
          <w:color w:val="auto"/>
        </w:rPr>
      </w:pPr>
      <w:r>
        <w:rPr>
          <w:rFonts w:ascii="Times New Roman" w:cs="Times New Roman" w:eastAsia="Times New Roman" w:hAnsi="Times New Roman"/>
          <w:sz w:val="17"/>
          <w:szCs w:val="17"/>
          <w:color w:val="auto"/>
        </w:rPr>
        <w:t>The calculation of basic and diluted earnings per share attributable to Civeo common shareholders is presented below for the periods indicated (in thousands, except per share amounts):</w:t>
      </w:r>
    </w:p>
    <w:tbl>
      <w:tblPr>
        <w:tblLayout w:type="fixed"/>
        <w:tblInd w:w="720" w:type="dxa"/>
        <w:tblCellMar>
          <w:top w:w="0" w:type="dxa"/>
          <w:left w:w="0" w:type="dxa"/>
          <w:bottom w:w="0" w:type="dxa"/>
          <w:right w:w="0" w:type="dxa"/>
        </w:tblCellMar>
      </w:tblPr>
      <w:tr>
        <w:trPr>
          <w:trHeight w:val="160"/>
        </w:trPr>
        <w:tc>
          <w:tcPr>
            <w:tcW w:w="5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5"/>
          </w:tcPr>
          <w:p>
            <w:pPr>
              <w:jc w:val="center"/>
              <w:ind w:right="380"/>
              <w:spacing w:after="0" w:line="160" w:lineRule="exact"/>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200" w:type="dxa"/>
            <w:vAlign w:val="bottom"/>
          </w:tcPr>
          <w:p>
            <w:pPr>
              <w:spacing w:after="0"/>
              <w:rPr>
                <w:sz w:val="13"/>
                <w:szCs w:val="13"/>
                <w:color w:val="auto"/>
              </w:rPr>
            </w:pPr>
          </w:p>
        </w:tc>
        <w:tc>
          <w:tcPr>
            <w:tcW w:w="1880" w:type="dxa"/>
            <w:vAlign w:val="bottom"/>
            <w:gridSpan w:val="4"/>
          </w:tcPr>
          <w:p>
            <w:pPr>
              <w:jc w:val="right"/>
              <w:ind w:right="302"/>
              <w:spacing w:after="0" w:line="160"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7"/>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00" w:type="dxa"/>
            <w:vAlign w:val="bottom"/>
          </w:tcPr>
          <w:p>
            <w:pPr>
              <w:spacing w:after="0"/>
              <w:rPr>
                <w:sz w:val="18"/>
                <w:szCs w:val="18"/>
                <w:color w:val="auto"/>
              </w:rPr>
            </w:pPr>
          </w:p>
        </w:tc>
        <w:tc>
          <w:tcPr>
            <w:tcW w:w="1880" w:type="dxa"/>
            <w:vAlign w:val="bottom"/>
            <w:gridSpan w:val="4"/>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2"/>
        </w:trPr>
        <w:tc>
          <w:tcPr>
            <w:tcW w:w="59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Basic net income (loss) attributable to Civeo Corporation</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9,022</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7,132</w:t>
            </w:r>
          </w:p>
        </w:tc>
      </w:tr>
      <w:tr>
        <w:trPr>
          <w:trHeight w:val="23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income (loss) attributable to Civeo Corporation</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9,022</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7,132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5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14,980</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Dilutive shares - share-based awards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w:t>
            </w:r>
          </w:p>
        </w:tc>
      </w:tr>
      <w:tr>
        <w:trPr>
          <w:trHeight w:val="205"/>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14,293</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14,891</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15,051</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1"/>
        </w:trPr>
        <w:tc>
          <w:tcPr>
            <w:tcW w:w="59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r>
        <w:trPr>
          <w:trHeight w:val="209"/>
        </w:trPr>
        <w:tc>
          <w:tcPr>
            <w:tcW w:w="5980" w:type="dxa"/>
            <w:vAlign w:val="bottom"/>
          </w:tcPr>
          <w:p>
            <w:pPr>
              <w:spacing w:after="0" w:line="209" w:lineRule="exact"/>
              <w:rPr>
                <w:sz w:val="20"/>
                <w:szCs w:val="20"/>
                <w:color w:val="auto"/>
              </w:rPr>
            </w:pPr>
            <w:r>
              <w:rPr>
                <w:rFonts w:ascii="Times New Roman" w:cs="Times New Roman" w:eastAsia="Times New Roman" w:hAnsi="Times New Roman"/>
                <w:sz w:val="16"/>
                <w:szCs w:val="16"/>
                <w:color w:val="auto"/>
              </w:rPr>
              <w:t xml:space="preserve">Basic net income (loss) per share attributable to Civeo Corporation common shareholders </w:t>
            </w:r>
            <w:r>
              <w:rPr>
                <w:rFonts w:ascii="Times New Roman" w:cs="Times New Roman" w:eastAsia="Times New Roman" w:hAnsi="Times New Roman"/>
                <w:sz w:val="20"/>
                <w:szCs w:val="20"/>
                <w:color w:val="auto"/>
                <w:vertAlign w:val="superscript"/>
              </w:rPr>
              <w:t>(1)</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6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0.48</w:t>
            </w:r>
          </w:p>
        </w:tc>
      </w:tr>
      <w:tr>
        <w:trPr>
          <w:trHeight w:val="105"/>
        </w:trPr>
        <w:tc>
          <w:tcPr>
            <w:tcW w:w="5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r>
      <w:tr>
        <w:trPr>
          <w:trHeight w:val="27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Diluted net income (loss) per share attributable to Civeo Corporation common shareholders </w:t>
            </w:r>
            <w:r>
              <w:rPr>
                <w:rFonts w:ascii="Times New Roman" w:cs="Times New Roman" w:eastAsia="Times New Roman" w:hAnsi="Times New Roman"/>
                <w:sz w:val="20"/>
                <w:szCs w:val="20"/>
                <w:color w:val="auto"/>
                <w:w w:val="98"/>
                <w:vertAlign w:val="superscript"/>
              </w:rPr>
              <w:t>(1)</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Pr>
          <w:p>
            <w:pPr>
              <w:spacing w:after="0"/>
              <w:rPr>
                <w:sz w:val="23"/>
                <w:szCs w:val="23"/>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60" w:type="dxa"/>
            <w:vAlign w:val="bottom"/>
          </w:tcPr>
          <w:p>
            <w:pPr>
              <w:spacing w:after="0"/>
              <w:rPr>
                <w:sz w:val="23"/>
                <w:szCs w:val="23"/>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23"/>
                <w:szCs w:val="23"/>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0.47</w:t>
            </w:r>
          </w:p>
        </w:tc>
      </w:tr>
    </w:tbl>
    <w:p>
      <w:pPr>
        <w:spacing w:after="0" w:line="199" w:lineRule="exact"/>
        <w:rPr>
          <w:sz w:val="20"/>
          <w:szCs w:val="20"/>
          <w:color w:val="auto"/>
        </w:rPr>
      </w:pPr>
    </w:p>
    <w:tbl>
      <w:tblPr>
        <w:tblLayout w:type="fixed"/>
        <w:tblInd w:w="320" w:type="dxa"/>
        <w:tblCellMar>
          <w:top w:w="0" w:type="dxa"/>
          <w:left w:w="0" w:type="dxa"/>
          <w:bottom w:w="0" w:type="dxa"/>
          <w:right w:w="0" w:type="dxa"/>
        </w:tblCellMar>
      </w:tblPr>
      <w:tr>
        <w:trPr>
          <w:trHeight w:val="135"/>
        </w:trPr>
        <w:tc>
          <w:tcPr>
            <w:tcW w:w="20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w w:val="85"/>
              </w:rPr>
              <w:t>(1)</w:t>
            </w:r>
          </w:p>
        </w:tc>
        <w:tc>
          <w:tcPr>
            <w:tcW w:w="3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97"/>
              </w:rPr>
              <w:t>Computations may reflect rounding adjustments.</w:t>
            </w: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Share-based awards excluded from the calculation of weighted-average common shares outstanding because the effect is anti-dilutive for the three and nine months ended September 30, 2024 totaled 0.2 million shares. Share-based awards excluded from the calculation of weighted-average common shares outstanding because the effect is anti-dilutive for the three and nine months ended September 30, 2023 totaled fewer than 0.1 million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7" w:lineRule="exact"/>
        <w:rPr>
          <w:sz w:val="20"/>
          <w:szCs w:val="20"/>
          <w:color w:val="auto"/>
        </w:rPr>
      </w:pPr>
    </w:p>
    <w:p>
      <w:pPr>
        <w:ind w:left="320" w:hanging="315"/>
        <w:spacing w:after="0"/>
        <w:tabs>
          <w:tab w:leader="none" w:pos="3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September 30, 2024 and December 31, 2023, long-term debt consisted of the following (in thousands):</w:t>
      </w:r>
    </w:p>
    <w:p>
      <w:pPr>
        <w:spacing w:after="0" w:line="356" w:lineRule="exact"/>
        <w:rPr>
          <w:sz w:val="20"/>
          <w:szCs w:val="20"/>
          <w:color w:val="auto"/>
        </w:rPr>
      </w:pPr>
    </w:p>
    <w:tbl>
      <w:tblPr>
        <w:tblLayout w:type="fixed"/>
        <w:tblInd w:w="280" w:type="dxa"/>
        <w:tblCellMar>
          <w:top w:w="0" w:type="dxa"/>
          <w:left w:w="0" w:type="dxa"/>
          <w:bottom w:w="0" w:type="dxa"/>
          <w:right w:w="0" w:type="dxa"/>
        </w:tblCellMar>
      </w:tblPr>
      <w:tr>
        <w:trPr>
          <w:trHeight w:val="209"/>
        </w:trPr>
        <w:tc>
          <w:tcPr>
            <w:tcW w:w="778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441"/>
        </w:trPr>
        <w:tc>
          <w:tcPr>
            <w:tcW w:w="778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w w:val="98"/>
              </w:rPr>
              <w:t>U.S. revolving credit facility; weighted average interest rate of 10.4% for the nine month period ended September 30, 2024</w:t>
            </w:r>
          </w:p>
        </w:tc>
        <w:tc>
          <w:tcPr>
            <w:tcW w:w="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0"/>
        </w:trPr>
        <w:tc>
          <w:tcPr>
            <w:tcW w:w="7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7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w w:val="99"/>
              </w:rPr>
              <w:t>Canadian revolving credit facility; weighted average interest rate of 8.4% for the nine month period ended September 30,</w:t>
            </w:r>
          </w:p>
        </w:tc>
        <w:tc>
          <w:tcPr>
            <w:tcW w:w="480" w:type="dxa"/>
            <w:vAlign w:val="bottom"/>
          </w:tcPr>
          <w:p>
            <w:pPr>
              <w:spacing w:after="0"/>
              <w:rPr>
                <w:sz w:val="13"/>
                <w:szCs w:val="13"/>
                <w:color w:val="auto"/>
              </w:rPr>
            </w:pP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50,078</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65,554</w:t>
            </w:r>
          </w:p>
        </w:tc>
        <w:tc>
          <w:tcPr>
            <w:tcW w:w="0" w:type="dxa"/>
            <w:vAlign w:val="bottom"/>
          </w:tcPr>
          <w:p>
            <w:pPr>
              <w:spacing w:after="0"/>
              <w:rPr>
                <w:sz w:val="1"/>
                <w:szCs w:val="1"/>
                <w:color w:val="auto"/>
              </w:rPr>
            </w:pPr>
          </w:p>
        </w:tc>
      </w:tr>
      <w:tr>
        <w:trPr>
          <w:trHeight w:val="206"/>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4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7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7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w w:val="99"/>
              </w:rPr>
              <w:t>Australian revolving credit facility; weighted average interest rate of 7.2% for the nine month period ended September 30,</w:t>
            </w:r>
          </w:p>
        </w:tc>
        <w:tc>
          <w:tcPr>
            <w:tcW w:w="48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4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debt</w:t>
            </w: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50,078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Credit Agreement</w:t>
      </w:r>
    </w:p>
    <w:p>
      <w:pPr>
        <w:spacing w:after="0" w:line="122"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As of December 31, 2023, our Syndicated Facility Agreement, (as then amended, the Credit Agreement) with Royal Bank of Canada, as Canadian administrative agent, provided for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 C$100.0 million term loan facility provided under the Credit Agreement was fully repaid on December 31, 2023.</w:t>
      </w:r>
    </w:p>
    <w:p>
      <w:pPr>
        <w:spacing w:after="0" w:line="67" w:lineRule="exact"/>
        <w:rPr>
          <w:sz w:val="20"/>
          <w:szCs w:val="20"/>
          <w:color w:val="auto"/>
        </w:rPr>
      </w:pPr>
    </w:p>
    <w:p>
      <w:pPr>
        <w:jc w:val="both"/>
        <w:ind w:firstLine="470"/>
        <w:spacing w:after="0" w:line="288" w:lineRule="auto"/>
        <w:rPr>
          <w:sz w:val="20"/>
          <w:szCs w:val="20"/>
          <w:color w:val="auto"/>
        </w:rPr>
      </w:pPr>
      <w:r>
        <w:rPr>
          <w:rFonts w:ascii="Times New Roman" w:cs="Times New Roman" w:eastAsia="Times New Roman" w:hAnsi="Times New Roman"/>
          <w:sz w:val="17"/>
          <w:szCs w:val="17"/>
          <w:color w:val="auto"/>
        </w:rPr>
        <w:t>On June 28, 2024, we entered into the second amendment to the Credit Agreement, which changed the benchmark interest rate for certain Canadian dollar-denominated loans in the Canadian Revolving Facility from Canadian Dollar Offered Rate to Adjusted Term Canadian Overnight Repo Rate Average (CORRA).</w:t>
      </w:r>
    </w:p>
    <w:p>
      <w:pPr>
        <w:spacing w:after="0" w:line="263"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On August 8, 2024, we entered into the third amendment to the Credit Agreement (as so amended, the Amended Credit Agreement), which, among other things:</w:t>
      </w:r>
    </w:p>
    <w:p>
      <w:pPr>
        <w:spacing w:after="0" w:line="173" w:lineRule="exact"/>
        <w:rPr>
          <w:sz w:val="20"/>
          <w:szCs w:val="20"/>
          <w:color w:val="auto"/>
        </w:rPr>
      </w:pPr>
    </w:p>
    <w:p>
      <w:pPr>
        <w:jc w:val="both"/>
        <w:ind w:left="640" w:hanging="322"/>
        <w:spacing w:after="0" w:line="266" w:lineRule="auto"/>
        <w:tabs>
          <w:tab w:leader="none" w:pos="636" w:val="left"/>
        </w:tabs>
        <w:numPr>
          <w:ilvl w:val="0"/>
          <w:numId w:val="1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increased the aggregate revolving loan commitments by $45.0 million under the Amended Credit Agreement, to a maximum principal amount of $245.0 million, allocated as follows: (A) a $10.0 million senior secured revolving credit facility in favor of certain of our U.S. subsidiaries, as borrowers (the U.S. Facility); (B) a $200.0 million senior secured revolving credit facility in favor of Civeo and certain of our U.S. subsidiaries, as borrowers (the Canadian Facility); and (C) a $35.0 million senior secured revolving credit facility in favor of one of our Australian subsidiaries, as borrower, scheduled to mature on August 8, 2028;</w:t>
      </w:r>
    </w:p>
    <w:p>
      <w:pPr>
        <w:spacing w:after="0" w:line="197" w:lineRule="exact"/>
        <w:rPr>
          <w:rFonts w:ascii="Times New Roman" w:cs="Times New Roman" w:eastAsia="Times New Roman" w:hAnsi="Times New Roman"/>
          <w:sz w:val="17"/>
          <w:szCs w:val="17"/>
          <w:b w:val="1"/>
          <w:bCs w:val="1"/>
          <w:i w:val="1"/>
          <w:iCs w:val="1"/>
          <w:color w:val="auto"/>
        </w:rPr>
      </w:pPr>
    </w:p>
    <w:p>
      <w:pPr>
        <w:ind w:left="620" w:hanging="302"/>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added Civeo USA LLC as a Borrower under the Amended Credit Agreement with respect to the U.S. Facility and the Canadian Facility;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the interest rate spreads above the benchmark rates by 25 basis points;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maintained the previous max net leverage ratio and max interest covenant levels; and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for other technical changes and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14"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U.S. dollar amounts outstanding under the facilities provided by the Amended Credit Agreement bear interest at a variable rate equal to Adjusted Term Secured Overnight Financing Rate (SOFR), which is equal to Term SOFR plus a 10 basis point adjustment, plus a margin of 2.50% to 3.75%, or a base rate plus 1.50% to 2.75%, in each case based on a ratio of our total net debt to Consolidated EBITDA (as defined in the Amended Credit Agreement). Canadian dollar amounts outstanding bear interest at a variable rate equal to Adjusted Term CORRA (which is equal to the Term CORRA plus an adjustment of 29.547 basis points for one month terms or 32.138 basis points for three month terms) plus a margin of 2.50% to 3.75%, or a Canadian Prime rate plus a margin of 1.50% to 2.75%, in each case based on a ratio of our total net debt to Consolidated EBITDA. Australian dollar amounts outstanding under the Amended Credit Agreement bear interest at a variable rate equal to the Bank Bill Swap Bid Rate plus a margin of 2.50% to 3.75%, based on a ratio of our total net debt to Consolidated EBITDA.</w:t>
      </w:r>
    </w:p>
    <w:p>
      <w:pPr>
        <w:spacing w:after="0" w:line="283"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The Amended Credit Agreement contains customary affirmative and negative covenants that, among other things, limit or restrict: (i) indebtedness, liens and fundamental changes; (ii) asset sales; (iii) specified acquisitions; (iv) certain restrictive agreements; (v) transactions with affiliates; and (vi) investments and other restricted payments, including dividends and other distributions. In addition, we must maintain a minimum interest coverage ratio, defined as the ratio of consolidated EBITDA to consolidated interest expense, of at least 3.00 to 1.00 and a maximum net leverage ratio, defined as the ratio of total net debt to Consolidated EBITDA, of no greater than 3.00 to 1.00. Following a qualified offering of indebtedness, we will be required to maintain a maximum leverage ratio of no greater than 3.50 to 1.00 and a maximum senior secured ratio less than 2.00 to 1.00. Each of the factors considered in the calculations of these ratios are defined in the Amended Credit Agreement. EBITDA and consolidated interest, as defined, exclude goodwill and asset impairments, debt discount amortization, amortization of intangibles and other non-cash charges. We were in compliance with our covenants as of September 30, 2024.</w:t>
      </w:r>
    </w:p>
    <w:p>
      <w:pPr>
        <w:spacing w:after="0" w:line="70"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Borrowings under the Amended Credit Agreement are secured by a pledge of substantially all of our assets and the assets of our subsidiaries subject to customary exceptions. The obligations under the Amended Credit Agreement are guaranteed by our significant subsidiaries. As of September 30, 2024, we had seven lenders that were parties to the Amended Credit Agreement, with total revolving commitments ranging from $15.0 million to $45.0 million. As of September 30, 2024, we had outstanding letters of credit of $0.3 million under the U.S. facility, zero under the Australian facility and $0.8 million under the Canadian facility. We also had outstanding bank guarantees of A$1.6 million under the Australian facility.</w:t>
      </w:r>
    </w:p>
    <w:p>
      <w:pPr>
        <w:spacing w:after="0" w:line="104" w:lineRule="exact"/>
        <w:rPr>
          <w:sz w:val="20"/>
          <w:szCs w:val="20"/>
          <w:color w:val="auto"/>
        </w:rPr>
      </w:pPr>
    </w:p>
    <w:p>
      <w:pPr>
        <w:ind w:left="320" w:hanging="315"/>
        <w:spacing w:after="0"/>
        <w:tabs>
          <w:tab w:leader="none" w:pos="3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12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42"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We operate in three jurisdictions, Canada, Australia and the U.S., where statutory tax rates range from 15% to 30%. Our effective tax rate will vary from period to period based on changes in earnings mix between these different jurisdictions. On January 1, 2024, the Organization for Economic Cooperation and Development Pillar Two rules became effective and established a minimum 15% tax rate on certain multinational enterprises. The Pillar Two rules have been implemented in Canada and Australia, with the U.S. still uncertain to date. The applicable tax law changes with respect to Pillar Two have been considered for the jurisdictions in which we operate, and we do not anticipate the Pillar Two rules to have a materially adverse impact on our financial results.</w:t>
      </w:r>
    </w:p>
    <w:p>
      <w:pPr>
        <w:spacing w:after="0" w:line="19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September 30, 2024, Canada and the U.S. were considered loss jurisdictions for tax accounting purposes and were removed from the annual effective tax rate computation for purposes of computing the interim tax provision.</w:t>
      </w:r>
    </w:p>
    <w:p>
      <w:pPr>
        <w:spacing w:after="0" w:line="19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Our income tax expense for the three months ended September 30, 2024 totaled $3.9 million, or (270.6)% of pretax loss, compared to an income tax benefit of $1.2 million, or (15.2)% of pretax income, for the three months ended September 30, 2023. Our effective tax rate for the three months ended September 30, 2024 was impacted by Canada and the U.S. being considered loss jurisdictions that were removed from the annual effective tax rate computation for purposes of computing the interim tax provision. For the three months ended September 30, 2023, our effective tax rate was impacted by considering the U.S. a loss jurisdiction that was removed from the annual effective tax rate computation for purposes of computing the interim tax provision.</w:t>
      </w:r>
    </w:p>
    <w:p>
      <w:pPr>
        <w:spacing w:after="0" w:line="19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Our income tax expense for the nine months ended September 30, 2024 totaled $9.2 million, or 148.3% of pretax income, compared to income tax expense of $2.9 million, or 29.0% of pretax income, for the nine months ended September 30,</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2023. Our effective tax rate for the nine months ended September 30, 2024 was impacted by Canada and the U.S. being considered loss jurisdictions that were removed from the annual effective tax rate computation for purposes of computing the interim tax provision. For the nine months ended September 30, 2023, our effective tax rate was impacted by considering the U.S. a loss jurisdiction that was removed from the annual effective tax rate computation for purposes of computing the interim tax provision.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COMMITMENTS AND CONTINGENCIES</w:t>
      </w:r>
    </w:p>
    <w:p>
      <w:pPr>
        <w:spacing w:after="0" w:line="22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ACCUMULATED OTHER COMPREHENSIVE LOSS</w:t>
      </w:r>
    </w:p>
    <w:p>
      <w:pPr>
        <w:spacing w:after="0" w:line="22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Our accumulated other comprehensive loss increased $1.3 million from $380.7 million at December 31, 2023 to $382.0 million at September 30, 2024, as a result of foreign currency exchange rate fluctuations. Changes in other comprehensive loss during the nine months of 2024 were primarily driven by the Australian dollar increasing in value compared to the U.S. dollar and the Canadian dollar decreasing in value compared to the U.S. dollar. Excluding intercompany balances, our Canadian dollar and Australian dollar functional currency net assets totaled approximately C$187 million and A$201 million, respectively, at September 30,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SHARE REPURCHASE PROGRAMS AND DIVIDENDS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Programs</w:t>
      </w:r>
    </w:p>
    <w:p>
      <w:pPr>
        <w:spacing w:after="0" w:line="253"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In 2024, 2023 and 2022, our Board of Directors (Board) authorized the repurchase of up to 5.0% of our total common shares which were issued and outstanding, or approximately 711,000, 742,000 and 685,000 common shares, respectively, over a twelve month period.</w:t>
      </w:r>
    </w:p>
    <w:p>
      <w:pPr>
        <w:spacing w:after="0" w:line="173"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repurchase authorization allows repurchases from time to time in open market transactions, including pursuant to trading plans adopted in accordance with Rule 10b5-1 of the Securities Exchange Act of 1934. We have funded, and intend to continue to fund, repurchases through cash on hand and cash generated from operations. Any common shares repurchased are cancelled in the periods they are acquired and the payment is accounted for as an increase to accumulated deficit in our Unaudited Consolidated Statements of Changes in Shareholders’ Equity in the period the payment is made.</w:t>
      </w:r>
    </w:p>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our common share repurchases for the periods presented (in thousands, except per share data):</w:t>
      </w:r>
    </w:p>
    <w:p>
      <w:pPr>
        <w:spacing w:after="0" w:line="55" w:lineRule="exact"/>
        <w:rPr>
          <w:sz w:val="20"/>
          <w:szCs w:val="20"/>
          <w:color w:val="auto"/>
        </w:rPr>
      </w:pPr>
    </w:p>
    <w:tbl>
      <w:tblPr>
        <w:tblLayout w:type="fixed"/>
        <w:tblInd w:w="660" w:type="dxa"/>
        <w:tblCellMar>
          <w:top w:w="0" w:type="dxa"/>
          <w:left w:w="0" w:type="dxa"/>
          <w:bottom w:w="0" w:type="dxa"/>
          <w:right w:w="0" w:type="dxa"/>
        </w:tblCellMar>
      </w:tblPr>
      <w:tr>
        <w:trPr>
          <w:trHeight w:val="209"/>
        </w:trPr>
        <w:tc>
          <w:tcPr>
            <w:tcW w:w="4840" w:type="dxa"/>
            <w:vAlign w:val="bottom"/>
          </w:tcPr>
          <w:p>
            <w:pPr>
              <w:spacing w:after="0"/>
              <w:rPr>
                <w:sz w:val="18"/>
                <w:szCs w:val="18"/>
                <w:color w:val="auto"/>
              </w:rPr>
            </w:pPr>
          </w:p>
        </w:tc>
        <w:tc>
          <w:tcPr>
            <w:tcW w:w="282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600" w:type="dxa"/>
            <w:vAlign w:val="bottom"/>
            <w:gridSpan w:val="4"/>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r>
      <w:tr>
        <w:trPr>
          <w:trHeight w:val="204"/>
        </w:trPr>
        <w:tc>
          <w:tcPr>
            <w:tcW w:w="484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Dollar-value of shares repurchased</w:t>
            </w: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0"/>
              </w:rPr>
              <w:t>14,208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9,222</w:t>
            </w:r>
          </w:p>
        </w:tc>
      </w:tr>
      <w:tr>
        <w:trPr>
          <w:trHeight w:val="206"/>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Shares repurchased</w:t>
            </w:r>
          </w:p>
        </w:tc>
        <w:tc>
          <w:tcPr>
            <w:tcW w:w="82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514.8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443.2</w:t>
            </w:r>
          </w:p>
        </w:tc>
      </w:tr>
      <w:tr>
        <w:trPr>
          <w:trHeight w:val="212"/>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price paid per share</w:t>
            </w: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20.78</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53"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Our Board declared the following quarterly dividends for the nine months ended September 30, 2024 and 2023. The dividends are eligible dividends pursuant to the Income Tax Act (Canada).</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51" w:lineRule="exact"/>
        <w:rPr>
          <w:sz w:val="20"/>
          <w:szCs w:val="20"/>
          <w:color w:val="auto"/>
        </w:rPr>
      </w:pPr>
    </w:p>
    <w:tbl>
      <w:tblPr>
        <w:tblLayout w:type="fixed"/>
        <w:tblInd w:w="2060" w:type="dxa"/>
        <w:tblCellMar>
          <w:top w:w="0" w:type="dxa"/>
          <w:left w:w="0" w:type="dxa"/>
          <w:bottom w:w="0" w:type="dxa"/>
          <w:right w:w="0" w:type="dxa"/>
        </w:tblCellMar>
      </w:tblPr>
      <w:tr>
        <w:trPr>
          <w:trHeight w:val="20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Date Declared</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w:t>
            </w:r>
          </w:p>
        </w:tc>
        <w:tc>
          <w:tcPr>
            <w:tcW w:w="380" w:type="dxa"/>
            <w:vAlign w:val="bottom"/>
          </w:tcPr>
          <w:p>
            <w:pPr>
              <w:spacing w:after="0"/>
              <w:rPr>
                <w:sz w:val="18"/>
                <w:szCs w:val="18"/>
                <w:color w:val="auto"/>
              </w:rPr>
            </w:pPr>
          </w:p>
        </w:tc>
      </w:tr>
      <w:tr>
        <w:trPr>
          <w:trHeight w:val="205"/>
        </w:trPr>
        <w:tc>
          <w:tcPr>
            <w:tcW w:w="1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30, 2024</w:t>
            </w:r>
          </w:p>
        </w:tc>
        <w:tc>
          <w:tcPr>
            <w:tcW w:w="8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26, 2024</w:t>
            </w:r>
          </w:p>
        </w:tc>
        <w:tc>
          <w:tcPr>
            <w:tcW w:w="10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16, 2024</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r>
      <w:tr>
        <w:trPr>
          <w:trHeight w:val="206"/>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April 26, 2024</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May 27, 2024</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June 17, 2024</w:t>
            </w: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r>
      <w:tr>
        <w:trPr>
          <w:trHeight w:val="212"/>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2, 2024</w:t>
            </w: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26, 2024</w:t>
            </w: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18, 2024</w:t>
            </w: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r>
      <w:tr>
        <w:trPr>
          <w:trHeight w:val="204"/>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September 5, 2023</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September 15, 2023</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September 29, 2023</w:t>
            </w: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SHARE-BASED COMPENSATION</w:t>
      </w:r>
    </w:p>
    <w:p>
      <w:pPr>
        <w:spacing w:after="0" w:line="22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Certain key employees and non-employee directors participate in the Amended and Restated 2014 Equity Participation Plan of Civeo Corporation (the Civeo Plan). The Civeo Plan authorizes our Board and the Compensation Committee of our Board to approve and grant awards of options, awards of restricted shares, performance share awards, phantom share units and dividend equivalents, awards of deferred shares, and share payments to our employees and non-employee directors. Approximately 3.0 million Civeo common shares are authorized to be issued under the Civeo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Outstanding Awards</w:t>
      </w:r>
    </w:p>
    <w:p>
      <w:pPr>
        <w:spacing w:after="0" w:line="223"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Phantom Share Units. </w:t>
      </w:r>
      <w:r>
        <w:rPr>
          <w:rFonts w:ascii="Times New Roman" w:cs="Times New Roman" w:eastAsia="Times New Roman" w:hAnsi="Times New Roman"/>
          <w:sz w:val="17"/>
          <w:szCs w:val="17"/>
          <w:color w:val="auto"/>
        </w:rPr>
        <w:t>On March 2, 2024, we granted 184,640 phantom share units under the Civeo Plan, which vest in three equal annual installments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beginning on March 2, 2025. We also granted 84,408 phantom share units under the Canadian Long-Term Incentive Plan, which vest in three equal annual installments beginning on March 2, 2025. During the second quarter of 2024, we granted an additional 25,241 phantom share units under the Civeo Plan. During the third quarter of 2024, we granted an additional 19,971 phantom share units under the Canadian Long-Term Incentive Plan. Phantom share units are settled in cash upon vesting.</w:t>
      </w:r>
    </w:p>
    <w:p>
      <w:pPr>
        <w:spacing w:after="0" w:line="19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During the three months ended September 30, 2024 and 2023, we recognized compensation expense associated with phantom share units totaling $2.1 million and $1.7 million, respectively. During the nine months ended September 30, 2024 and 2023, we recognized compensation expense associated with phantom share units totaling $5.1 million and $4.8 million, respectively. At September 30, 2024, unrecognized compensation cost related to phantom share units was $10.2 million, as remeasured at September 30, 2024, which is expected to be recognized over a weighted average period of 2.0 years.</w:t>
      </w:r>
    </w:p>
    <w:p>
      <w:pPr>
        <w:spacing w:after="0" w:line="165"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Performance Share Awards. </w:t>
      </w:r>
      <w:r>
        <w:rPr>
          <w:rFonts w:ascii="Times New Roman" w:cs="Times New Roman" w:eastAsia="Times New Roman" w:hAnsi="Times New Roman"/>
          <w:sz w:val="17"/>
          <w:szCs w:val="17"/>
          <w:color w:val="auto"/>
        </w:rPr>
        <w:t>On March 2, 2024, we granted 122,978 performance share awards under the Civeo Plan, which cliff vest after three years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subject to attainment of applicable performance criteria. These awards will be earned in amounts between 0% and 200% of the participant’s target performance share award, based on the payout percentage associated with Civeo’s relative total shareholder return rank among a peer group of other companies and the payout percentage associated with Civeo's three year growth in EBITDA over the performance period relative to a preset 2026 EBITDA target. The portion of the performance share awards tied to the 2026 EBITDA target includes a performance-based vesting requirement. We evaluate the probability of achieving the performance criteria throughout the performance period and will adjust share-based compensation expense based on the number of shares expected to vest based on our estimate of the most probable performance outcome. No share-based compensation expense is recognized if the performance criteria are not probable of being achieved.</w:t>
      </w:r>
    </w:p>
    <w:p>
      <w:pPr>
        <w:spacing w:after="0" w:line="205"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During the three months ended September 30, 2024 and 2023, we recognized compensation expense associated with performance share awards totaling $0.5 million and $1.0 million, respectively. During the nine months ended September 30, 2024 and 2023, we recognized compensation expense associated with performance share awards totaling $1.1 million and $2.5 million, respectively. No performance share awards vested during the three months ended September 30, 2024 and 2023. The total fair value of performance share awards that vested during the nine months ended September 30, 2024 and 2023 was $2.8 million and zero, respectively. At September 30, 2024, unrecognized compensation cost related to performance share awards was $2.3 million, which is expected to be recognized over a weighted average period of 1.6 years.</w:t>
      </w:r>
    </w:p>
    <w:p>
      <w:pPr>
        <w:spacing w:after="0" w:line="196" w:lineRule="exact"/>
        <w:rPr>
          <w:sz w:val="20"/>
          <w:szCs w:val="20"/>
          <w:color w:val="auto"/>
        </w:rPr>
      </w:pPr>
    </w:p>
    <w:p>
      <w:pPr>
        <w:jc w:val="both"/>
        <w:ind w:firstLine="47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Share Awards / Restricted Share Units / Deferred Share Awards. </w:t>
      </w:r>
      <w:r>
        <w:rPr>
          <w:rFonts w:ascii="Times New Roman" w:cs="Times New Roman" w:eastAsia="Times New Roman" w:hAnsi="Times New Roman"/>
          <w:sz w:val="17"/>
          <w:szCs w:val="17"/>
          <w:color w:val="auto"/>
        </w:rPr>
        <w:t>On May 15, 2024, we granted 42,125 restricted share and deferred share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awards to our non-employee directors, which vest in their entirety on May 14, 2025.</w:t>
      </w:r>
    </w:p>
    <w:p>
      <w:pPr>
        <w:spacing w:after="0" w:line="169"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Compensation expense associated with restricted share awards, restricted share units and deferred share awards recognized in the three months ended September 30, 2024 and 2023 totaled $0.3 million and $0.3 million, respectively. Compensation expense associated with restricted share awards, restricted share units and deferred share awards recognized in the nine months ended September 30, 2024 and 2023 totaled $0.8 million and $0.8 million, respectively. The total fair value of restricted share awards, restricted share units and deferred share awards that vested during the three months ended September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30, 2024 and 2023 was zero. The total fair value of restricted share awards, restricted share units and deferred share awards that vested during the nine months ended September 30, 2024 and 2023 was $1.2 million and $0.9 million, respectively.</w:t>
      </w:r>
    </w:p>
    <w:p>
      <w:pPr>
        <w:spacing w:after="0" w:line="147"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At September 30, 2024, unrecognized compensation cost related to restricted share awards, restricted share units and deferred share awards was $0.6 million, which is expected to be recognized over a weighted average period of 0.6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SEGMENT AND RELATED INFORMATION</w:t>
      </w:r>
    </w:p>
    <w:p>
      <w:pPr>
        <w:spacing w:after="0" w:line="225"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In accordance with current accounting standards regarding disclosures about segments of an enterprise and related information, we have identified two reportable segments, Canada and Australia, which represent our strategic focus on hospitality services and workforce accommodations.</w:t>
      </w:r>
    </w:p>
    <w:p>
      <w:pPr>
        <w:spacing w:after="0" w:line="147"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Financial information by business segment for each of the three and nine months ended September 30, 2024 and 2023 is summarized in the following table (in thousands):</w:t>
      </w:r>
    </w:p>
    <w:p>
      <w:pPr>
        <w:spacing w:after="0" w:line="256"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Depreciation</w:t>
            </w:r>
          </w:p>
        </w:tc>
        <w:tc>
          <w:tcPr>
            <w:tcW w:w="24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Operating</w:t>
            </w:r>
          </w:p>
        </w:tc>
        <w:tc>
          <w:tcPr>
            <w:tcW w:w="180" w:type="dxa"/>
            <w:vAlign w:val="bottom"/>
          </w:tcPr>
          <w:p>
            <w:pPr>
              <w:spacing w:after="0"/>
              <w:rPr>
                <w:sz w:val="16"/>
                <w:szCs w:val="16"/>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6"/>
                <w:szCs w:val="16"/>
                <w:b w:val="1"/>
                <w:bCs w:val="1"/>
                <w:color w:val="auto"/>
                <w:w w:val="92"/>
              </w:rPr>
              <w:t>and</w:t>
            </w:r>
          </w:p>
        </w:tc>
        <w:tc>
          <w:tcPr>
            <w:tcW w:w="240" w:type="dxa"/>
            <w:vAlign w:val="bottom"/>
          </w:tcPr>
          <w:p>
            <w:pPr>
              <w:spacing w:after="0"/>
              <w:rPr>
                <w:sz w:val="13"/>
                <w:szCs w:val="13"/>
                <w:color w:val="auto"/>
              </w:rPr>
            </w:pPr>
          </w:p>
        </w:tc>
        <w:tc>
          <w:tcPr>
            <w:tcW w:w="1320" w:type="dxa"/>
            <w:vAlign w:val="bottom"/>
            <w:gridSpan w:val="2"/>
          </w:tcPr>
          <w:p>
            <w:pPr>
              <w:jc w:val="center"/>
              <w:ind w:right="360"/>
              <w:spacing w:after="0" w:line="157"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18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0" w:type="dxa"/>
            <w:vAlign w:val="bottom"/>
          </w:tcPr>
          <w:p>
            <w:pPr>
              <w:spacing w:after="0"/>
              <w:rPr>
                <w:sz w:val="1"/>
                <w:szCs w:val="1"/>
                <w:color w:val="auto"/>
              </w:rPr>
            </w:pPr>
          </w:p>
        </w:tc>
      </w:tr>
      <w:tr>
        <w:trPr>
          <w:trHeight w:val="207"/>
        </w:trPr>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revenues</w:t>
            </w:r>
          </w:p>
        </w:tc>
        <w:tc>
          <w:tcPr>
            <w:tcW w:w="2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amortization</w:t>
            </w:r>
          </w:p>
        </w:tc>
        <w:tc>
          <w:tcPr>
            <w:tcW w:w="2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expenditures</w:t>
            </w: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Canada</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57,736</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9,264</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(8,282)</w:t>
            </w:r>
          </w:p>
        </w:tc>
        <w:tc>
          <w:tcPr>
            <w:tcW w:w="12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3,558</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737,194</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Australia</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116,622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9"/>
              </w:rPr>
              <w:t>218,733</w:t>
            </w:r>
          </w:p>
        </w:tc>
        <w:tc>
          <w:tcPr>
            <w:tcW w:w="0" w:type="dxa"/>
            <w:vAlign w:val="bottom"/>
          </w:tcPr>
          <w:p>
            <w:pPr>
              <w:spacing w:after="0"/>
              <w:rPr>
                <w:sz w:val="1"/>
                <w:szCs w:val="1"/>
                <w:color w:val="auto"/>
              </w:rPr>
            </w:pPr>
          </w:p>
        </w:tc>
      </w:tr>
      <w:tr>
        <w:trPr>
          <w:trHeight w:val="206"/>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Corporate, other and eliminations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1,980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482"/>
              <w:spacing w:after="0"/>
              <w:rPr>
                <w:sz w:val="20"/>
                <w:szCs w:val="20"/>
                <w:color w:val="auto"/>
              </w:rPr>
            </w:pPr>
            <w:r>
              <w:rPr>
                <w:rFonts w:ascii="Times New Roman" w:cs="Times New Roman" w:eastAsia="Times New Roman" w:hAnsi="Times New Roman"/>
                <w:sz w:val="16"/>
                <w:szCs w:val="16"/>
                <w:color w:val="auto"/>
                <w:w w:val="98"/>
              </w:rPr>
              <w:t>(478,291)</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176,338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7,476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9"/>
              </w:rPr>
              <w:t>477,636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2023</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Canada</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95,144</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9,565</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10,811</w:t>
            </w:r>
          </w:p>
        </w:tc>
        <w:tc>
          <w:tcPr>
            <w:tcW w:w="12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3,006</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745,377</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Australia</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87,885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9"/>
              </w:rPr>
              <w:t>195,315</w:t>
            </w:r>
          </w:p>
        </w:tc>
        <w:tc>
          <w:tcPr>
            <w:tcW w:w="0" w:type="dxa"/>
            <w:vAlign w:val="bottom"/>
          </w:tcPr>
          <w:p>
            <w:pPr>
              <w:spacing w:after="0"/>
              <w:rPr>
                <w:sz w:val="1"/>
                <w:szCs w:val="1"/>
                <w:color w:val="auto"/>
              </w:rPr>
            </w:pPr>
          </w:p>
        </w:tc>
      </w:tr>
      <w:tr>
        <w:trPr>
          <w:trHeight w:val="206"/>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Corporate, other and eliminations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482"/>
              <w:spacing w:after="0"/>
              <w:rPr>
                <w:sz w:val="20"/>
                <w:szCs w:val="20"/>
                <w:color w:val="auto"/>
              </w:rPr>
            </w:pPr>
            <w:r>
              <w:rPr>
                <w:rFonts w:ascii="Times New Roman" w:cs="Times New Roman" w:eastAsia="Times New Roman" w:hAnsi="Times New Roman"/>
                <w:sz w:val="16"/>
                <w:szCs w:val="16"/>
                <w:color w:val="auto"/>
                <w:w w:val="98"/>
              </w:rPr>
              <w:t>(384,098)</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183,572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9,462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9"/>
              </w:rPr>
              <w:t>556,594</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Canada</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204,423</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27,912</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12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6,300</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737,194</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Australia</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316,967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12,059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9"/>
              </w:rPr>
              <w:t>218,733</w:t>
            </w:r>
          </w:p>
        </w:tc>
        <w:tc>
          <w:tcPr>
            <w:tcW w:w="0" w:type="dxa"/>
            <w:vAlign w:val="bottom"/>
          </w:tcPr>
          <w:p>
            <w:pPr>
              <w:spacing w:after="0"/>
              <w:rPr>
                <w:sz w:val="1"/>
                <w:szCs w:val="1"/>
                <w:color w:val="auto"/>
              </w:rPr>
            </w:pPr>
          </w:p>
        </w:tc>
      </w:tr>
      <w:tr>
        <w:trPr>
          <w:trHeight w:val="206"/>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Corporate, other and eliminations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9,781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482"/>
              <w:spacing w:after="0"/>
              <w:rPr>
                <w:sz w:val="20"/>
                <w:szCs w:val="20"/>
                <w:color w:val="auto"/>
              </w:rPr>
            </w:pPr>
            <w:r>
              <w:rPr>
                <w:rFonts w:ascii="Times New Roman" w:cs="Times New Roman" w:eastAsia="Times New Roman" w:hAnsi="Times New Roman"/>
                <w:sz w:val="16"/>
                <w:szCs w:val="16"/>
                <w:color w:val="auto"/>
                <w:w w:val="98"/>
              </w:rPr>
              <w:t>(478,291)</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531,171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18,405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9"/>
              </w:rPr>
              <w:t>477,636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Canada</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280,067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37,067</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9,486</w:t>
            </w:r>
          </w:p>
        </w:tc>
        <w:tc>
          <w:tcPr>
            <w:tcW w:w="12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7,075</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745,377</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Australia</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247,418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9"/>
              </w:rPr>
              <w:t>195,315</w:t>
            </w:r>
          </w:p>
        </w:tc>
        <w:tc>
          <w:tcPr>
            <w:tcW w:w="0" w:type="dxa"/>
            <w:vAlign w:val="bottom"/>
          </w:tcPr>
          <w:p>
            <w:pPr>
              <w:spacing w:after="0"/>
              <w:rPr>
                <w:sz w:val="1"/>
                <w:szCs w:val="1"/>
                <w:color w:val="auto"/>
              </w:rPr>
            </w:pPr>
          </w:p>
        </w:tc>
      </w:tr>
      <w:tr>
        <w:trPr>
          <w:trHeight w:val="206"/>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Corporate, other and eliminations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482"/>
              <w:spacing w:after="0"/>
              <w:rPr>
                <w:sz w:val="20"/>
                <w:szCs w:val="20"/>
                <w:color w:val="auto"/>
              </w:rPr>
            </w:pPr>
            <w:r>
              <w:rPr>
                <w:rFonts w:ascii="Times New Roman" w:cs="Times New Roman" w:eastAsia="Times New Roman" w:hAnsi="Times New Roman"/>
                <w:sz w:val="16"/>
                <w:szCs w:val="16"/>
                <w:color w:val="auto"/>
                <w:w w:val="98"/>
              </w:rPr>
              <w:t>(384,098)</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530,006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59,277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21,179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9"/>
              </w:rPr>
              <w:t>556,594</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the volatility in the price of and demand for commodities, as well as our expectations about capital expenditures in 2024, beliefs with respect to liquidity needs and expectations with respect to growth strategies and opportunities, share repurchases and dividends. Actual results could differ materially from those projected in the forward-looking statements as a result of a number of important factors. For a discussion of known material factors that could affect our results, please refer to “Risk Factors,” “Cautionary Statement Regarding Forward-Looking Statements,” and “Management’s Discussion and Analysis of Financial Condition and Results of Operations” included in our Annual Report on Form 10-K for the year ended December 31, 2023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i w:val="1"/>
          <w:iCs w:val="1"/>
          <w:color w:val="auto"/>
        </w:rPr>
        <w:t>In addition, in certain places in this quarterly report, we may refer to reports published by third parties that purport to describe trends or developments in the natural resources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37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You should read the following discussion and analysis together with our consolidated financial statements and the notes to those statements included elsewhere in this quarterly report on Form 10-Q.</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and Macroeconomic Environment</w:t>
      </w:r>
    </w:p>
    <w:p>
      <w:pPr>
        <w:spacing w:after="0" w:line="133" w:lineRule="exact"/>
        <w:rPr>
          <w:sz w:val="20"/>
          <w:szCs w:val="20"/>
          <w:color w:val="auto"/>
        </w:rPr>
      </w:pPr>
    </w:p>
    <w:p>
      <w:pPr>
        <w:jc w:val="both"/>
        <w:ind w:firstLine="470"/>
        <w:spacing w:after="0" w:line="244" w:lineRule="auto"/>
        <w:rPr>
          <w:sz w:val="20"/>
          <w:szCs w:val="20"/>
          <w:color w:val="auto"/>
        </w:rPr>
      </w:pPr>
      <w:r>
        <w:rPr>
          <w:rFonts w:ascii="Times New Roman" w:cs="Times New Roman" w:eastAsia="Times New Roman" w:hAnsi="Times New Roman"/>
          <w:sz w:val="17"/>
          <w:szCs w:val="17"/>
          <w:color w:val="auto"/>
        </w:rPr>
        <w:t>Demand for our hospitality services is driven primarily by ongoing operations of existing natural resource projects in Australia and Canada. Historically, initial demand for our hospitality services has been driven by our customers’ capital spending programs related to the construction and development of natural resource projects and associated infrastructure, as well as the exploration for oil and natural gas. Long-term demand for our services has been driven by natural resource production, maintenance and operation of those facilities as well as expansion of those sites. In general, industry capital spending programs are based on the outlook for commodity prices, production costs, economic growth, global commodity supply/demand, reserve replacement, estimates of resource production, annual maintenance requirements and the expectations of our customers' shareholders. As a result, demand for our hospitality services is sensitive to expected commodity prices, principally related to oil, metallurgical (met) coal, iron ore and liquefied natural gas (LNG), and the resultant impact of these commodity price expectations on our customers' spending. Other factors that can affect our business and financial results include the general global economic environment, including inflationary pressures, supply chain disruptions and labor shortages, volatility affecting the banking system and financial markets, availability of capital to the natural resource industry and regulatory changes in Canada, Australia and other markets, including governmental measures introduced to mitigate climate change.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Prices</w:t>
      </w:r>
    </w:p>
    <w:p>
      <w:pPr>
        <w:spacing w:after="0" w:line="146" w:lineRule="exact"/>
        <w:rPr>
          <w:sz w:val="20"/>
          <w:szCs w:val="20"/>
          <w:color w:val="auto"/>
        </w:rPr>
      </w:pPr>
    </w:p>
    <w:p>
      <w:pPr>
        <w:jc w:val="both"/>
        <w:ind w:firstLine="470"/>
        <w:spacing w:after="0" w:line="249" w:lineRule="auto"/>
        <w:rPr>
          <w:sz w:val="20"/>
          <w:szCs w:val="20"/>
          <w:color w:val="auto"/>
        </w:rPr>
      </w:pPr>
      <w:r>
        <w:rPr>
          <w:rFonts w:ascii="Times New Roman" w:cs="Times New Roman" w:eastAsia="Times New Roman" w:hAnsi="Times New Roman"/>
          <w:sz w:val="17"/>
          <w:szCs w:val="17"/>
          <w:color w:val="auto"/>
        </w:rPr>
        <w:t>There is continued uncertainty around commodity price levels, driven by many factors including rising fears of a recession resulting from lingering inflation and higher interest rates, an economic slowdown in China and resultant economic stimulus by the Chinese government, the impact of inflationary pressures, actions taken by Organization of the Petroleum Exporting Countries Plus (OPEC+) to adjust oil production levels, geopolitical events such as the ongoing Russia/Ukraine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conflict and rising conflict and geopolitical risks in the Middle East, United States (U.S.) oil production levels and regulatory implications on such prices. In particular, these items could cause our Canadian oil sands and pipeline customers to delay expansionary and maintenance spending and defer additional investments in their oil sands assets and in extreme cases reduce production.</w:t>
      </w:r>
    </w:p>
    <w:p>
      <w:pPr>
        <w:spacing w:after="0" w:line="1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Recent Commodity Prices.</w:t>
      </w:r>
    </w:p>
    <w:p>
      <w:pPr>
        <w:spacing w:after="0" w:line="2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Recent West Texas Intermediate (WTI) crude, Western Canadian Select (WCS) crude, met coal and iron ore pricing trends are as follows:</w:t>
      </w:r>
    </w:p>
    <w:p>
      <w:pPr>
        <w:spacing w:after="0" w:line="106"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3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gridSpan w:val="6"/>
          </w:tcPr>
          <w:p>
            <w:pPr>
              <w:ind w:left="1040"/>
              <w:spacing w:after="0"/>
              <w:rPr>
                <w:sz w:val="20"/>
                <w:szCs w:val="20"/>
                <w:color w:val="auto"/>
              </w:rPr>
            </w:pPr>
            <w:r>
              <w:rPr>
                <w:rFonts w:ascii="Times New Roman" w:cs="Times New Roman" w:eastAsia="Times New Roman" w:hAnsi="Times New Roman"/>
                <w:sz w:val="17"/>
                <w:szCs w:val="17"/>
                <w:color w:val="auto"/>
              </w:rPr>
              <w:t xml:space="preserve">Average Price </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center"/>
              <w:ind w:left="393"/>
              <w:spacing w:after="0"/>
              <w:rPr>
                <w:sz w:val="20"/>
                <w:szCs w:val="20"/>
                <w:color w:val="auto"/>
              </w:rPr>
            </w:pPr>
            <w:r>
              <w:rPr>
                <w:rFonts w:ascii="Times New Roman" w:cs="Times New Roman" w:eastAsia="Times New Roman" w:hAnsi="Times New Roman"/>
                <w:sz w:val="17"/>
                <w:szCs w:val="17"/>
                <w:color w:val="auto"/>
              </w:rPr>
              <w:t>WTI</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center"/>
              <w:ind w:left="373"/>
              <w:spacing w:after="0"/>
              <w:rPr>
                <w:sz w:val="20"/>
                <w:szCs w:val="20"/>
                <w:color w:val="auto"/>
              </w:rPr>
            </w:pPr>
            <w:r>
              <w:rPr>
                <w:rFonts w:ascii="Times New Roman" w:cs="Times New Roman" w:eastAsia="Times New Roman" w:hAnsi="Times New Roman"/>
                <w:sz w:val="17"/>
                <w:szCs w:val="17"/>
                <w:color w:val="auto"/>
                <w:w w:val="97"/>
              </w:rPr>
              <w:t>WCS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20"/>
              <w:spacing w:after="0" w:line="171" w:lineRule="exact"/>
              <w:rPr>
                <w:sz w:val="20"/>
                <w:szCs w:val="20"/>
                <w:color w:val="auto"/>
              </w:rPr>
            </w:pPr>
            <w:r>
              <w:rPr>
                <w:rFonts w:ascii="Times New Roman" w:cs="Times New Roman" w:eastAsia="Times New Roman" w:hAnsi="Times New Roman"/>
                <w:sz w:val="17"/>
                <w:szCs w:val="17"/>
                <w:color w:val="auto"/>
                <w:w w:val="99"/>
              </w:rPr>
              <w:t>Hard</w:t>
            </w:r>
          </w:p>
        </w:tc>
        <w:tc>
          <w:tcPr>
            <w:tcW w:w="260" w:type="dxa"/>
            <w:vAlign w:val="bottom"/>
          </w:tcPr>
          <w:p>
            <w:pPr>
              <w:spacing w:after="0"/>
              <w:rPr>
                <w:sz w:val="14"/>
                <w:szCs w:val="14"/>
                <w:color w:val="auto"/>
              </w:rPr>
            </w:pPr>
          </w:p>
        </w:tc>
        <w:tc>
          <w:tcPr>
            <w:tcW w:w="1320" w:type="dxa"/>
            <w:vAlign w:val="bottom"/>
            <w:vMerge w:val="restart"/>
          </w:tcPr>
          <w:p>
            <w:pPr>
              <w:jc w:val="center"/>
              <w:ind w:right="173"/>
              <w:spacing w:after="0"/>
              <w:rPr>
                <w:sz w:val="20"/>
                <w:szCs w:val="20"/>
                <w:color w:val="auto"/>
              </w:rPr>
            </w:pPr>
            <w:r>
              <w:rPr>
                <w:rFonts w:ascii="Times New Roman" w:cs="Times New Roman" w:eastAsia="Times New Roman" w:hAnsi="Times New Roman"/>
                <w:sz w:val="17"/>
                <w:szCs w:val="17"/>
                <w:color w:val="auto"/>
              </w:rPr>
              <w:t>Iron</w:t>
            </w:r>
          </w:p>
        </w:tc>
        <w:tc>
          <w:tcPr>
            <w:tcW w:w="0" w:type="dxa"/>
            <w:vAlign w:val="bottom"/>
          </w:tcPr>
          <w:p>
            <w:pPr>
              <w:spacing w:after="0"/>
              <w:rPr>
                <w:sz w:val="1"/>
                <w:szCs w:val="1"/>
                <w:color w:val="auto"/>
              </w:rPr>
            </w:pPr>
          </w:p>
        </w:tc>
      </w:tr>
      <w:tr>
        <w:trPr>
          <w:trHeight w:val="175"/>
        </w:trPr>
        <w:tc>
          <w:tcPr>
            <w:tcW w:w="3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Quarter</w:t>
            </w:r>
          </w:p>
        </w:tc>
        <w:tc>
          <w:tcPr>
            <w:tcW w:w="11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7"/>
                <w:szCs w:val="17"/>
                <w:color w:val="auto"/>
              </w:rPr>
              <w:t>Coking Coal</w:t>
            </w:r>
          </w:p>
        </w:tc>
        <w:tc>
          <w:tcPr>
            <w:tcW w:w="2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60" w:type="dxa"/>
            <w:vAlign w:val="bottom"/>
            <w:gridSpan w:val="2"/>
            <w:vMerge w:val="continue"/>
          </w:tcPr>
          <w:p>
            <w:pPr>
              <w:spacing w:after="0"/>
              <w:rPr>
                <w:sz w:val="14"/>
                <w:szCs w:val="14"/>
                <w:color w:val="auto"/>
              </w:rPr>
            </w:pPr>
          </w:p>
        </w:tc>
        <w:tc>
          <w:tcPr>
            <w:tcW w:w="1100" w:type="dxa"/>
            <w:vAlign w:val="bottom"/>
          </w:tcPr>
          <w:p>
            <w:pPr>
              <w:jc w:val="center"/>
              <w:ind w:left="393"/>
              <w:spacing w:after="0" w:line="170" w:lineRule="exact"/>
              <w:rPr>
                <w:sz w:val="20"/>
                <w:szCs w:val="20"/>
                <w:color w:val="auto"/>
              </w:rPr>
            </w:pPr>
            <w:r>
              <w:rPr>
                <w:rFonts w:ascii="Times New Roman" w:cs="Times New Roman" w:eastAsia="Times New Roman" w:hAnsi="Times New Roman"/>
                <w:sz w:val="17"/>
                <w:szCs w:val="17"/>
                <w:color w:val="auto"/>
              </w:rPr>
              <w:t>Crude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left="373"/>
              <w:spacing w:after="0" w:line="170" w:lineRule="exact"/>
              <w:rPr>
                <w:sz w:val="20"/>
                <w:szCs w:val="20"/>
                <w:color w:val="auto"/>
              </w:rPr>
            </w:pPr>
            <w:r>
              <w:rPr>
                <w:rFonts w:ascii="Times New Roman" w:cs="Times New Roman" w:eastAsia="Times New Roman" w:hAnsi="Times New Roman"/>
                <w:sz w:val="17"/>
                <w:szCs w:val="17"/>
                <w:color w:val="auto"/>
              </w:rPr>
              <w:t>Crude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20"/>
              <w:spacing w:after="0" w:line="170" w:lineRule="exact"/>
              <w:rPr>
                <w:sz w:val="20"/>
                <w:szCs w:val="20"/>
                <w:color w:val="auto"/>
              </w:rPr>
            </w:pPr>
            <w:r>
              <w:rPr>
                <w:rFonts w:ascii="Times New Roman" w:cs="Times New Roman" w:eastAsia="Times New Roman" w:hAnsi="Times New Roman"/>
                <w:sz w:val="17"/>
                <w:szCs w:val="17"/>
                <w:color w:val="auto"/>
              </w:rPr>
              <w:t>(Met Coal)</w:t>
            </w:r>
          </w:p>
        </w:tc>
        <w:tc>
          <w:tcPr>
            <w:tcW w:w="260" w:type="dxa"/>
            <w:vAlign w:val="bottom"/>
          </w:tcPr>
          <w:p>
            <w:pPr>
              <w:spacing w:after="0"/>
              <w:rPr>
                <w:sz w:val="14"/>
                <w:szCs w:val="14"/>
                <w:color w:val="auto"/>
              </w:rPr>
            </w:pPr>
          </w:p>
        </w:tc>
        <w:tc>
          <w:tcPr>
            <w:tcW w:w="1320" w:type="dxa"/>
            <w:vAlign w:val="bottom"/>
          </w:tcPr>
          <w:p>
            <w:pPr>
              <w:jc w:val="center"/>
              <w:ind w:right="173"/>
              <w:spacing w:after="0" w:line="170" w:lineRule="exact"/>
              <w:rPr>
                <w:sz w:val="20"/>
                <w:szCs w:val="20"/>
                <w:color w:val="auto"/>
              </w:rPr>
            </w:pPr>
            <w:r>
              <w:rPr>
                <w:rFonts w:ascii="Times New Roman" w:cs="Times New Roman" w:eastAsia="Times New Roman" w:hAnsi="Times New Roman"/>
                <w:sz w:val="17"/>
                <w:szCs w:val="17"/>
                <w:color w:val="auto"/>
              </w:rPr>
              <w:t>Ore</w:t>
            </w:r>
          </w:p>
        </w:tc>
        <w:tc>
          <w:tcPr>
            <w:tcW w:w="0" w:type="dxa"/>
            <w:vAlign w:val="bottom"/>
          </w:tcPr>
          <w:p>
            <w:pPr>
              <w:spacing w:after="0"/>
              <w:rPr>
                <w:sz w:val="1"/>
                <w:szCs w:val="1"/>
                <w:color w:val="auto"/>
              </w:rPr>
            </w:pPr>
          </w:p>
        </w:tc>
      </w:tr>
      <w:tr>
        <w:trPr>
          <w:trHeight w:val="222"/>
        </w:trPr>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ended</w:t>
            </w:r>
          </w:p>
        </w:tc>
        <w:tc>
          <w:tcPr>
            <w:tcW w:w="1100" w:type="dxa"/>
            <w:vAlign w:val="bottom"/>
          </w:tcPr>
          <w:p>
            <w:pPr>
              <w:jc w:val="center"/>
              <w:ind w:left="393"/>
              <w:spacing w:after="0"/>
              <w:rPr>
                <w:sz w:val="20"/>
                <w:szCs w:val="20"/>
                <w:color w:val="auto"/>
              </w:rPr>
            </w:pPr>
            <w:r>
              <w:rPr>
                <w:rFonts w:ascii="Times New Roman" w:cs="Times New Roman" w:eastAsia="Times New Roman" w:hAnsi="Times New Roman"/>
                <w:sz w:val="17"/>
                <w:szCs w:val="17"/>
                <w:color w:val="auto"/>
              </w:rPr>
              <w:t>(per bbl)</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ind w:left="373"/>
              <w:spacing w:after="0"/>
              <w:rPr>
                <w:sz w:val="20"/>
                <w:szCs w:val="20"/>
                <w:color w:val="auto"/>
              </w:rPr>
            </w:pPr>
            <w:r>
              <w:rPr>
                <w:rFonts w:ascii="Times New Roman" w:cs="Times New Roman" w:eastAsia="Times New Roman" w:hAnsi="Times New Roman"/>
                <w:sz w:val="17"/>
                <w:szCs w:val="17"/>
                <w:color w:val="auto"/>
              </w:rPr>
              <w:t>(per bbl)</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(per tonne)</w:t>
            </w:r>
          </w:p>
        </w:tc>
        <w:tc>
          <w:tcPr>
            <w:tcW w:w="260" w:type="dxa"/>
            <w:vAlign w:val="bottom"/>
          </w:tcPr>
          <w:p>
            <w:pPr>
              <w:spacing w:after="0"/>
              <w:rPr>
                <w:sz w:val="19"/>
                <w:szCs w:val="19"/>
                <w:color w:val="auto"/>
              </w:rPr>
            </w:pPr>
          </w:p>
        </w:tc>
        <w:tc>
          <w:tcPr>
            <w:tcW w:w="1320" w:type="dxa"/>
            <w:vAlign w:val="bottom"/>
          </w:tcPr>
          <w:p>
            <w:pPr>
              <w:jc w:val="center"/>
              <w:ind w:right="173"/>
              <w:spacing w:after="0"/>
              <w:rPr>
                <w:sz w:val="20"/>
                <w:szCs w:val="20"/>
                <w:color w:val="auto"/>
              </w:rPr>
            </w:pPr>
            <w:r>
              <w:rPr>
                <w:rFonts w:ascii="Times New Roman" w:cs="Times New Roman" w:eastAsia="Times New Roman" w:hAnsi="Times New Roman"/>
                <w:sz w:val="17"/>
                <w:szCs w:val="17"/>
                <w:color w:val="auto"/>
              </w:rPr>
              <w:t>(per tonne)</w:t>
            </w:r>
          </w:p>
        </w:tc>
        <w:tc>
          <w:tcPr>
            <w:tcW w:w="0" w:type="dxa"/>
            <w:vAlign w:val="bottom"/>
          </w:tcPr>
          <w:p>
            <w:pPr>
              <w:spacing w:after="0"/>
              <w:rPr>
                <w:sz w:val="1"/>
                <w:szCs w:val="1"/>
                <w:color w:val="auto"/>
              </w:rPr>
            </w:pPr>
          </w:p>
        </w:tc>
      </w:tr>
      <w:tr>
        <w:trPr>
          <w:trHeight w:val="215"/>
        </w:trPr>
        <w:tc>
          <w:tcPr>
            <w:tcW w:w="3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Fourth Quarter through October 25, 2024</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72.34</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59.40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204.98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96.34</w:t>
            </w:r>
          </w:p>
        </w:tc>
        <w:tc>
          <w:tcPr>
            <w:tcW w:w="0" w:type="dxa"/>
            <w:vAlign w:val="bottom"/>
          </w:tcPr>
          <w:p>
            <w:pPr>
              <w:spacing w:after="0"/>
              <w:rPr>
                <w:sz w:val="1"/>
                <w:szCs w:val="1"/>
                <w:color w:val="auto"/>
              </w:rPr>
            </w:pPr>
          </w:p>
        </w:tc>
      </w:tr>
      <w:tr>
        <w:trPr>
          <w:trHeight w:val="222"/>
        </w:trPr>
        <w:tc>
          <w:tcPr>
            <w:tcW w:w="3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9/30/2024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75.29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59.97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94.54</w:t>
            </w:r>
          </w:p>
        </w:tc>
        <w:tc>
          <w:tcPr>
            <w:tcW w:w="0" w:type="dxa"/>
            <w:vAlign w:val="bottom"/>
          </w:tcPr>
          <w:p>
            <w:pPr>
              <w:spacing w:after="0"/>
              <w:rPr>
                <w:sz w:val="1"/>
                <w:szCs w:val="1"/>
                <w:color w:val="auto"/>
              </w:rPr>
            </w:pPr>
          </w:p>
        </w:tc>
      </w:tr>
      <w:tr>
        <w:trPr>
          <w:trHeight w:val="222"/>
        </w:trPr>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6/30/2024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80.83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67.24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106.01</w:t>
            </w:r>
          </w:p>
        </w:tc>
        <w:tc>
          <w:tcPr>
            <w:tcW w:w="0" w:type="dxa"/>
            <w:vAlign w:val="bottom"/>
          </w:tcPr>
          <w:p>
            <w:pPr>
              <w:spacing w:after="0"/>
              <w:rPr>
                <w:sz w:val="1"/>
                <w:szCs w:val="1"/>
                <w:color w:val="auto"/>
              </w:rPr>
            </w:pPr>
          </w:p>
        </w:tc>
      </w:tr>
      <w:tr>
        <w:trPr>
          <w:trHeight w:val="222"/>
        </w:trPr>
        <w:tc>
          <w:tcPr>
            <w:tcW w:w="3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3/31/2024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77.01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59.48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118.54</w:t>
            </w:r>
          </w:p>
        </w:tc>
        <w:tc>
          <w:tcPr>
            <w:tcW w:w="0" w:type="dxa"/>
            <w:vAlign w:val="bottom"/>
          </w:tcPr>
          <w:p>
            <w:pPr>
              <w:spacing w:after="0"/>
              <w:rPr>
                <w:sz w:val="1"/>
                <w:szCs w:val="1"/>
                <w:color w:val="auto"/>
              </w:rPr>
            </w:pPr>
          </w:p>
        </w:tc>
      </w:tr>
      <w:tr>
        <w:trPr>
          <w:trHeight w:val="222"/>
        </w:trPr>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12/31/2023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78.60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55.31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122.24</w:t>
            </w:r>
          </w:p>
        </w:tc>
        <w:tc>
          <w:tcPr>
            <w:tcW w:w="0" w:type="dxa"/>
            <w:vAlign w:val="bottom"/>
          </w:tcPr>
          <w:p>
            <w:pPr>
              <w:spacing w:after="0"/>
              <w:rPr>
                <w:sz w:val="1"/>
                <w:szCs w:val="1"/>
                <w:color w:val="auto"/>
              </w:rPr>
            </w:pPr>
          </w:p>
        </w:tc>
      </w:tr>
      <w:tr>
        <w:trPr>
          <w:trHeight w:val="222"/>
        </w:trPr>
        <w:tc>
          <w:tcPr>
            <w:tcW w:w="3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9/30/2023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82.50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66.20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111.04</w:t>
            </w:r>
          </w:p>
        </w:tc>
        <w:tc>
          <w:tcPr>
            <w:tcW w:w="0" w:type="dxa"/>
            <w:vAlign w:val="bottom"/>
          </w:tcPr>
          <w:p>
            <w:pPr>
              <w:spacing w:after="0"/>
              <w:rPr>
                <w:sz w:val="1"/>
                <w:szCs w:val="1"/>
                <w:color w:val="auto"/>
              </w:rPr>
            </w:pPr>
          </w:p>
        </w:tc>
      </w:tr>
      <w:tr>
        <w:trPr>
          <w:trHeight w:val="222"/>
        </w:trPr>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6/30/2023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73.54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60.25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106.98</w:t>
            </w:r>
          </w:p>
        </w:tc>
        <w:tc>
          <w:tcPr>
            <w:tcW w:w="0" w:type="dxa"/>
            <w:vAlign w:val="bottom"/>
          </w:tcPr>
          <w:p>
            <w:pPr>
              <w:spacing w:after="0"/>
              <w:rPr>
                <w:sz w:val="1"/>
                <w:szCs w:val="1"/>
                <w:color w:val="auto"/>
              </w:rPr>
            </w:pPr>
          </w:p>
        </w:tc>
      </w:tr>
      <w:tr>
        <w:trPr>
          <w:trHeight w:val="227"/>
        </w:trPr>
        <w:tc>
          <w:tcPr>
            <w:tcW w:w="3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3/31/2023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75.96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56.61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117.08</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940" w:hanging="308"/>
        <w:spacing w:after="0" w:line="227" w:lineRule="auto"/>
        <w:tabs>
          <w:tab w:leader="none" w:pos="9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Source: WTI crude prices are from U.S. Energy Information Administration, WCS crude prices and iron ore prices are from Bloomberg and hard coking coal prices are from IHS Markit.</w:t>
      </w:r>
    </w:p>
    <w:p>
      <w:pPr>
        <w:spacing w:after="0" w:line="149" w:lineRule="exact"/>
        <w:rPr>
          <w:sz w:val="20"/>
          <w:szCs w:val="20"/>
          <w:color w:val="auto"/>
        </w:rPr>
      </w:pPr>
    </w:p>
    <w:p>
      <w:pPr>
        <w:jc w:val="both"/>
        <w:ind w:firstLine="47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 xml:space="preserve">WTI Crude. </w:t>
      </w:r>
      <w:r>
        <w:rPr>
          <w:rFonts w:ascii="Times New Roman" w:cs="Times New Roman" w:eastAsia="Times New Roman" w:hAnsi="Times New Roman"/>
          <w:sz w:val="17"/>
          <w:szCs w:val="17"/>
          <w:color w:val="auto"/>
        </w:rPr>
        <w:t>After reaching historic lows in early 2020 during the start of the COVID-19 pandemic, global oil prices increased to above $100 per barrel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second quarter 2022. In the second half of 2022 and throughout 2023, oil prices generally declined due to (i) rising fears of a recession resulting from severe inflation and higher interest rates, (ii) resulting lower demand growth for oil and (iii) increasing U.S. oil production. In an effort to support the price of oil amidst demand concerns, OPEC+ countries have extended their 2023 oil production cuts through the remainder of 2024 and into 2025. These production cuts, coupled with the rising geopolitical risks in the Middle East, resulted in rising oil prices during the first half of 2024. Oil prices decreased during the third quarter of 2024 due to increased market concerns over economic growth and demand.</w:t>
      </w:r>
    </w:p>
    <w:p>
      <w:pPr>
        <w:spacing w:after="0" w:line="105" w:lineRule="exact"/>
        <w:rPr>
          <w:sz w:val="20"/>
          <w:szCs w:val="20"/>
          <w:color w:val="auto"/>
        </w:rPr>
      </w:pPr>
    </w:p>
    <w:p>
      <w:pPr>
        <w:jc w:val="both"/>
        <w:ind w:firstLine="470"/>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WCS Crude. </w:t>
      </w:r>
      <w:r>
        <w:rPr>
          <w:rFonts w:ascii="Times New Roman" w:cs="Times New Roman" w:eastAsia="Times New Roman" w:hAnsi="Times New Roman"/>
          <w:sz w:val="17"/>
          <w:szCs w:val="17"/>
          <w:color w:val="auto"/>
        </w:rPr>
        <w:t>In Canada, WCS crude is the benchmark price for our oil sands customers. Pricing for WCS is driven by several factors, including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underlying price for WTI crude, the availability of transportation infrastructure (consisting of pipelines and crude by railcar), refinery blending requirements and governmental regulation. Historically, WCS has traded at a discount to WTI, creating a “WCS Differential,” due to transportation costs and capacity restrictions to move Canadian heavy oil production to refineries, primarily along the U.S. Gulf Coast. The WCS Differential has varied depending on the extent of transportation capacity availability.</w:t>
      </w:r>
    </w:p>
    <w:p>
      <w:pPr>
        <w:spacing w:after="0" w:line="93" w:lineRule="exact"/>
        <w:rPr>
          <w:sz w:val="20"/>
          <w:szCs w:val="20"/>
          <w:color w:val="auto"/>
        </w:rPr>
      </w:pPr>
    </w:p>
    <w:p>
      <w:pPr>
        <w:jc w:val="both"/>
        <w:ind w:firstLine="470"/>
        <w:spacing w:after="0" w:line="279" w:lineRule="auto"/>
        <w:rPr>
          <w:sz w:val="20"/>
          <w:szCs w:val="20"/>
          <w:color w:val="auto"/>
        </w:rPr>
      </w:pPr>
      <w:r>
        <w:rPr>
          <w:rFonts w:ascii="Times New Roman" w:cs="Times New Roman" w:eastAsia="Times New Roman" w:hAnsi="Times New Roman"/>
          <w:sz w:val="17"/>
          <w:szCs w:val="17"/>
          <w:color w:val="auto"/>
        </w:rPr>
        <w:t>Certain expansionary oil pipeline projects have the potential to both drive incremental demand for mobile assets and to improve take-away capacity for Canadian oil sands producers over the longer term, most notably the Trans Mountain Pipeline expansion, which began operating in the second quarter of 2024.</w:t>
      </w:r>
    </w:p>
    <w:p>
      <w:pPr>
        <w:spacing w:after="0" w:line="81"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WCS prices in the third quarter of 2024 averaged $59.97 per barrel compared to an average of $66.20 in the third quarter of 2023. The WCS Differential decreased from $19.35 per barrel at the end of the fourth quarter of 2023 to $13.66 at the end of the third quarter of 2024. As of October 25, 2024, the WTI price was $71.99 and the WCS price was $59.33, resulting in a WCS Differential of $12.66.</w:t>
      </w:r>
    </w:p>
    <w:p>
      <w:pPr>
        <w:spacing w:after="0" w:line="79" w:lineRule="exact"/>
        <w:rPr>
          <w:sz w:val="20"/>
          <w:szCs w:val="20"/>
          <w:color w:val="auto"/>
        </w:rPr>
      </w:pPr>
    </w:p>
    <w:p>
      <w:pPr>
        <w:jc w:val="both"/>
        <w:ind w:firstLine="470"/>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Met Coal. </w:t>
      </w:r>
      <w:r>
        <w:rPr>
          <w:rFonts w:ascii="Times New Roman" w:cs="Times New Roman" w:eastAsia="Times New Roman" w:hAnsi="Times New Roman"/>
          <w:sz w:val="17"/>
          <w:szCs w:val="17"/>
          <w:color w:val="auto"/>
        </w:rPr>
        <w:t>In Australia, 84% of our Australian owned rooms are located in the Bowen Basin of Queensland, Australia and primarily serve met coal mines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that region. Met coal pricing and production growth in the Bowen Basin region is predominantly influenced by the level of global steel production. Following negative growth in both July and August 2024, steel production through September 2024 has weakened by 1.9% when compared to the same period of 2023. While there is positive growth in India and Europe, a decline in production during July and August in China more than offset those stronger production results. As of October 25, 2024, met coal spot prices were $200.70 per tonne. Steel demand is expected to increase marginally in 2024 compared to 2023, with continued improvements in demand from India.</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8" w:lineRule="exact"/>
        <w:rPr>
          <w:sz w:val="20"/>
          <w:szCs w:val="20"/>
          <w:color w:val="auto"/>
        </w:rPr>
      </w:pPr>
    </w:p>
    <w:p>
      <w:pPr>
        <w:jc w:val="both"/>
        <w:ind w:firstLine="470"/>
        <w:spacing w:after="0" w:line="248" w:lineRule="auto"/>
        <w:rPr>
          <w:sz w:val="20"/>
          <w:szCs w:val="20"/>
          <w:color w:val="auto"/>
        </w:rPr>
      </w:pPr>
      <w:r>
        <w:rPr>
          <w:rFonts w:ascii="Times New Roman" w:cs="Times New Roman" w:eastAsia="Times New Roman" w:hAnsi="Times New Roman"/>
          <w:sz w:val="17"/>
          <w:szCs w:val="17"/>
          <w:color w:val="auto"/>
        </w:rPr>
        <w:t>Met coal prices stabilized during the second quarter of 2024 in the range of approximately $220 to $250 per tonne. As steel demand production declined in July and August alongside high met coal inventories, prices for met coal weakened to approximately $190 to $200 per tonne. With supply remaining steady and muted demand, analysts expect prices to remain under pressure through the second half of 2024, with improvement anticipated in early 2025. Improved prices remain contingent on a recovery in demand particularly from China. The decline in Chinese infrastructure spending, along with a weaker Chinese housing market, have impacted prices and are expected to influence near-term outlook. To mitigate this, the Chinese government has put in place a stimulus package to support the domestic real estate market.</w:t>
      </w:r>
    </w:p>
    <w:p>
      <w:pPr>
        <w:spacing w:after="0" w:line="104" w:lineRule="exact"/>
        <w:rPr>
          <w:sz w:val="20"/>
          <w:szCs w:val="20"/>
          <w:color w:val="auto"/>
        </w:rPr>
      </w:pPr>
    </w:p>
    <w:p>
      <w:pPr>
        <w:jc w:val="both"/>
        <w:ind w:firstLine="47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Iron Ore. </w:t>
      </w:r>
      <w:r>
        <w:rPr>
          <w:rFonts w:ascii="Times New Roman" w:cs="Times New Roman" w:eastAsia="Times New Roman" w:hAnsi="Times New Roman"/>
          <w:sz w:val="17"/>
          <w:szCs w:val="17"/>
          <w:color w:val="auto"/>
        </w:rPr>
        <w:t>Iron ore prices fluctuated during the first quarter of 2024 and weakened through September 2024, with prices moving between $90 and $100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 tonne. Analysts expect iron ore prices to average $90 to $100 per tonne through the remainder of 2024 and into 2025, with stable supply and muted demand.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w:t>
      </w:r>
    </w:p>
    <w:p>
      <w:pPr>
        <w:spacing w:after="0" w:line="142"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Inflationary Pressures. </w:t>
      </w:r>
      <w:r>
        <w:rPr>
          <w:rFonts w:ascii="Times New Roman" w:cs="Times New Roman" w:eastAsia="Times New Roman" w:hAnsi="Times New Roman"/>
          <w:sz w:val="17"/>
          <w:szCs w:val="17"/>
          <w:color w:val="auto"/>
        </w:rPr>
        <w:t>During 2023 and through the third quarter of 2024, inflationary pressures and supply chain disruptions have been, and are being,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experienced worldwide. Price increases resulting from inflation and supply chain concerns have, and are expected to continue to have, a negative impact on our labor and food costs, as well as consumable costs such as fuel. We are managing inflation risk with negotiated service scope changes and contractual protections.</w:t>
      </w:r>
    </w:p>
    <w:p>
      <w:pPr>
        <w:spacing w:after="0" w:line="79"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Labor Shortages. </w:t>
      </w:r>
      <w:r>
        <w:rPr>
          <w:rFonts w:ascii="Times New Roman" w:cs="Times New Roman" w:eastAsia="Times New Roman" w:hAnsi="Times New Roman"/>
          <w:sz w:val="17"/>
          <w:szCs w:val="17"/>
          <w:color w:val="auto"/>
        </w:rPr>
        <w:t>In addition to the macro inflationary impacts on labor costs noted above, we continue to be impacted by increased staff costs as a result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hospitality labor shortages in Australia due to significantly reduced migration in and around Australia affecting labor availability, which has subsequently led to an increased reliance on more expensive temporary labor resources.</w:t>
      </w:r>
    </w:p>
    <w:p>
      <w:pPr>
        <w:spacing w:after="0" w:line="92" w:lineRule="exact"/>
        <w:rPr>
          <w:sz w:val="20"/>
          <w:szCs w:val="20"/>
          <w:color w:val="auto"/>
        </w:rPr>
      </w:pPr>
    </w:p>
    <w:p>
      <w:pPr>
        <w:ind w:right="160" w:firstLine="470"/>
        <w:spacing w:after="0" w:line="245" w:lineRule="auto"/>
        <w:rPr>
          <w:sz w:val="20"/>
          <w:szCs w:val="20"/>
          <w:color w:val="auto"/>
        </w:rPr>
      </w:pPr>
      <w:r>
        <w:rPr>
          <w:rFonts w:ascii="Times New Roman" w:cs="Times New Roman" w:eastAsia="Times New Roman" w:hAnsi="Times New Roman"/>
          <w:sz w:val="17"/>
          <w:szCs w:val="17"/>
          <w:b w:val="1"/>
          <w:bCs w:val="1"/>
          <w:i w:val="1"/>
          <w:iCs w:val="1"/>
          <w:color w:val="auto"/>
        </w:rPr>
        <w:t xml:space="preserve">LNG. </w:t>
      </w:r>
      <w:r>
        <w:rPr>
          <w:rFonts w:ascii="Times New Roman" w:cs="Times New Roman" w:eastAsia="Times New Roman" w:hAnsi="Times New Roman"/>
          <w:sz w:val="17"/>
          <w:szCs w:val="17"/>
          <w:color w:val="auto"/>
        </w:rPr>
        <w:t>Our Sitka Lodge supports the LNG Canada (LNGC) project and related pipeline projects, specifically the Coastal GasLink Pipeline, the pipeline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constructed to transport natural gas feedstock to LNGC. LNGC, a joint venture among Shell Canada Energy, an affiliate of Shell plc (40 percent), and affiliates of PETRONAS, through its wholly-owned entity, North Montney LNG Limited Partnership (25 percent), PetroChina (15 percent), Mitsubishi Corporation (15 percent) and Korea Gas Corporation (5 percent), is currently constructing the initial phase of a liquefaction and export facility in Kitimat, British Columbia (Kitimat LNG Facility). Construction activity of both Phase 1 of the Kitimat LNG Facility and the Coastal GasLink Pipeline are nearing completion in 2024. The majority of our contracted commitments associated with the Coastal GasLink Pipeline were completed in the fourth quarter of 2023. As such, we expect lower occupancy at our Sitka Lodge in the near-term until subsequent phases, or additional construction activity in the region, drive new occupancy demand.</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From a macroeconomic standpoint, LNG demand has continued to grow, reinforcing the need for the global LNG industry to expand access to natural gas.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Evolving government energy policies around the world have amplified support for cleaner energy supply, creating more opportunities for natural gas and LNG.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conflicts between Russia/Ukraine and in the Middle East have further highlighted the need for secure natural gas supply globally, particularly in Europe.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Accordingly, experts believe additional investment in LNG supply will be needed to meet the resulting expected long-term LNG demand growth.</w:t>
      </w:r>
    </w:p>
    <w:p>
      <w:pPr>
        <w:spacing w:after="0" w:line="133"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McClelland Lake Lodge. </w:t>
      </w:r>
      <w:r>
        <w:rPr>
          <w:rFonts w:ascii="Times New Roman" w:cs="Times New Roman" w:eastAsia="Times New Roman" w:hAnsi="Times New Roman"/>
          <w:sz w:val="17"/>
          <w:szCs w:val="17"/>
          <w:color w:val="auto"/>
        </w:rPr>
        <w:t>We did not renew our expiring land lease associated with our McClelland Lake Lodge in Alberta, Canada, which expired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June 2023, in order to support our customer’s intent to mine the land where the lodge was located. In addition, the accompanying hospitality services contract at McClelland Lake Lodge expired in July 2023; however, we continued to provide hospitality services to the customer at our other owned lodges through January 31, 2024 under a short-term take-or-pay commitment. Subsequent to this date, we have continued to provide such services at our other lodges; however, not pursuant to a take-or-pay commitment. During the third quarter of 2023, we entered into a definitive agreement to sell our McClelland Lake Lodge assets to a U.S.-based mining project for approximately C$49 million, or US$36 million. Our McClelland Lake Lodge assets were dismantled and completely removed from the existing site in January 2024. During the third and fourth quarters of 2023, we recognized $14.2 million in dismantle costs and received $28.2 million in cash proceeds associated with the sale. During the first quarter of 2024, the transaction was completed, and we recognized the remaining $1.0 million in dismantle costs and received the remaining $7.8 million in cash proceeds.</w:t>
      </w:r>
    </w:p>
    <w:p>
      <w:pPr>
        <w:spacing w:after="0" w:line="92" w:lineRule="exact"/>
        <w:rPr>
          <w:sz w:val="20"/>
          <w:szCs w:val="20"/>
          <w:color w:val="auto"/>
        </w:rPr>
      </w:pPr>
    </w:p>
    <w:p>
      <w:pPr>
        <w:jc w:val="both"/>
        <w:ind w:firstLine="47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U.S. Business. </w:t>
      </w:r>
      <w:r>
        <w:rPr>
          <w:rFonts w:ascii="Times New Roman" w:cs="Times New Roman" w:eastAsia="Times New Roman" w:hAnsi="Times New Roman"/>
          <w:sz w:val="17"/>
          <w:szCs w:val="17"/>
          <w:color w:val="auto"/>
        </w:rPr>
        <w:t>In the second quarter of 2024, we sold the land at our Louisiana location. In addition, in the first quarter of 2023, we sold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accommodation assets in Louisiana. Our U.S. business supports completion activity in the Bakken. U.S. oil completion activity will continue to be impacted by oil prices, pipeline capacity, federal energy policies and availability of capital to support exploration and production completion plans.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Foreign Currency Exchange Rates. </w:t>
      </w:r>
      <w:r>
        <w:rPr>
          <w:rFonts w:ascii="Times New Roman" w:cs="Times New Roman" w:eastAsia="Times New Roman" w:hAnsi="Times New Roman"/>
          <w:sz w:val="17"/>
          <w:szCs w:val="17"/>
          <w:color w:val="auto"/>
        </w:rPr>
        <w:t>Exchange rates between the U.S. dollar and each of the Canadian dollar and the Australian dollar influence our U.S.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 reported financial results. Our business has historically derived the vast majority of its revenues and operating income (loss) in Canada and Australia.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revenues and profits/losses are translated into U.S.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11" w:lineRule="exact"/>
        <w:rPr>
          <w:sz w:val="20"/>
          <w:szCs w:val="20"/>
          <w:color w:val="auto"/>
        </w:rPr>
      </w:pPr>
    </w:p>
    <w:p>
      <w:pPr>
        <w:jc w:val="both"/>
        <w:ind w:right="100"/>
        <w:spacing w:after="0" w:line="295" w:lineRule="auto"/>
        <w:rPr>
          <w:sz w:val="20"/>
          <w:szCs w:val="20"/>
          <w:color w:val="auto"/>
        </w:rPr>
      </w:pPr>
      <w:r>
        <w:rPr>
          <w:rFonts w:ascii="Times New Roman" w:cs="Times New Roman" w:eastAsia="Times New Roman" w:hAnsi="Times New Roman"/>
          <w:sz w:val="17"/>
          <w:szCs w:val="17"/>
          <w:color w:val="auto"/>
        </w:rPr>
        <w:t>dollars for financial reporting purposes under U.S. Generally Accepted Accounting Principles. The following tables summarize the fluctuations in the exchange rates between the U.S. dollar and each of the Canadian dollar and the Australian dollar:</w:t>
      </w:r>
    </w:p>
    <w:p>
      <w:pPr>
        <w:spacing w:after="0" w:line="48"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3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4"/>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640" w:type="dxa"/>
            <w:vAlign w:val="bottom"/>
          </w:tcPr>
          <w:p>
            <w:pPr>
              <w:spacing w:after="0"/>
              <w:rPr>
                <w:sz w:val="17"/>
                <w:szCs w:val="17"/>
                <w:color w:val="auto"/>
              </w:rPr>
            </w:pPr>
          </w:p>
        </w:tc>
      </w:tr>
      <w:tr>
        <w:trPr>
          <w:trHeight w:val="232"/>
        </w:trPr>
        <w:tc>
          <w:tcPr>
            <w:tcW w:w="35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40" w:type="dxa"/>
            <w:vAlign w:val="bottom"/>
            <w:tcBorders>
              <w:bottom w:val="single" w:sz="8" w:color="auto"/>
            </w:tcBorders>
          </w:tcPr>
          <w:p>
            <w:pPr>
              <w:spacing w:after="0"/>
              <w:rPr>
                <w:sz w:val="20"/>
                <w:szCs w:val="20"/>
                <w:color w:val="auto"/>
              </w:rPr>
            </w:pPr>
          </w:p>
        </w:tc>
      </w:tr>
      <w:tr>
        <w:trPr>
          <w:trHeight w:val="203"/>
        </w:trPr>
        <w:tc>
          <w:tcPr>
            <w:tcW w:w="3500" w:type="dxa"/>
            <w:vAlign w:val="bottom"/>
          </w:tcPr>
          <w:p>
            <w:pPr>
              <w:spacing w:after="0"/>
              <w:rPr>
                <w:sz w:val="17"/>
                <w:szCs w:val="17"/>
                <w:color w:val="auto"/>
              </w:rPr>
            </w:pPr>
          </w:p>
        </w:tc>
        <w:tc>
          <w:tcPr>
            <w:tcW w:w="80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Pr>
          <w:p>
            <w:pPr>
              <w:spacing w:after="0"/>
              <w:rPr>
                <w:sz w:val="17"/>
                <w:szCs w:val="17"/>
                <w:color w:val="auto"/>
              </w:rPr>
            </w:pPr>
          </w:p>
        </w:tc>
        <w:tc>
          <w:tcPr>
            <w:tcW w:w="82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82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Canadian dollar to U.S. dollar</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$0.733</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$0.746</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$0.735</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$0.743</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7"/>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Australian dollar to U.S. dollar</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$0.670</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$0.655</w:t>
            </w:r>
          </w:p>
        </w:tc>
        <w:tc>
          <w:tcPr>
            <w:tcW w:w="100" w:type="dxa"/>
            <w:vAlign w:val="bottom"/>
          </w:tcPr>
          <w:p>
            <w:pPr>
              <w:spacing w:after="0"/>
              <w:rPr>
                <w:sz w:val="19"/>
                <w:szCs w:val="19"/>
                <w:color w:val="auto"/>
              </w:rPr>
            </w:pPr>
          </w:p>
        </w:tc>
        <w:tc>
          <w:tcPr>
            <w:tcW w:w="9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$0.02</w:t>
            </w:r>
          </w:p>
        </w:tc>
        <w:tc>
          <w:tcPr>
            <w:tcW w:w="100" w:type="dxa"/>
            <w:vAlign w:val="bottom"/>
          </w:tcPr>
          <w:p>
            <w:pPr>
              <w:spacing w:after="0"/>
              <w:rPr>
                <w:sz w:val="19"/>
                <w:szCs w:val="19"/>
                <w:color w:val="auto"/>
              </w:rPr>
            </w:pPr>
          </w:p>
        </w:tc>
        <w:tc>
          <w:tcPr>
            <w:tcW w:w="10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$0.662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$0.669</w:t>
            </w:r>
          </w:p>
        </w:tc>
        <w:tc>
          <w:tcPr>
            <w:tcW w:w="100" w:type="dxa"/>
            <w:vAlign w:val="bottom"/>
          </w:tcPr>
          <w:p>
            <w:pPr>
              <w:spacing w:after="0"/>
              <w:rPr>
                <w:sz w:val="19"/>
                <w:szCs w:val="19"/>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bl>
    <w:p>
      <w:pPr>
        <w:spacing w:after="0" w:line="105"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b w:val="1"/>
          <w:bCs w:val="1"/>
          <w:color w:val="auto"/>
        </w:rPr>
        <w:t>As of</w:t>
      </w:r>
    </w:p>
    <w:p>
      <w:pPr>
        <w:spacing w:after="0" w:line="34" w:lineRule="exact"/>
        <w:rPr>
          <w:sz w:val="20"/>
          <w:szCs w:val="20"/>
          <w:color w:val="auto"/>
        </w:rPr>
      </w:pPr>
    </w:p>
    <w:tbl>
      <w:tblPr>
        <w:tblLayout w:type="fixed"/>
        <w:tblInd w:w="1380" w:type="dxa"/>
        <w:tblCellMar>
          <w:top w:w="0" w:type="dxa"/>
          <w:left w:w="0" w:type="dxa"/>
          <w:bottom w:w="0" w:type="dxa"/>
          <w:right w:w="0" w:type="dxa"/>
        </w:tblCellMar>
      </w:tblPr>
      <w:tr>
        <w:trPr>
          <w:trHeight w:val="202"/>
        </w:trPr>
        <w:tc>
          <w:tcPr>
            <w:tcW w:w="3140" w:type="dxa"/>
            <w:vAlign w:val="bottom"/>
          </w:tcPr>
          <w:p>
            <w:pPr>
              <w:spacing w:after="0"/>
              <w:rPr>
                <w:sz w:val="17"/>
                <w:szCs w:val="17"/>
                <w:color w:val="auto"/>
              </w:rPr>
            </w:pPr>
          </w:p>
        </w:tc>
        <w:tc>
          <w:tcPr>
            <w:tcW w:w="18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5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32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5"/>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Canadian dollar to U.S. dollar</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$0.741</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$0.756</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(2.0)%</w:t>
            </w:r>
          </w:p>
        </w:tc>
      </w:tr>
      <w:tr>
        <w:trPr>
          <w:trHeight w:val="227"/>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Australian dollar to U.S. dollar</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$0.691</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$0.681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60" w:type="dxa"/>
            <w:vAlign w:val="bottom"/>
          </w:tcPr>
          <w:p>
            <w:pPr>
              <w:spacing w:after="0"/>
              <w:rPr>
                <w:sz w:val="19"/>
                <w:szCs w:val="19"/>
                <w:color w:val="auto"/>
              </w:rPr>
            </w:pPr>
          </w:p>
        </w:tc>
        <w:tc>
          <w:tcPr>
            <w:tcW w:w="118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1.6%</w:t>
            </w:r>
          </w:p>
        </w:tc>
      </w:tr>
    </w:tbl>
    <w:p>
      <w:pPr>
        <w:spacing w:after="0" w:line="186" w:lineRule="exact"/>
        <w:rPr>
          <w:sz w:val="20"/>
          <w:szCs w:val="20"/>
          <w:color w:val="auto"/>
        </w:rPr>
      </w:pPr>
    </w:p>
    <w:p>
      <w:pPr>
        <w:jc w:val="both"/>
        <w:ind w:right="100" w:firstLine="470"/>
        <w:spacing w:after="0" w:line="295" w:lineRule="auto"/>
        <w:rPr>
          <w:sz w:val="20"/>
          <w:szCs w:val="20"/>
          <w:color w:val="auto"/>
        </w:rPr>
      </w:pPr>
      <w:r>
        <w:rPr>
          <w:rFonts w:ascii="Times New Roman" w:cs="Times New Roman" w:eastAsia="Times New Roman" w:hAnsi="Times New Roman"/>
          <w:sz w:val="17"/>
          <w:szCs w:val="17"/>
          <w:color w:val="auto"/>
        </w:rPr>
        <w:t>These fluctuations of the Canadian and Australian dollars have had and will continue to have an impact on the translation of earnings generated from our Canadian and Australian subsidiaries and, therefore, our financial results.</w:t>
      </w:r>
    </w:p>
    <w:p>
      <w:pPr>
        <w:spacing w:after="0" w:line="156" w:lineRule="exact"/>
        <w:rPr>
          <w:sz w:val="20"/>
          <w:szCs w:val="20"/>
          <w:color w:val="auto"/>
        </w:rPr>
      </w:pPr>
    </w:p>
    <w:p>
      <w:pPr>
        <w:jc w:val="both"/>
        <w:ind w:right="100" w:firstLine="470"/>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Capital Expenditures. </w:t>
      </w:r>
      <w:r>
        <w:rPr>
          <w:rFonts w:ascii="Times New Roman" w:cs="Times New Roman" w:eastAsia="Times New Roman" w:hAnsi="Times New Roman"/>
          <w:sz w:val="17"/>
          <w:szCs w:val="17"/>
          <w:color w:val="auto"/>
        </w:rPr>
        <w:t>We continue to monitor the global economy, commodity prices, demand for crude oil, met coal, LNG and iron ore, inflation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resultant impact on the capital spending plans of our customers in order to plan our business activities. We currently expect that our 2024 capital expenditures will be in the range of approximately $30 million to $35 million, compared to 2023 capital expenditures of $31.6 million. We may adjust our capital expenditure plans in the future as we continue to monitor customer activity.</w:t>
      </w:r>
    </w:p>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See “Liquidity and Capital Resources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below for further discussion of our 2024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2" w:name="page23"/>
    <w:bookmarkEnd w:id="22"/>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7" w:lineRule="exact"/>
        <w:rPr>
          <w:sz w:val="20"/>
          <w:szCs w:val="20"/>
          <w:color w:val="auto"/>
        </w:rPr>
      </w:pPr>
    </w:p>
    <w:p>
      <w:pPr>
        <w:jc w:val="both"/>
        <w:ind w:firstLine="470"/>
        <w:spacing w:after="0" w:line="298" w:lineRule="auto"/>
        <w:rPr>
          <w:sz w:val="20"/>
          <w:szCs w:val="20"/>
          <w:color w:val="auto"/>
        </w:rPr>
      </w:pPr>
      <w:r>
        <w:rPr>
          <w:rFonts w:ascii="Times New Roman" w:cs="Times New Roman" w:eastAsia="Times New Roman" w:hAnsi="Times New Roman"/>
          <w:sz w:val="17"/>
          <w:szCs w:val="17"/>
          <w:i w:val="1"/>
          <w:iCs w:val="1"/>
          <w:color w:val="auto"/>
        </w:rPr>
        <w:t>Unless otherwise indicated, discussion of results for the three and nine months ended September 30, 2024, is based on a comparison to the corresponding period of 2023.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 – Three Months Ended September 30, 2024 Compared to Three Months Ended September 30, 2023</w:t>
      </w:r>
    </w:p>
    <w:p>
      <w:pPr>
        <w:spacing w:after="0" w:line="32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9"/>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8"/>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1"/>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57,736</w:t>
            </w:r>
          </w:p>
        </w:tc>
        <w:tc>
          <w:tcPr>
            <w:tcW w:w="100" w:type="dxa"/>
            <w:vAlign w:val="bottom"/>
          </w:tcPr>
          <w:p>
            <w:pPr>
              <w:spacing w:after="0"/>
              <w:rPr>
                <w:sz w:val="16"/>
                <w:szCs w:val="16"/>
                <w:color w:val="auto"/>
              </w:rPr>
            </w:pP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95,144</w:t>
            </w:r>
          </w:p>
        </w:tc>
        <w:tc>
          <w:tcPr>
            <w:tcW w:w="12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(37,408)</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116,622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87,885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28,737</w:t>
            </w:r>
          </w:p>
        </w:tc>
      </w:tr>
      <w:tr>
        <w:trPr>
          <w:trHeight w:val="189"/>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1,437</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176,338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183,572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(7,234)</w:t>
            </w:r>
          </w:p>
        </w:tc>
      </w:tr>
      <w:tr>
        <w:trPr>
          <w:trHeight w:val="18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50,052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65,972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(15,920)</w:t>
            </w:r>
          </w:p>
        </w:tc>
      </w:tr>
      <w:tr>
        <w:trPr>
          <w:trHeight w:val="203"/>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87,067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63,595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23,472</w:t>
            </w:r>
          </w:p>
        </w:tc>
      </w:tr>
      <w:tr>
        <w:trPr>
          <w:trHeight w:val="189"/>
        </w:trPr>
        <w:tc>
          <w:tcPr>
            <w:tcW w:w="5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w:t>
            </w:r>
          </w:p>
        </w:tc>
      </w:tr>
      <w:tr>
        <w:trPr>
          <w:trHeight w:val="196"/>
        </w:trPr>
        <w:tc>
          <w:tcPr>
            <w:tcW w:w="5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138,542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130,296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8,246</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sale of McClelland Lake Lodge assets, net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r>
      <w:tr>
        <w:trPr>
          <w:trHeight w:val="182"/>
        </w:trPr>
        <w:tc>
          <w:tcPr>
            <w:tcW w:w="5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176,294</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167,533</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8,761</w:t>
            </w: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(15,995)</w:t>
            </w:r>
          </w:p>
        </w:tc>
      </w:tr>
      <w:tr>
        <w:trPr>
          <w:trHeight w:val="209"/>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w:t>
            </w:r>
          </w:p>
        </w:tc>
      </w:tr>
      <w:tr>
        <w:trPr>
          <w:trHeight w:val="189"/>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4,913</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(9,436)</w:t>
            </w:r>
          </w:p>
        </w:tc>
      </w:tr>
      <w:tr>
        <w:trPr>
          <w:trHeight w:val="189"/>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(3,862)</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(5,076)</w:t>
            </w: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(14,512)</w:t>
            </w:r>
          </w:p>
        </w:tc>
      </w:tr>
      <w:tr>
        <w:trPr>
          <w:trHeight w:val="189"/>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w:t>
            </w:r>
          </w:p>
        </w:tc>
      </w:tr>
      <w:tr>
        <w:trPr>
          <w:trHeight w:val="221"/>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attributable to Civeo Corporation</w:t>
            </w: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(5,091)</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reported net loss attributable to Civeo for the quarter ended September 30, 2024 of $5.1 million, or $0.36 per diluted share, compared to net income attributable to Civeo for the quarter ended September 30, 2023 of $9.0 million, or $0.61 per diluted share. As further discussed below, net income for the quarter ended September 30, 2023 included $4.9 million of expenses associated with the sale of the McClelland Lake Lodge in Canada.</w:t>
      </w:r>
    </w:p>
    <w:p>
      <w:pPr>
        <w:spacing w:after="0" w:line="42" w:lineRule="exact"/>
        <w:rPr>
          <w:sz w:val="20"/>
          <w:szCs w:val="20"/>
          <w:color w:val="auto"/>
        </w:rPr>
      </w:pPr>
    </w:p>
    <w:p>
      <w:pPr>
        <w:jc w:val="both"/>
        <w:ind w:firstLine="470"/>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17"/>
          <w:szCs w:val="17"/>
          <w:color w:val="auto"/>
        </w:rPr>
        <w:t>Consolidated revenues decreased $7.2 million, or 4%, in the third quarter of 2024 compared to the third quarter of 2023. This decrease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primarily due to (i) reduced mobile asset activity from pipeline projects in Canada which were largely completed in 2023, (ii) lower year-over-year occupancy in our oil sands lodges in Canada due to the timing and extent of maintenance activity by our customers, (iii) lower occupancy associated with the sale of the McClelland Lake Lodge in Canada and (iv) lower occupancy at our Sitka Lodge in Canada. These items were partially offset by increased activity at our Civeo owned villages in the Australian Bowen Basin and new business in our integrated services villages in Western Australia. See the discussion of segment results of operations below for further information.</w:t>
      </w:r>
    </w:p>
    <w:p>
      <w:pPr>
        <w:spacing w:after="0" w:line="186" w:lineRule="exact"/>
        <w:rPr>
          <w:sz w:val="20"/>
          <w:szCs w:val="20"/>
          <w:color w:val="auto"/>
        </w:rPr>
      </w:pPr>
    </w:p>
    <w:p>
      <w:pPr>
        <w:jc w:val="both"/>
        <w:ind w:firstLine="470"/>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Cost of Sales and Services. </w:t>
      </w:r>
      <w:r>
        <w:rPr>
          <w:rFonts w:ascii="Times New Roman" w:cs="Times New Roman" w:eastAsia="Times New Roman" w:hAnsi="Times New Roman"/>
          <w:sz w:val="17"/>
          <w:szCs w:val="17"/>
          <w:color w:val="auto"/>
        </w:rPr>
        <w:t>Our consolidated cost of sales and services increased $8.2 million, or 6%, in the third quarter of 2024 compared to the third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quarter of 2023. This increase was primarily due to increased occupancy at our Civeo owned villages in the Australian Bowen Basin and new business in our integrated services villages in Western Australia and the associated overhead costs. These items were partially offset by decreased mobile asset activity from pipeline projects in Canada which were largely completed in 2023 and lower costs at various lodges in Canada due to reduced occupancy levels. See the discussion of segment results of operations below for further information.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09"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Expenses. </w:t>
      </w:r>
      <w:r>
        <w:rPr>
          <w:rFonts w:ascii="Times New Roman" w:cs="Times New Roman" w:eastAsia="Times New Roman" w:hAnsi="Times New Roman"/>
          <w:sz w:val="17"/>
          <w:szCs w:val="17"/>
          <w:color w:val="auto"/>
        </w:rPr>
        <w:t>SG&amp;A expenses decreased $0.6 million, or 3%, in the third quarter of 2024 compared to the third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quarter of 2023. This decrease was primarily due to lower incentive compensation cost of $3.4 million. This item was partially offset by higher compensation expense of $1.1 million and higher professional fees of $1.1 million. The increase in compensation expense was primarily due to increased staff and associated recruitment costs in the third quarter of 2024 compared to the third quarter of 2023.</w:t>
      </w:r>
    </w:p>
    <w:p>
      <w:pPr>
        <w:spacing w:after="0" w:line="100" w:lineRule="exact"/>
        <w:rPr>
          <w:sz w:val="20"/>
          <w:szCs w:val="20"/>
          <w:color w:val="auto"/>
        </w:rPr>
      </w:pPr>
    </w:p>
    <w:p>
      <w:pPr>
        <w:jc w:val="both"/>
        <w:ind w:firstLine="470"/>
        <w:spacing w:after="0" w:line="298"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Expense. </w:t>
      </w:r>
      <w:r>
        <w:rPr>
          <w:rFonts w:ascii="Times New Roman" w:cs="Times New Roman" w:eastAsia="Times New Roman" w:hAnsi="Times New Roman"/>
          <w:sz w:val="17"/>
          <w:szCs w:val="17"/>
          <w:color w:val="auto"/>
        </w:rPr>
        <w:t>Depreciation and amortization expense increased $0.5 million, or 3%, in the third quarter of 2024 compared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third quarter of 2023. The increase was primarily due to additional property, plant and equipment placed in service during 2024.</w:t>
      </w:r>
    </w:p>
    <w:p>
      <w:pPr>
        <w:spacing w:after="0" w:line="76"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Operating Income. </w:t>
      </w:r>
      <w:r>
        <w:rPr>
          <w:rFonts w:ascii="Times New Roman" w:cs="Times New Roman" w:eastAsia="Times New Roman" w:hAnsi="Times New Roman"/>
          <w:sz w:val="17"/>
          <w:szCs w:val="17"/>
          <w:color w:val="auto"/>
        </w:rPr>
        <w:t>Consolidated operating income decreased $16.0 million, or 100%, in the third quarter of 2024 compared to the third quarter of 2023,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primarily due to reduced mobile asset activity and lower lodge occupancy in Canada in the third quarter of 2024 compared to the third quarter of 2023. These items were partially offset by higher activity levels in Australia in the third quarter of 2024 compared to the third quarter of 2023.</w:t>
      </w:r>
    </w:p>
    <w:p>
      <w:pPr>
        <w:spacing w:after="0" w:line="81" w:lineRule="exact"/>
        <w:rPr>
          <w:sz w:val="20"/>
          <w:szCs w:val="20"/>
          <w:color w:val="auto"/>
        </w:rPr>
      </w:pPr>
    </w:p>
    <w:p>
      <w:pPr>
        <w:jc w:val="both"/>
        <w:ind w:firstLine="470"/>
        <w:spacing w:after="0" w:line="298" w:lineRule="auto"/>
        <w:rPr>
          <w:sz w:val="20"/>
          <w:szCs w:val="20"/>
          <w:color w:val="auto"/>
        </w:rPr>
      </w:pPr>
      <w:r>
        <w:rPr>
          <w:rFonts w:ascii="Times New Roman" w:cs="Times New Roman" w:eastAsia="Times New Roman" w:hAnsi="Times New Roman"/>
          <w:sz w:val="17"/>
          <w:szCs w:val="17"/>
          <w:b w:val="1"/>
          <w:bCs w:val="1"/>
          <w:color w:val="auto"/>
        </w:rPr>
        <w:t xml:space="preserve">Interest Expense, net. </w:t>
      </w:r>
      <w:r>
        <w:rPr>
          <w:rFonts w:ascii="Times New Roman" w:cs="Times New Roman" w:eastAsia="Times New Roman" w:hAnsi="Times New Roman"/>
          <w:sz w:val="17"/>
          <w:szCs w:val="17"/>
          <w:color w:val="auto"/>
        </w:rPr>
        <w:t>Net interest expense decreased by $1.6 million, or 50%, in the third quarter of 2024 compared to the third quarter of 2023,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primarily related to lower average debt levels and lower interest rates on credit facility borrowings during 2024 compared to 2023.</w:t>
      </w:r>
    </w:p>
    <w:p>
      <w:pPr>
        <w:spacing w:after="0" w:line="76" w:lineRule="exact"/>
        <w:rPr>
          <w:sz w:val="20"/>
          <w:szCs w:val="20"/>
          <w:color w:val="auto"/>
        </w:rPr>
      </w:pPr>
    </w:p>
    <w:p>
      <w:pPr>
        <w:jc w:val="both"/>
        <w:ind w:firstLine="470"/>
        <w:spacing w:after="0" w:line="298" w:lineRule="auto"/>
        <w:rPr>
          <w:sz w:val="20"/>
          <w:szCs w:val="20"/>
          <w:color w:val="auto"/>
        </w:rPr>
      </w:pPr>
      <w:r>
        <w:rPr>
          <w:rFonts w:ascii="Times New Roman" w:cs="Times New Roman" w:eastAsia="Times New Roman" w:hAnsi="Times New Roman"/>
          <w:sz w:val="17"/>
          <w:szCs w:val="17"/>
          <w:b w:val="1"/>
          <w:bCs w:val="1"/>
          <w:color w:val="auto"/>
        </w:rPr>
        <w:t xml:space="preserve">Other Income (expense). </w:t>
      </w:r>
      <w:r>
        <w:rPr>
          <w:rFonts w:ascii="Times New Roman" w:cs="Times New Roman" w:eastAsia="Times New Roman" w:hAnsi="Times New Roman"/>
          <w:sz w:val="17"/>
          <w:szCs w:val="17"/>
          <w:color w:val="auto"/>
        </w:rPr>
        <w:t>The third quarter of 2023 included expenses of $4.9 million associated with the demobilization of the McClelland Lake Lodge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prepare the assets for sale.</w:t>
      </w:r>
    </w:p>
    <w:p>
      <w:pPr>
        <w:spacing w:after="0" w:line="76"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Income Tax (Expense) Benefit. </w:t>
      </w:r>
      <w:r>
        <w:rPr>
          <w:rFonts w:ascii="Times New Roman" w:cs="Times New Roman" w:eastAsia="Times New Roman" w:hAnsi="Times New Roman"/>
          <w:sz w:val="17"/>
          <w:szCs w:val="17"/>
          <w:color w:val="auto"/>
        </w:rPr>
        <w:t>Our income tax expense for the three months ended September 30, 2024 totaled $3.9 million, or (270.6)% of pretax loss,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an income tax benefit of $1.2 million, or (15.2)% of pretax income, for the three months ended September 30, 2023. Our effective tax rate for the three months ended September 30, 2024 was impacted by Canada and the U.S. being considered loss jurisdictions that were removed from the annual effective tax rate computation for purposes of computing the interim tax provision. Our effective tax rate for the three months ended September 30, 2023 was impacted by considering the U.S. a loss jurisdiction that was removed from the annual effective tax rate computation for purposes of computing the interim tax provision.</w:t>
      </w:r>
    </w:p>
    <w:p>
      <w:pPr>
        <w:spacing w:after="0" w:line="89" w:lineRule="exact"/>
        <w:rPr>
          <w:sz w:val="20"/>
          <w:szCs w:val="20"/>
          <w:color w:val="auto"/>
        </w:rPr>
      </w:pPr>
    </w:p>
    <w:p>
      <w:pPr>
        <w:jc w:val="both"/>
        <w:ind w:firstLine="47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Other Comprehensive Income. </w:t>
      </w:r>
      <w:r>
        <w:rPr>
          <w:rFonts w:ascii="Times New Roman" w:cs="Times New Roman" w:eastAsia="Times New Roman" w:hAnsi="Times New Roman"/>
          <w:sz w:val="17"/>
          <w:szCs w:val="17"/>
          <w:color w:val="auto"/>
        </w:rPr>
        <w:t>Other comprehensive income increased $14.0 million in the third quarter of 2024 compared to the third quarter of 2023,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primarily as a result of foreign currency translation adjustments due to changes in the Canadian and Australian dollar exchange rates compared to the U.S. dollar. The Canadian dollar exchange rate compared to the U.S. dollar increased 1% in the third quarter of 2024 compared to a 2% decrease in the third quarter of 2023. The Australian dollar exchange rate compared to the U.S. dollar increased 4% in the third quarter of 2024 compared to a 3% decrease in the third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Canadian Segment</w:t>
      </w:r>
    </w:p>
    <w:p>
      <w:pPr>
        <w:spacing w:after="0" w:line="3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9"/>
        </w:trPr>
        <w:tc>
          <w:tcPr>
            <w:tcW w:w="48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8"/>
        </w:trPr>
        <w:tc>
          <w:tcPr>
            <w:tcW w:w="48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5"/>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 in thousands)</w:t>
            </w:r>
          </w:p>
        </w:tc>
        <w:tc>
          <w:tcPr>
            <w:tcW w:w="1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9"/>
                <w:szCs w:val="9"/>
                <w:color w:val="auto"/>
              </w:rPr>
              <w:t>(1)</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48,747</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71,417</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(22,670)</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Mobile facility rental revenue </w:t>
            </w:r>
            <w:r>
              <w:rPr>
                <w:rFonts w:ascii="Times New Roman" w:cs="Times New Roman" w:eastAsia="Times New Roman" w:hAnsi="Times New Roman"/>
                <w:sz w:val="9"/>
                <w:szCs w:val="9"/>
                <w:color w:val="auto"/>
              </w:rPr>
              <w:t>(2)</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17,314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(17,191)</w:t>
            </w:r>
          </w:p>
        </w:tc>
      </w:tr>
      <w:tr>
        <w:trPr>
          <w:trHeight w:val="189"/>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9"/>
                <w:szCs w:val="9"/>
                <w:color w:val="auto"/>
              </w:rPr>
              <w:t>(3)</w:t>
            </w: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8,866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6,413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2,453</w:t>
            </w:r>
          </w:p>
        </w:tc>
      </w:tr>
      <w:tr>
        <w:trPr>
          <w:trHeight w:val="196"/>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1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57,736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95,144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(37,408)</w:t>
            </w:r>
          </w:p>
        </w:tc>
      </w:tr>
      <w:tr>
        <w:trPr>
          <w:trHeight w:val="144"/>
        </w:trPr>
        <w:tc>
          <w:tcPr>
            <w:tcW w:w="4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9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Accommodation cost</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38,762</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46,063</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(7,301)</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Mobile facility rental cost</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11,636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(11,275)</w:t>
            </w: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8,385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5,867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2,518</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Indirect other costs</w:t>
            </w:r>
          </w:p>
        </w:tc>
        <w:tc>
          <w:tcPr>
            <w:tcW w:w="1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2,544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2,406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138</w:t>
            </w:r>
          </w:p>
        </w:tc>
      </w:tr>
      <w:tr>
        <w:trPr>
          <w:trHeight w:val="182"/>
        </w:trPr>
        <w:tc>
          <w:tcPr>
            <w:tcW w:w="4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50,052</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65,972</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(15,920)</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Average daily rate for lodges </w:t>
            </w:r>
            <w:r>
              <w:rPr>
                <w:rFonts w:ascii="Times New Roman" w:cs="Times New Roman" w:eastAsia="Times New Roman" w:hAnsi="Times New Roman"/>
                <w:sz w:val="9"/>
                <w:szCs w:val="9"/>
                <w:color w:val="auto"/>
              </w:rPr>
              <w:t>(4)</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Total billed rooms for lodges </w:t>
            </w:r>
            <w:r>
              <w:rPr>
                <w:rFonts w:ascii="Times New Roman" w:cs="Times New Roman" w:eastAsia="Times New Roman" w:hAnsi="Times New Roman"/>
                <w:sz w:val="9"/>
                <w:szCs w:val="9"/>
                <w:color w:val="auto"/>
              </w:rPr>
              <w:t>(5)</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483,767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726,364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(242,597)</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Average Canadian dollar to U.S. dollar</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0.733</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0.746</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(0.013)</w:t>
            </w:r>
          </w:p>
        </w:tc>
      </w:tr>
    </w:tbl>
    <w:p>
      <w:pPr>
        <w:spacing w:after="0" w:line="285" w:lineRule="exact"/>
        <w:rPr>
          <w:sz w:val="20"/>
          <w:szCs w:val="20"/>
          <w:color w:val="auto"/>
        </w:rPr>
      </w:pPr>
    </w:p>
    <w:p>
      <w:pPr>
        <w:ind w:left="300" w:hanging="295"/>
        <w:spacing w:after="0"/>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lodge rooms and hospitality services for owned rooms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mobile assets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laundry and water and wastewater treatment services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represents total billed days for owned assets for the periods presented.</w:t>
      </w:r>
    </w:p>
    <w:p>
      <w:pPr>
        <w:spacing w:after="0" w:line="21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Canadian segment reported revenues in the third quarter of 2024 that were $37.4 million, or 39%, lower than the third quarter of 2023. The revenue decrease was driven by (i) reduced mobile asset activity from pipeline projects which were largely completed in 2023, (ii) lower occupancy associated with the sale of the McClelland Lake Lodge and (iii) lower year-over-year occupancy in our oil sands lodges due to the timing and extent of maintenance activity by our customers. In addition, our Sitka Lodge had lower occupancy as the Kitimat LNG facility nears completion.</w:t>
      </w:r>
    </w:p>
    <w:p>
      <w:pPr>
        <w:spacing w:after="0" w:line="19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Canadian segment cost of sales and services decreased $15.9 million, or 24%, in the third quarter of 2024 compared to the third quarter of 2023. The cost of sales and services decrease was driven by lower costs related to reduced mobile asset activity from pipeline projects which were largely completed in 2023 and lower costs at various lodges due to reduced occupancy levels.</w:t>
      </w:r>
    </w:p>
    <w:p>
      <w:pPr>
        <w:spacing w:after="0" w:line="188"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Canadian segment gross margin as a percentage of revenues decreased from 30.7% in the third quarter of 2023 to 13.3% in the third quarter of 2024. This was primarily driven by lower margins at our lodges due to reduced efficiencies at lower occupancy level and reduced mobile asset activity from pipeline projects which were largely completed in 2023.</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Australian Segment</w:t>
      </w:r>
    </w:p>
    <w:p>
      <w:pPr>
        <w:spacing w:after="0" w:line="3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7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 in thousands)</w:t>
            </w:r>
          </w:p>
        </w:tc>
        <w:tc>
          <w:tcPr>
            <w:tcW w:w="1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6"/>
        </w:trPr>
        <w:tc>
          <w:tcPr>
            <w:tcW w:w="4720" w:type="dxa"/>
            <w:vAlign w:val="bottom"/>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18"/>
                <w:szCs w:val="18"/>
                <w:color w:val="auto"/>
                <w:vertAlign w:val="superscript"/>
              </w:rPr>
              <w:t>(1)</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51,370</w:t>
            </w:r>
          </w:p>
        </w:tc>
        <w:tc>
          <w:tcPr>
            <w:tcW w:w="100" w:type="dxa"/>
            <w:vAlign w:val="bottom"/>
          </w:tcPr>
          <w:p>
            <w:pPr>
              <w:spacing w:after="0"/>
              <w:rPr>
                <w:sz w:val="17"/>
                <w:szCs w:val="17"/>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46,012</w:t>
            </w:r>
          </w:p>
        </w:tc>
        <w:tc>
          <w:tcPr>
            <w:tcW w:w="100" w:type="dxa"/>
            <w:vAlign w:val="bottom"/>
          </w:tcPr>
          <w:p>
            <w:pPr>
              <w:spacing w:after="0"/>
              <w:rPr>
                <w:sz w:val="17"/>
                <w:szCs w:val="17"/>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5,358</w:t>
            </w:r>
          </w:p>
        </w:tc>
      </w:tr>
      <w:tr>
        <w:trPr>
          <w:trHeight w:val="196"/>
        </w:trPr>
        <w:tc>
          <w:tcPr>
            <w:tcW w:w="472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18"/>
                <w:szCs w:val="18"/>
                <w:color w:val="auto"/>
                <w:vertAlign w:val="superscript"/>
              </w:rPr>
              <w:t>(2)</w:t>
            </w:r>
          </w:p>
        </w:tc>
        <w:tc>
          <w:tcPr>
            <w:tcW w:w="1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65,252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41,873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23,379</w:t>
            </w:r>
          </w:p>
        </w:tc>
      </w:tr>
      <w:tr>
        <w:trPr>
          <w:trHeight w:val="182"/>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116,622</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87,885</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28,737</w:t>
            </w:r>
          </w:p>
        </w:tc>
      </w:tr>
      <w:tr>
        <w:trPr>
          <w:trHeight w:val="216"/>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Accommodation cost</w:t>
            </w:r>
          </w:p>
        </w:tc>
        <w:tc>
          <w:tcPr>
            <w:tcW w:w="110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24,783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22,404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2,379</w:t>
            </w:r>
          </w:p>
        </w:tc>
      </w:tr>
      <w:tr>
        <w:trPr>
          <w:trHeight w:val="189"/>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100" w:type="dxa"/>
            <w:vAlign w:val="bottom"/>
          </w:tcPr>
          <w:p>
            <w:pPr>
              <w:spacing w:after="0"/>
              <w:rPr>
                <w:sz w:val="16"/>
                <w:szCs w:val="16"/>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58,787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38,898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19,889</w:t>
            </w:r>
          </w:p>
        </w:tc>
      </w:tr>
      <w:tr>
        <w:trPr>
          <w:trHeight w:val="20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Indirect other cost</w:t>
            </w:r>
          </w:p>
        </w:tc>
        <w:tc>
          <w:tcPr>
            <w:tcW w:w="1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3,497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2,293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1,204</w:t>
            </w:r>
          </w:p>
        </w:tc>
      </w:tr>
      <w:tr>
        <w:trPr>
          <w:trHeight w:val="182"/>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87,067</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63,595</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23,472</w:t>
            </w:r>
          </w:p>
        </w:tc>
      </w:tr>
      <w:tr>
        <w:trPr>
          <w:trHeight w:val="216"/>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16"/>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6"/>
        </w:trPr>
        <w:tc>
          <w:tcPr>
            <w:tcW w:w="47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Average daily rate for villages </w:t>
            </w:r>
            <w:r>
              <w:rPr>
                <w:rFonts w:ascii="Times New Roman" w:cs="Times New Roman" w:eastAsia="Times New Roman" w:hAnsi="Times New Roman"/>
                <w:sz w:val="18"/>
                <w:szCs w:val="18"/>
                <w:color w:val="auto"/>
                <w:vertAlign w:val="superscript"/>
              </w:rPr>
              <w:t>(3)</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7"/>
                <w:szCs w:val="17"/>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7"/>
                <w:szCs w:val="17"/>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w:t>
            </w:r>
          </w:p>
        </w:tc>
      </w:tr>
      <w:tr>
        <w:trPr>
          <w:trHeight w:val="209"/>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6"/>
        </w:trPr>
        <w:tc>
          <w:tcPr>
            <w:tcW w:w="47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Total billed rooms for villages </w:t>
            </w:r>
            <w:r>
              <w:rPr>
                <w:rFonts w:ascii="Times New Roman" w:cs="Times New Roman" w:eastAsia="Times New Roman" w:hAnsi="Times New Roman"/>
                <w:sz w:val="18"/>
                <w:szCs w:val="18"/>
                <w:color w:val="auto"/>
                <w:vertAlign w:val="superscript"/>
              </w:rPr>
              <w:t>(4)</w:t>
            </w:r>
          </w:p>
        </w:tc>
        <w:tc>
          <w:tcPr>
            <w:tcW w:w="1100" w:type="dxa"/>
            <w:vAlign w:val="bottom"/>
          </w:tcPr>
          <w:p>
            <w:pPr>
              <w:spacing w:after="0"/>
              <w:rPr>
                <w:sz w:val="17"/>
                <w:szCs w:val="17"/>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647,358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623,436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23,922</w:t>
            </w:r>
          </w:p>
        </w:tc>
      </w:tr>
      <w:tr>
        <w:trPr>
          <w:trHeight w:val="209"/>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Australian dollar to U.S. dollar</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0.670</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0.655</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0.015</w:t>
            </w:r>
          </w:p>
        </w:tc>
      </w:tr>
    </w:tbl>
    <w:p>
      <w:pPr>
        <w:spacing w:after="0" w:line="200" w:lineRule="exact"/>
        <w:rPr>
          <w:sz w:val="20"/>
          <w:szCs w:val="20"/>
          <w:color w:val="auto"/>
        </w:rPr>
      </w:pPr>
    </w:p>
    <w:p>
      <w:pPr>
        <w:spacing w:after="0" w:line="307" w:lineRule="exact"/>
        <w:rPr>
          <w:sz w:val="20"/>
          <w:szCs w:val="20"/>
          <w:color w:val="auto"/>
        </w:rPr>
      </w:pPr>
    </w:p>
    <w:p>
      <w:pPr>
        <w:ind w:left="300" w:hanging="295"/>
        <w:spacing w:after="0"/>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village rooms and hospitality services for owned rooms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and other services, including facilities management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 total billed days for owned assets for the periods presented.</w:t>
      </w:r>
    </w:p>
    <w:p>
      <w:pPr>
        <w:spacing w:after="0" w:line="217"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Our Australian segment reported revenues in the third quarter of 2024 that were $28.7 million, or 33%, higher than the third quarter of 2023. The strengthening of the average exchange rate for Australian dollars relative to the U.S. dollar by 2.3% in the third quarter of 2024 compared to the third quarter of 2023 resulted in a $2.5 million period-over-period increase in revenues. On a constant currency basis, the Australian segment experienced a 30% period-over-period increase in revenues. Excluding the impact of the stronger Australian exchange rate, the increase in the Australian segment was driven by increased activity at our Civeo owned villages in the Bowen Basin and new business in our integrated services villages in Western Australia. Billed rooms in Civeo owned villages were up 3.8% in the third quarter of 2024 due to increased activity in the Bowen Basin coupled with recent contract renewals and extensions.</w:t>
      </w:r>
    </w:p>
    <w:p>
      <w:pPr>
        <w:spacing w:after="0" w:line="200"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Our Australian segment cost of sales and services increased $23.5 million, or 37%, in the third quarter of 2024 compared to the third quarter of 2023. The strengthening of the average exchange rate for Australian dollars relative to the U.S. dollar by 2.3% in the third quarter of 2024 compared to the third quarter of 2023 resulted in a $1.9 million period-over-period increase in cost of sales and services. Excluding the impact of the stronger Australian exchange rate, the increase in cost of sales and services in the Australian segment was largely driven by increased occupancy at our Civeo owned villages in the Bowen Basin and new business in our integrated services villages in Western Australia and the associated overhead costs.</w:t>
      </w:r>
    </w:p>
    <w:p>
      <w:pPr>
        <w:spacing w:after="0" w:line="19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Australian segment gross margin as a percentage of revenues decreased to 25.3% in the third quarter of 2024 from 27.6% in the third quarter of 2023. This was primarily driven by an increased relative revenue contribution from our integrated services business, which has a service-only business model, and generates lower overall gross margins than our accommodation business. The reduced gross margin was partially offset by improved profitability across the integrated services villages in the third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 – Nine Months Ended September 30, 2024 Compared to Nine Months Ended September 30, 2023</w:t>
      </w:r>
    </w:p>
    <w:p>
      <w:pPr>
        <w:spacing w:after="0" w:line="33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3"/>
        </w:trPr>
        <w:tc>
          <w:tcPr>
            <w:tcW w:w="5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4"/>
        </w:trPr>
        <w:tc>
          <w:tcPr>
            <w:tcW w:w="5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5"/>
        </w:trPr>
        <w:tc>
          <w:tcPr>
            <w:tcW w:w="5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204,423</w:t>
            </w:r>
          </w:p>
        </w:tc>
        <w:tc>
          <w:tcPr>
            <w:tcW w:w="100" w:type="dxa"/>
            <w:vAlign w:val="bottom"/>
          </w:tcPr>
          <w:p>
            <w:pPr>
              <w:spacing w:after="0"/>
              <w:rPr>
                <w:sz w:val="16"/>
                <w:szCs w:val="16"/>
                <w:color w:val="auto"/>
              </w:rPr>
            </w:pP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280,067</w:t>
            </w:r>
          </w:p>
        </w:tc>
        <w:tc>
          <w:tcPr>
            <w:tcW w:w="12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(75,644)</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316,967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247,418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69,549</w:t>
            </w:r>
          </w:p>
        </w:tc>
      </w:tr>
      <w:tr>
        <w:trPr>
          <w:trHeight w:val="189"/>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7,260</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531,171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530,006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w:t>
            </w:r>
          </w:p>
        </w:tc>
      </w:tr>
      <w:tr>
        <w:trPr>
          <w:trHeight w:val="18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166,158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(45,564)</w:t>
            </w:r>
          </w:p>
        </w:tc>
      </w:tr>
      <w:tr>
        <w:trPr>
          <w:trHeight w:val="203"/>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234,217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180,448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53,769</w:t>
            </w:r>
          </w:p>
        </w:tc>
      </w:tr>
      <w:tr>
        <w:trPr>
          <w:trHeight w:val="189"/>
        </w:trPr>
        <w:tc>
          <w:tcPr>
            <w:tcW w:w="5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9,446</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6,381</w:t>
            </w:r>
          </w:p>
        </w:tc>
      </w:tr>
      <w:tr>
        <w:trPr>
          <w:trHeight w:val="196"/>
        </w:trPr>
        <w:tc>
          <w:tcPr>
            <w:tcW w:w="5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409,821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395,235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14,586</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55,708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52,885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2,823</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59,277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(8,008)</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expense</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7,823</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on sale of McClelland Lake Lodge assets, net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(5,817)</w:t>
            </w:r>
          </w:p>
        </w:tc>
      </w:tr>
      <w:tr>
        <w:trPr>
          <w:trHeight w:val="189"/>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operating expense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519,796</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507,699</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12,097</w:t>
            </w:r>
          </w:p>
        </w:tc>
      </w:tr>
      <w:tr>
        <w:trPr>
          <w:trHeight w:val="182"/>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(10,932)</w:t>
            </w:r>
          </w:p>
        </w:tc>
      </w:tr>
      <w:tr>
        <w:trPr>
          <w:trHeight w:val="216"/>
        </w:trPr>
        <w:tc>
          <w:tcPr>
            <w:tcW w:w="5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8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w:t>
            </w:r>
          </w:p>
        </w:tc>
      </w:tr>
      <w:tr>
        <w:trPr>
          <w:trHeight w:val="20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w:t>
            </w:r>
          </w:p>
        </w:tc>
      </w:tr>
      <w:tr>
        <w:trPr>
          <w:trHeight w:val="182"/>
        </w:trPr>
        <w:tc>
          <w:tcPr>
            <w:tcW w:w="5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w:t>
            </w:r>
          </w:p>
        </w:tc>
      </w:tr>
      <w:tr>
        <w:trPr>
          <w:trHeight w:val="20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(9,199)</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(2,897)</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w:t>
            </w:r>
          </w:p>
        </w:tc>
      </w:tr>
      <w:tr>
        <w:trPr>
          <w:trHeight w:val="182"/>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(10,077)</w:t>
            </w:r>
          </w:p>
        </w:tc>
      </w:tr>
      <w:tr>
        <w:trPr>
          <w:trHeight w:val="196"/>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Net loss attributable to noncontrolling interest</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r>
      <w:tr>
        <w:trPr>
          <w:trHeight w:val="196"/>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attributable to Civeo Corporation</w:t>
            </w: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7,132</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(9,129)</w:t>
            </w:r>
          </w:p>
        </w:tc>
      </w:tr>
      <w:tr>
        <w:trPr>
          <w:trHeight w:val="20"/>
        </w:trPr>
        <w:tc>
          <w:tcPr>
            <w:tcW w:w="5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reported net loss attributable to Civeo for nine months ended September 30, 2024 of $2.0 million, or $0.14 per diluted share. As further discussed below, net loss included $5.8 million of net gains associated with the sale of the McClelland Lake Lodge in Canada and a $7.8 million pre-tax loss resulting from the impairment of fixed assets included in Impairment expense.</w:t>
      </w:r>
    </w:p>
    <w:p>
      <w:pPr>
        <w:spacing w:after="0" w:line="5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We reported net income attributable to Civeo for the nine months ended September 30, 2023 of $7.1 million, or $0.47 per diluted share. As further discussed below, net income included $4.9 million of expenses associated with the sale of the McClelland Lake Lodge in Canada.</w:t>
      </w:r>
    </w:p>
    <w:p>
      <w:pPr>
        <w:spacing w:after="0" w:line="40"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17"/>
          <w:szCs w:val="17"/>
          <w:color w:val="auto"/>
        </w:rPr>
        <w:t>Consolidated revenues increased $1.2 million, or 0.2%, in the nine months ended September 30, 2024 compared to the nine months 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September 30, 2023. This increase was primarily due to increased activity at our Civeo owned villages in the Australian Bowen Basin and new business in our integrated services villages in Western Australia. These items were partially offset by decreased mobile asset activity from pipeline projects in Canada which were largely completed in 2023 and lower year-over-year occupancy at certain lodges in Canada in the nine months ended September 30, 2024 compared to the nine months ended September 30, 2023. See the discussion of segment results of operations below for further information.</w:t>
      </w:r>
    </w:p>
    <w:p>
      <w:pPr>
        <w:spacing w:after="0" w:line="180" w:lineRule="exact"/>
        <w:rPr>
          <w:sz w:val="20"/>
          <w:szCs w:val="20"/>
          <w:color w:val="auto"/>
        </w:rPr>
      </w:pPr>
    </w:p>
    <w:p>
      <w:pPr>
        <w:jc w:val="both"/>
        <w:ind w:firstLine="470"/>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Cost of Sales and Services. </w:t>
      </w:r>
      <w:r>
        <w:rPr>
          <w:rFonts w:ascii="Times New Roman" w:cs="Times New Roman" w:eastAsia="Times New Roman" w:hAnsi="Times New Roman"/>
          <w:sz w:val="17"/>
          <w:szCs w:val="17"/>
          <w:color w:val="auto"/>
        </w:rPr>
        <w:t>Our consolidated cost of sales and services increased $14.6 million, or 4%, in the nine months ended September 30, 2024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the nine months ended September 30, 2023. This increase was primarily due to increased occupancy at our Civeo owned villages in our Australian Bowen Basin and new business in our integrated services villages in Western Australia and the associated overhead costs. These items were partially offset by the decrease in cost of sales and services largely driven by reduced mobile asset activity from pipeline projects in Canada which were largely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completed in 2023 and lower costs at certain lodges in Canada in the nine months ended September 30, 2024 compared to the nine months ended September 30, 2023. See the discussion of segment results of operations below for further information.</w:t>
      </w:r>
    </w:p>
    <w:p>
      <w:pPr>
        <w:spacing w:after="0" w:line="92"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Expenses. </w:t>
      </w:r>
      <w:r>
        <w:rPr>
          <w:rFonts w:ascii="Times New Roman" w:cs="Times New Roman" w:eastAsia="Times New Roman" w:hAnsi="Times New Roman"/>
          <w:sz w:val="17"/>
          <w:szCs w:val="17"/>
          <w:color w:val="auto"/>
        </w:rPr>
        <w:t>SG&amp;A expenses increased $2.8 million, or 5%, in the nine months ended September 30, 2024 compared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nine months ended September 30, 2023. This increase was primarily due to higher compensation expense of $4.1 million, higher travel and entertainment costs of $1.1 million and higher professional fees of $1.8 million. The increase in compensation expense was primarily due to $1.1 million in severance costs related to the departure of our former Chief Financial Officer, other severance costs and increased staff and associated recruitment costs. These items were partially offset by lower incentive compensation costs of $3.5 million, lower share-based compensation expense of $1.2 million and a weaker Australian and Canadian dollar relative to the U.S. dollar in the nine months ended September 30, 2024 compared to the nine months ended September 30, 2023. The decrease in share-based compensation expense was primarily due to forfeitures and reduced performance share expense due to a lower probability of achieving performance criteria during 2024 compared to 2023, partially offset by the changes in our share price during 2024 compared to 2023.</w:t>
      </w:r>
    </w:p>
    <w:p>
      <w:pPr>
        <w:spacing w:after="0" w:line="96"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Expense. </w:t>
      </w:r>
      <w:r>
        <w:rPr>
          <w:rFonts w:ascii="Times New Roman" w:cs="Times New Roman" w:eastAsia="Times New Roman" w:hAnsi="Times New Roman"/>
          <w:sz w:val="17"/>
          <w:szCs w:val="17"/>
          <w:color w:val="auto"/>
        </w:rPr>
        <w:t>Depreciation and amortization expense decreased $8.0 million, or 14%, in nine months ended September 30,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2024 compared to the nine months ended September 30, 2023. The decrease was primarily due to certain assets becoming fully depreciated in Canada, including the McClelland Lake Lodge, in the nine months ended September 30, 2023 and lower depreciation and amortization expense due to a weaker Australian and Canadian dollar relative to the U.S. dollar in the nine months ended September 30, 2024 compared to the nine months ended September 30, 2023. These items were partially offset by higher depreciation and amortization expense due to additional property, plant and equipment placed in service during 2024.</w:t>
      </w:r>
    </w:p>
    <w:p>
      <w:pPr>
        <w:spacing w:after="0" w:line="102" w:lineRule="exact"/>
        <w:rPr>
          <w:sz w:val="20"/>
          <w:szCs w:val="20"/>
          <w:color w:val="auto"/>
        </w:rPr>
      </w:pPr>
    </w:p>
    <w:p>
      <w:pPr>
        <w:jc w:val="both"/>
        <w:ind w:firstLine="470"/>
        <w:spacing w:after="0" w:line="298" w:lineRule="auto"/>
        <w:rPr>
          <w:sz w:val="20"/>
          <w:szCs w:val="20"/>
          <w:color w:val="auto"/>
        </w:rPr>
      </w:pPr>
      <w:r>
        <w:rPr>
          <w:rFonts w:ascii="Times New Roman" w:cs="Times New Roman" w:eastAsia="Times New Roman" w:hAnsi="Times New Roman"/>
          <w:sz w:val="17"/>
          <w:szCs w:val="17"/>
          <w:b w:val="1"/>
          <w:bCs w:val="1"/>
          <w:color w:val="auto"/>
        </w:rPr>
        <w:t xml:space="preserve">Impairment Expense. </w:t>
      </w:r>
      <w:r>
        <w:rPr>
          <w:rFonts w:ascii="Times New Roman" w:cs="Times New Roman" w:eastAsia="Times New Roman" w:hAnsi="Times New Roman"/>
          <w:sz w:val="17"/>
          <w:szCs w:val="17"/>
          <w:color w:val="auto"/>
        </w:rPr>
        <w:t>We recorded pre-tax impairment expense of $7.8 million in nine months ended September 30, 2024 associated with long-lived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assets in Australia and the U.S.</w:t>
      </w:r>
    </w:p>
    <w:p>
      <w:pPr>
        <w:spacing w:after="0" w:line="78"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See Note 3 - Impairment Charges to the notes to the unaudited consolidated financial statements included in Item 1 of this quarterly report for further discussion.</w:t>
      </w:r>
    </w:p>
    <w:p>
      <w:pPr>
        <w:spacing w:after="0" w:line="66" w:lineRule="exact"/>
        <w:rPr>
          <w:sz w:val="20"/>
          <w:szCs w:val="20"/>
          <w:color w:val="auto"/>
        </w:rPr>
      </w:pPr>
    </w:p>
    <w:p>
      <w:pPr>
        <w:jc w:val="both"/>
        <w:ind w:firstLine="470"/>
        <w:spacing w:after="0" w:line="298" w:lineRule="auto"/>
        <w:rPr>
          <w:sz w:val="20"/>
          <w:szCs w:val="20"/>
          <w:color w:val="auto"/>
        </w:rPr>
      </w:pPr>
      <w:r>
        <w:rPr>
          <w:rFonts w:ascii="Times New Roman" w:cs="Times New Roman" w:eastAsia="Times New Roman" w:hAnsi="Times New Roman"/>
          <w:sz w:val="17"/>
          <w:szCs w:val="17"/>
          <w:b w:val="1"/>
          <w:bCs w:val="1"/>
          <w:color w:val="auto"/>
        </w:rPr>
        <w:t xml:space="preserve">Gain on Sale of McClelland Lake Lodge Assets, net. </w:t>
      </w:r>
      <w:r>
        <w:rPr>
          <w:rFonts w:ascii="Times New Roman" w:cs="Times New Roman" w:eastAsia="Times New Roman" w:hAnsi="Times New Roman"/>
          <w:sz w:val="17"/>
          <w:szCs w:val="17"/>
          <w:color w:val="auto"/>
        </w:rPr>
        <w:t>We recorded $5.8 million in net gains associated with the sale of the McClelland Lake Lodge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nine months ended September 30, 2024.</w:t>
      </w:r>
    </w:p>
    <w:p>
      <w:pPr>
        <w:spacing w:after="0" w:line="76" w:lineRule="exact"/>
        <w:rPr>
          <w:sz w:val="20"/>
          <w:szCs w:val="20"/>
          <w:color w:val="auto"/>
        </w:rPr>
      </w:pPr>
    </w:p>
    <w:p>
      <w:pPr>
        <w:jc w:val="both"/>
        <w:ind w:firstLine="47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Operating Income. </w:t>
      </w:r>
      <w:r>
        <w:rPr>
          <w:rFonts w:ascii="Times New Roman" w:cs="Times New Roman" w:eastAsia="Times New Roman" w:hAnsi="Times New Roman"/>
          <w:sz w:val="17"/>
          <w:szCs w:val="17"/>
          <w:color w:val="auto"/>
        </w:rPr>
        <w:t>Consolidated operating income decreased $10.9 million, or 49%, in the nine months ended September 30, 2024 compared to the nine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months ended September 30, 2023, primarily due to reduced mobile asset activity and lower lodge occupancy in Canada and impairment expenses in the nine months ended September 30, 2024 compared to the nine months ended September 30, 2023. These items were partially offset by higher activity levels in Australia and lower depreciation and amortization expense in the nine months ended September 30, 2024 compared to the nine months ended September 30, 2023.</w:t>
      </w:r>
    </w:p>
    <w:p>
      <w:pPr>
        <w:spacing w:after="0" w:line="316"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Interest Expense, net. </w:t>
      </w:r>
      <w:r>
        <w:rPr>
          <w:rFonts w:ascii="Times New Roman" w:cs="Times New Roman" w:eastAsia="Times New Roman" w:hAnsi="Times New Roman"/>
          <w:sz w:val="17"/>
          <w:szCs w:val="17"/>
          <w:color w:val="auto"/>
        </w:rPr>
        <w:t>Net interest expense decreased by $4.4 million, or 42%, in the nine months ended September 30, 2024 compared to the nine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months ended September 30, 2023, primarily related to lower average debt levels during 2024 compared to 2023, which decreased approximately 51%, partially offset by higher interest rates on credit facility borrowings.</w:t>
      </w:r>
    </w:p>
    <w:p>
      <w:pPr>
        <w:spacing w:after="0" w:line="81"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Other Income. </w:t>
      </w:r>
      <w:r>
        <w:rPr>
          <w:rFonts w:ascii="Times New Roman" w:cs="Times New Roman" w:eastAsia="Times New Roman" w:hAnsi="Times New Roman"/>
          <w:sz w:val="17"/>
          <w:szCs w:val="17"/>
          <w:color w:val="auto"/>
        </w:rPr>
        <w:t>Consolidated other income increased $2.8 million in the nine months ended September 30, 2024 compared to the nine months 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September 30, 2023, primarily due to expenses of $4.9 million associated with the demobilization of the McClelland Lake Lodge to prepare the assets for sale, partially offset by higher gain on the sale of assets related to the sale of our Louisiana accommodation assets in the U.S. in the nine months ended September 30, 2023.</w:t>
      </w:r>
    </w:p>
    <w:p>
      <w:pPr>
        <w:spacing w:after="0" w:line="100"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color w:val="auto"/>
        </w:rPr>
        <w:t>Our income tax expense for the nine months ended September 30, 2024 totaled $9.2 million, or 148.3% of pretax income,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an income tax expense of $2.9 million, or 29.0% of pretax income, for the nine months ended September 30, 2023. Our effective tax rate for the nine months ended September 30, 2024 was impacted by Canada and the U.S. being considered loss jurisdictions that were removed from the annual effective tax rate computation for purposes of computing the interim tax provision. Our effective tax rate for the nine months ended September 30, 2023 was impacted by considering the U.S. a loss jurisdiction that was removed from the annual effective tax rate computation for purposes of computing the interim tax provision.</w:t>
      </w:r>
    </w:p>
    <w:p>
      <w:pPr>
        <w:spacing w:after="0" w:line="102"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Other Comprehensive Loss. </w:t>
      </w:r>
      <w:r>
        <w:rPr>
          <w:rFonts w:ascii="Times New Roman" w:cs="Times New Roman" w:eastAsia="Times New Roman" w:hAnsi="Times New Roman"/>
          <w:sz w:val="17"/>
          <w:szCs w:val="17"/>
          <w:color w:val="auto"/>
        </w:rPr>
        <w:t>Other comprehensive loss decreased $5.5 million in the nine months ended September 30, 2024 compared to the nine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months ended September 30, 2023, primarily as a result of foreign currency translation adjustments due to changes in the Canadian and Australian dollar exchange rates compared to the U.S. dollar. The Canadian dollar exchange rate compared to the U.S. dollar decreased 2% in the nine months ended September 30, 2024 compared to a 0.2% increase in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1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the nine months ended September 30, 2023. The Australian dollar exchange rate compared to the U.S. dollar increased 2% in the nine months ended September 30, 2024 compared to a 5% decrease in the nine months ended September 30,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Canadian Segment</w:t>
      </w:r>
    </w:p>
    <w:p>
      <w:pPr>
        <w:spacing w:after="0" w:line="3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3"/>
        </w:trPr>
        <w:tc>
          <w:tcPr>
            <w:tcW w:w="4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4"/>
        </w:trPr>
        <w:tc>
          <w:tcPr>
            <w:tcW w:w="48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8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69"/>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 in thousands)</w:t>
            </w:r>
          </w:p>
        </w:tc>
        <w:tc>
          <w:tcPr>
            <w:tcW w:w="10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9"/>
                <w:szCs w:val="9"/>
                <w:color w:val="auto"/>
              </w:rPr>
              <w:t>(1)</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180,793</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208,000</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(27,207)</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Mobile facility rental revenue </w:t>
            </w:r>
            <w:r>
              <w:rPr>
                <w:rFonts w:ascii="Times New Roman" w:cs="Times New Roman" w:eastAsia="Times New Roman" w:hAnsi="Times New Roman"/>
                <w:sz w:val="9"/>
                <w:szCs w:val="9"/>
                <w:color w:val="auto"/>
              </w:rPr>
              <w:t>(2)</w:t>
            </w: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54,752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(53,279)</w:t>
            </w:r>
          </w:p>
        </w:tc>
      </w:tr>
      <w:tr>
        <w:trPr>
          <w:trHeight w:val="189"/>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9"/>
                <w:szCs w:val="9"/>
                <w:color w:val="auto"/>
              </w:rPr>
              <w:t>(3)</w:t>
            </w:r>
          </w:p>
        </w:tc>
        <w:tc>
          <w:tcPr>
            <w:tcW w:w="1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22,157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17,315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4,842</w:t>
            </w:r>
          </w:p>
        </w:tc>
      </w:tr>
      <w:tr>
        <w:trPr>
          <w:trHeight w:val="196"/>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0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204,423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280,067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(75,644)</w:t>
            </w:r>
          </w:p>
        </w:tc>
      </w:tr>
      <w:tr>
        <w:trPr>
          <w:trHeight w:val="144"/>
        </w:trPr>
        <w:tc>
          <w:tcPr>
            <w:tcW w:w="4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9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Accommodation cost</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132,679</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150,592</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(17,913)</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Mobile facility rental cost</w:t>
            </w: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37,736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(33,323)</w:t>
            </w: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08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20,839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15,701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5,138</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Indirect other costs</w:t>
            </w:r>
          </w:p>
        </w:tc>
        <w:tc>
          <w:tcPr>
            <w:tcW w:w="10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8,227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7,693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534</w:t>
            </w:r>
          </w:p>
        </w:tc>
      </w:tr>
      <w:tr>
        <w:trPr>
          <w:trHeight w:val="182"/>
        </w:trPr>
        <w:tc>
          <w:tcPr>
            <w:tcW w:w="4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166,158</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211,722</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(45,564)</w:t>
            </w:r>
          </w:p>
        </w:tc>
      </w:tr>
      <w:tr>
        <w:trPr>
          <w:trHeight w:val="151"/>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0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51"/>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Average daily rate for lodges </w:t>
            </w:r>
            <w:r>
              <w:rPr>
                <w:rFonts w:ascii="Times New Roman" w:cs="Times New Roman" w:eastAsia="Times New Roman" w:hAnsi="Times New Roman"/>
                <w:sz w:val="9"/>
                <w:szCs w:val="9"/>
                <w:color w:val="auto"/>
              </w:rPr>
              <w:t>(4)</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w:t>
            </w:r>
          </w:p>
        </w:tc>
      </w:tr>
      <w:tr>
        <w:trPr>
          <w:trHeight w:val="151"/>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Total billed rooms for lodges </w:t>
            </w:r>
            <w:r>
              <w:rPr>
                <w:rFonts w:ascii="Times New Roman" w:cs="Times New Roman" w:eastAsia="Times New Roman" w:hAnsi="Times New Roman"/>
                <w:sz w:val="9"/>
                <w:szCs w:val="9"/>
                <w:color w:val="auto"/>
              </w:rPr>
              <w:t>(5)</w:t>
            </w:r>
          </w:p>
        </w:tc>
        <w:tc>
          <w:tcPr>
            <w:tcW w:w="108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96"/>
              </w:rPr>
              <w:t>1,846,163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2,093,459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(247,296)</w:t>
            </w:r>
          </w:p>
        </w:tc>
      </w:tr>
      <w:tr>
        <w:trPr>
          <w:trHeight w:val="151"/>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Average Canadian dollar to U.S. dollar</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0.735</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0.743</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(0.008)</w:t>
            </w:r>
          </w:p>
        </w:tc>
      </w:tr>
    </w:tbl>
    <w:p>
      <w:pPr>
        <w:spacing w:after="0" w:line="285" w:lineRule="exact"/>
        <w:rPr>
          <w:sz w:val="20"/>
          <w:szCs w:val="20"/>
          <w:color w:val="auto"/>
        </w:rPr>
      </w:pPr>
    </w:p>
    <w:p>
      <w:pPr>
        <w:ind w:left="300" w:hanging="295"/>
        <w:spacing w:after="0"/>
        <w:tabs>
          <w:tab w:leader="none" w:pos="3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lodge rooms and hospitality services for owned rooms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mobile assets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laundry and water and wastewater treatment services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represents total billed days for owned assets for the periods presented.</w:t>
      </w:r>
    </w:p>
    <w:p>
      <w:pPr>
        <w:spacing w:after="0" w:line="217"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color w:val="auto"/>
        </w:rPr>
        <w:t>Our Canadian segment reported revenues in the nine months ended September 30, 2024 that were $75.6 million, or 27%, lower than the nine months ended September 30, 2023. The revenue decrease was driven by (i) reduced mobile asset activity from pipeline projects which were largely completed in 2023,</w:t>
      </w:r>
    </w:p>
    <w:p>
      <w:pPr>
        <w:spacing w:after="0" w:line="1" w:lineRule="exact"/>
        <w:rPr>
          <w:sz w:val="20"/>
          <w:szCs w:val="20"/>
          <w:color w:val="auto"/>
        </w:rPr>
      </w:pPr>
    </w:p>
    <w:p>
      <w:pPr>
        <w:ind w:firstLine="5"/>
        <w:spacing w:after="0" w:line="273" w:lineRule="auto"/>
        <w:tabs>
          <w:tab w:leader="none" w:pos="26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year-over-year occupancy in our oil sands lodges due to the timing and extent of maintenance activity by our customers and (iii) declined occupancy associated with the sale of the McClelland Lake Lodge. In addition, occupancy at our Sitka Lodge has declined as the Kitimat LNG facility nears completion.</w:t>
      </w:r>
    </w:p>
    <w:p>
      <w:pPr>
        <w:spacing w:after="0" w:line="191"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Canadian segment cost of sales and services decreased $45.6 million, or 22%, in the nine months ended September 30, 2024 compared to the nine months ended September 30, 2023. The cost of sales and services decrease was driven by lower costs related to reduced mobile asset activity from pipeline projects which were largely completed in 2023 and lower costs at various lodges due to reduced occupancy levels.</w:t>
      </w:r>
    </w:p>
    <w:p>
      <w:pPr>
        <w:spacing w:after="0" w:line="188"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Canadian segment gross margin as a percentage of revenues decreased from 24.4% in the nine months ended September 30, 2023 to 18.7% in the nine months ended September 30, 2024. This was primarily driven by reduced mobile asset activity from pipeline projects which were largely completed in 2023 and mobile camp demobilization costs of approximately $3.6 million which were incurred in the first nine months of 2024. In addition, margins at our lodges were lower due to reduced efficiencies at lower occupancy levels.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Australian Segment</w:t>
      </w:r>
    </w:p>
    <w:p>
      <w:pPr>
        <w:spacing w:after="0" w:line="3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7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7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 in thousands)</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6"/>
        </w:trPr>
        <w:tc>
          <w:tcPr>
            <w:tcW w:w="4720" w:type="dxa"/>
            <w:vAlign w:val="bottom"/>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18"/>
                <w:szCs w:val="18"/>
                <w:color w:val="auto"/>
                <w:vertAlign w:val="superscript"/>
              </w:rPr>
              <w:t>(1)</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147,391</w:t>
            </w:r>
          </w:p>
        </w:tc>
        <w:tc>
          <w:tcPr>
            <w:tcW w:w="100" w:type="dxa"/>
            <w:vAlign w:val="bottom"/>
          </w:tcPr>
          <w:p>
            <w:pPr>
              <w:spacing w:after="0"/>
              <w:rPr>
                <w:sz w:val="17"/>
                <w:szCs w:val="17"/>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130,953</w:t>
            </w:r>
          </w:p>
        </w:tc>
        <w:tc>
          <w:tcPr>
            <w:tcW w:w="100" w:type="dxa"/>
            <w:vAlign w:val="bottom"/>
          </w:tcPr>
          <w:p>
            <w:pPr>
              <w:spacing w:after="0"/>
              <w:rPr>
                <w:sz w:val="17"/>
                <w:szCs w:val="17"/>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16,438</w:t>
            </w:r>
          </w:p>
        </w:tc>
      </w:tr>
      <w:tr>
        <w:trPr>
          <w:trHeight w:val="196"/>
        </w:trPr>
        <w:tc>
          <w:tcPr>
            <w:tcW w:w="472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18"/>
                <w:szCs w:val="18"/>
                <w:color w:val="auto"/>
                <w:vertAlign w:val="superscript"/>
              </w:rPr>
              <w:t>(2)</w:t>
            </w:r>
          </w:p>
        </w:tc>
        <w:tc>
          <w:tcPr>
            <w:tcW w:w="10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169,576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116,465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53,111</w:t>
            </w:r>
          </w:p>
        </w:tc>
      </w:tr>
      <w:tr>
        <w:trPr>
          <w:trHeight w:val="182"/>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316,967</w:t>
            </w:r>
          </w:p>
        </w:tc>
        <w:tc>
          <w:tcPr>
            <w:tcW w:w="10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247,418</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69,549</w:t>
            </w:r>
          </w:p>
        </w:tc>
      </w:tr>
      <w:tr>
        <w:trPr>
          <w:trHeight w:val="216"/>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Accommodation cost</w:t>
            </w:r>
          </w:p>
        </w:tc>
        <w:tc>
          <w:tcPr>
            <w:tcW w:w="106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70,990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63,670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7,320</w:t>
            </w:r>
          </w:p>
        </w:tc>
      </w:tr>
      <w:tr>
        <w:trPr>
          <w:trHeight w:val="189"/>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0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154,218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110,132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44,086</w:t>
            </w:r>
          </w:p>
        </w:tc>
      </w:tr>
      <w:tr>
        <w:trPr>
          <w:trHeight w:val="20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Indirect other cost</w:t>
            </w:r>
          </w:p>
        </w:tc>
        <w:tc>
          <w:tcPr>
            <w:tcW w:w="10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9,009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6,646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2,363</w:t>
            </w:r>
          </w:p>
        </w:tc>
      </w:tr>
      <w:tr>
        <w:trPr>
          <w:trHeight w:val="182"/>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234,217</w:t>
            </w:r>
          </w:p>
        </w:tc>
        <w:tc>
          <w:tcPr>
            <w:tcW w:w="10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180,448</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53,769</w:t>
            </w:r>
          </w:p>
        </w:tc>
      </w:tr>
      <w:tr>
        <w:trPr>
          <w:trHeight w:val="216"/>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0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16"/>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6"/>
        </w:trPr>
        <w:tc>
          <w:tcPr>
            <w:tcW w:w="47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Average daily rate for villages </w:t>
            </w:r>
            <w:r>
              <w:rPr>
                <w:rFonts w:ascii="Times New Roman" w:cs="Times New Roman" w:eastAsia="Times New Roman" w:hAnsi="Times New Roman"/>
                <w:sz w:val="18"/>
                <w:szCs w:val="18"/>
                <w:color w:val="auto"/>
                <w:vertAlign w:val="superscript"/>
              </w:rPr>
              <w:t>(3)</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7"/>
                <w:szCs w:val="17"/>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7"/>
                <w:szCs w:val="17"/>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w:t>
            </w:r>
          </w:p>
        </w:tc>
      </w:tr>
      <w:tr>
        <w:trPr>
          <w:trHeight w:val="209"/>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6"/>
        </w:trPr>
        <w:tc>
          <w:tcPr>
            <w:tcW w:w="47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Total billed rooms for villages </w:t>
            </w:r>
            <w:r>
              <w:rPr>
                <w:rFonts w:ascii="Times New Roman" w:cs="Times New Roman" w:eastAsia="Times New Roman" w:hAnsi="Times New Roman"/>
                <w:sz w:val="18"/>
                <w:szCs w:val="18"/>
                <w:color w:val="auto"/>
                <w:vertAlign w:val="superscript"/>
              </w:rPr>
              <w:t>(4)</w:t>
            </w:r>
          </w:p>
        </w:tc>
        <w:tc>
          <w:tcPr>
            <w:tcW w:w="1060" w:type="dxa"/>
            <w:vAlign w:val="bottom"/>
          </w:tcPr>
          <w:p>
            <w:pPr>
              <w:spacing w:after="0"/>
              <w:rPr>
                <w:sz w:val="17"/>
                <w:szCs w:val="17"/>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99"/>
              </w:rPr>
              <w:t>1,886,647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1,734,004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152,643</w:t>
            </w:r>
          </w:p>
        </w:tc>
      </w:tr>
      <w:tr>
        <w:trPr>
          <w:trHeight w:val="209"/>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Australian dollar to U.S. dollar</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0.662</w:t>
            </w:r>
          </w:p>
        </w:tc>
        <w:tc>
          <w:tcPr>
            <w:tcW w:w="10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0.669</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(0.007)</w:t>
            </w:r>
          </w:p>
        </w:tc>
      </w:tr>
    </w:tbl>
    <w:p>
      <w:pPr>
        <w:spacing w:after="0" w:line="200" w:lineRule="exact"/>
        <w:rPr>
          <w:sz w:val="20"/>
          <w:szCs w:val="20"/>
          <w:color w:val="auto"/>
        </w:rPr>
      </w:pPr>
    </w:p>
    <w:p>
      <w:pPr>
        <w:spacing w:after="0" w:line="307" w:lineRule="exact"/>
        <w:rPr>
          <w:sz w:val="20"/>
          <w:szCs w:val="20"/>
          <w:color w:val="auto"/>
        </w:rPr>
      </w:pPr>
    </w:p>
    <w:p>
      <w:pPr>
        <w:ind w:left="300" w:hanging="295"/>
        <w:spacing w:after="0"/>
        <w:tabs>
          <w:tab w:leader="none" w:pos="3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village rooms and hospitality services for owned rooms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and other services, including facilities management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 total billed days for owned assets for the periods presented.</w:t>
      </w:r>
    </w:p>
    <w:p>
      <w:pPr>
        <w:spacing w:after="0" w:line="21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Australian segment reported revenues in the nine months ended September 30, 2024 that were $69.5 million, or 28%, higher than the nine months ended September 30, 2023. The increase in the Australian segment was driven by increased activity at our Civeo owned villages in the Bowen Basin and new business in our integrated services villages in Western Australia. Billed rooms in Civeo owned villages were up 8.8% in the first nine months of 2024 due to increased activity in the Bowen Basin, Western Australia and the Gunnedah Basin coupled with recent contract renewals and extensions.</w:t>
      </w:r>
    </w:p>
    <w:p>
      <w:pPr>
        <w:spacing w:after="0" w:line="19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Australian segment cost of sales and services increased $53.8 million, or 30%, in the nine months ended September 30, 2024 compared to the nine months ended September 30, 2023. The increase in the Australian segment was largely driven by increased occupancy at our Civeo owned villages in the Bowen Basin and new business in our integrated services villages in Western Australia and the associated overhead costs.</w:t>
      </w:r>
    </w:p>
    <w:p>
      <w:pPr>
        <w:spacing w:after="0" w:line="188"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Australian segment gross margin as a percentage of revenues decreased to 26.1% in the nine months ended September 30, 2024 from 27.1% in the nine months ended September 30, 2023. This was primarily driven by an increased relative revenue contribution from our integrated services business, which has a service-only business model and therefore generates lower overall gross margins than our accommodation business. The reduced gross margin was partially offset by improved profitability across our integrated services villages in the nine months ended September 30,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1"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Our primary liquidity needs are to fund capital expenditures, which in the past have included expanding and improving our hospitality services, developing new lodges and villages and purchasing or leasing land, to pay dividends, to repurchase common shares and for general working capital needs. In addition, capital has been used to repay debt and fund strategic business acquisitions. Historically, our primary sources of funds have been available cash, cash flow from operations, borrowings under our Amended Credit Agreement and proceeds from equity issuances. In the future, capital may be required to move lodges from one site to another, and we may seek to access the debt and equity capital markets from time to time to raise additional capital, increase liquidity, fund acquisitions or refinance debt.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our consolidated liquidity position as of September 30, 2024 and December 31, 2023 (in thousands):</w:t>
      </w:r>
    </w:p>
    <w:p>
      <w:pPr>
        <w:spacing w:after="0" w:line="47"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Lender commitments</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245,000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r>
      <w:tr>
        <w:trPr>
          <w:trHeight w:val="189"/>
        </w:trPr>
        <w:tc>
          <w:tcPr>
            <w:tcW w:w="7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Borrowings against revolving credit capacity</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(65,554)</w:t>
            </w:r>
          </w:p>
        </w:tc>
      </w:tr>
      <w:tr>
        <w:trPr>
          <w:trHeight w:val="203"/>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Outstanding letters of credit</w:t>
            </w: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w:t>
            </w:r>
          </w:p>
        </w:tc>
      </w:tr>
      <w:tr>
        <w:trPr>
          <w:trHeight w:val="182"/>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Unused availability</w:t>
            </w:r>
          </w:p>
        </w:tc>
        <w:tc>
          <w:tcPr>
            <w:tcW w:w="180" w:type="dxa"/>
            <w:vAlign w:val="bottom"/>
          </w:tcPr>
          <w:p>
            <w:pPr>
              <w:spacing w:after="0"/>
              <w:rPr>
                <w:sz w:val="15"/>
                <w:szCs w:val="15"/>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193,869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133,093</w:t>
            </w:r>
          </w:p>
        </w:tc>
      </w:tr>
      <w:tr>
        <w:trPr>
          <w:trHeight w:val="19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17,910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w:t>
            </w:r>
          </w:p>
        </w:tc>
      </w:tr>
      <w:tr>
        <w:trPr>
          <w:trHeight w:val="19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available liquidity</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211,779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136,416</w:t>
            </w:r>
          </w:p>
        </w:tc>
      </w:tr>
      <w:tr>
        <w:trPr>
          <w:trHeight w:val="20"/>
        </w:trPr>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Cash totaling $74.0 million was provided by operations during the nine months ended September 30, 2024, compared to $56.6 million provided by operations during the nine months ended September 30, 2023. During the nine months ended September 30, 2024 and 2023, $26.8 million was provided by working capital and $20.0 million was used in working capital, respectively. The year-over-year increase in cash provided by working capital in 2024 compared to 2023 is largely due to the collection of holdbacks in Canada related to the completion of mobile asset pipeline projects during the nine months ended September 30, 2024 compared to the nine months ended September 30, 2023, partially offset by decreased accounts payable and accrual balances.</w:t>
      </w:r>
    </w:p>
    <w:p>
      <w:pPr>
        <w:spacing w:after="0" w:line="197"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Cash was used in investing activities during the nine months ended September 30, 2024 in the amount of $7.5 million, compared to cash used in investing activities during the nine months ended September 30, 2023 in the amount of $14.1 million. The decrease in cash used in investing activities was primarily due to higher proceeds from the sale of property, plant and equipment and lower capital expenditures. We received net proceeds from the sale of property, plant and equipment of $10.7 million during the nine months ended September 30, 2024 related to the sale of our McClelland Lake Lodge accommodation assets in Canada and the sale of our Louisiana land in the U.S., compared to $7.1 million during the nine months ended September 30, 2023 primarily related to the sale of our McClelland Lake Lodge accommodation assets in Canada and Louisiana accommodation assets in the U.S. Capital expenditures totaled $18.4 million and $21.2 million during the nine months ended September 30, 2024 and 2023, respectively. Capital expenditures in both periods were primarily related to maintenance. In addition, our 2024 capital expenditures included approximately $2.9 million related to customer-funded infrastructure upgrades in Australia compared to $4.4 million in 2023.</w:t>
      </w:r>
    </w:p>
    <w:p>
      <w:pPr>
        <w:spacing w:after="0" w:line="204"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We expect our capital expenditures for 2024 to be in the range of $30 million to $35 million, which excludes any unannounced and uncommitted projects, the spending for which is contingent on obtaining customer contracts or commitments. Whether planned expenditures will actually be spent in 2024 depends on industry conditions, project approvals and schedules, customer room commitments and project and construction timing. We expect to fund these capital expenditures with available cash, cash flow from operations and revolving credit borrowings under our Amended Credit Agreement. The foregoing capital expenditure forecast does not include any funds for strategic acquisitions, which we could pursue should the transaction economics be attractive enough to us compared to the current capital allocation priorities of debt reduction and return of capital to shareholders. We continue to monitor the global economy, commodity prices, demand for crude oil, met coal, LNG and iron ore, inflation and the resultant impact on the capital spending plans of our customers in order to plan our business activities, and we may adjust our capital expenditure plans in the future.</w:t>
      </w:r>
    </w:p>
    <w:p>
      <w:pPr>
        <w:spacing w:after="0" w:line="17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Net cash of $48.3 million was used in financing activities during the nine months ended September 30, 2024 primarily due for repurchases of our common shares of $24.1 million, dividend payments of $11.0 million, net repayments under our revolving credit facilities of $9.2 million, debt issuance costs of $3.0 million and payments to settle tax obligations on vested shares under our share-based compensation plans of $1.1 million. Net cash of $42.0 million was used in financing activities during the nine months ended September 30, 2023 primarily due to term loan repayments of $22.3 million, repurchases of our common shares of $9.2 million, net repayments under our revolving credit facilities of $6.7 million and dividend payments of $3.7 million.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the changes in debt outstanding during the nine months ended September 30, 2024 (in thousands):</w:t>
      </w:r>
    </w:p>
    <w:p>
      <w:pPr>
        <w:sectPr>
          <w:pgSz w:w="11900" w:h="16838" w:orient="portrait"/>
          <w:cols w:equalWidth="0" w:num="1">
            <w:col w:w="11240"/>
          </w:cols>
          <w:pgMar w:left="320" w:top="1440" w:right="339" w:bottom="1440" w:gutter="0" w:footer="0" w:header="0"/>
        </w:sectPr>
      </w:pPr>
    </w:p>
    <w:p>
      <w:pPr>
        <w:spacing w:after="0" w:line="33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1562735</wp:posOffset>
            </wp:positionH>
            <wp:positionV relativeFrom="paragraph">
              <wp:posOffset>-95885</wp:posOffset>
            </wp:positionV>
            <wp:extent cx="4024630" cy="124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024630" cy="124460"/>
                    </a:xfrm>
                    <a:prstGeom prst="rect">
                      <a:avLst/>
                    </a:prstGeom>
                    <a:noFill/>
                  </pic:spPr>
                </pic:pic>
              </a:graphicData>
            </a:graphic>
          </wp:anchor>
        </w:drawing>
      </w:r>
    </w:p>
    <w:p>
      <w:pPr>
        <w:spacing w:after="0" w:line="1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Borrowings under revolving credit facilities</w:t>
      </w:r>
    </w:p>
    <w:p>
      <w:pPr>
        <w:spacing w:after="0" w:line="3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Repayments of borrowings under revolving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1562735</wp:posOffset>
            </wp:positionH>
            <wp:positionV relativeFrom="paragraph">
              <wp:posOffset>-88265</wp:posOffset>
            </wp:positionV>
            <wp:extent cx="4024630" cy="1244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24630" cy="124460"/>
                    </a:xfrm>
                    <a:prstGeom prst="rect">
                      <a:avLst/>
                    </a:prstGeom>
                    <a:noFill/>
                  </pic:spPr>
                </pic:pic>
              </a:graphicData>
            </a:graphic>
          </wp:anchor>
        </w:drawing>
      </w:r>
    </w:p>
    <w:p>
      <w:pPr>
        <w:spacing w:after="0" w:line="2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1562735</wp:posOffset>
            </wp:positionH>
            <wp:positionV relativeFrom="paragraph">
              <wp:posOffset>27940</wp:posOffset>
            </wp:positionV>
            <wp:extent cx="4024630" cy="1492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024630" cy="149225"/>
                    </a:xfrm>
                    <a:prstGeom prst="rect">
                      <a:avLst/>
                    </a:prstGeom>
                    <a:noFill/>
                  </pic:spPr>
                </pic:pic>
              </a:graphicData>
            </a:graphic>
          </wp:anchor>
        </w:drawing>
      </w:r>
    </w:p>
    <w:p>
      <w:pPr>
        <w:spacing w:after="0" w:line="5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color w:val="auto"/>
        </w:rPr>
        <w:t>Balance at September 30, 2024</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902" w:hanging="902"/>
        <w:spacing w:after="0"/>
        <w:tabs>
          <w:tab w:leader="none" w:pos="90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65,554</w:t>
      </w:r>
    </w:p>
    <w:p>
      <w:pPr>
        <w:spacing w:after="0" w:line="35" w:lineRule="exact"/>
        <w:rPr>
          <w:rFonts w:ascii="Times New Roman" w:cs="Times New Roman" w:eastAsia="Times New Roman" w:hAnsi="Times New Roman"/>
          <w:sz w:val="14"/>
          <w:szCs w:val="14"/>
          <w:color w:val="auto"/>
        </w:rPr>
      </w:pPr>
    </w:p>
    <w:p>
      <w:pPr>
        <w:ind w:left="84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233,613</w:t>
      </w:r>
    </w:p>
    <w:p>
      <w:pPr>
        <w:spacing w:after="0" w:line="35"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14"/>
          <w:szCs w:val="14"/>
          <w:color w:val="auto"/>
        </w:rPr>
        <w:t>(242,859)</w:t>
      </w:r>
    </w:p>
    <w:p>
      <w:pPr>
        <w:spacing w:after="0" w:line="35"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14"/>
          <w:szCs w:val="14"/>
          <w:color w:val="auto"/>
        </w:rPr>
        <w:t>(6,230)</w:t>
      </w:r>
    </w:p>
    <w:p>
      <w:pPr>
        <w:spacing w:after="0" w:line="48" w:lineRule="exact"/>
        <w:rPr>
          <w:sz w:val="20"/>
          <w:szCs w:val="20"/>
          <w:color w:val="auto"/>
        </w:rPr>
      </w:pPr>
    </w:p>
    <w:p>
      <w:pPr>
        <w:ind w:left="902" w:hanging="902"/>
        <w:spacing w:after="0"/>
        <w:tabs>
          <w:tab w:leader="none" w:pos="90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53340</wp:posOffset>
            </wp:positionV>
            <wp:extent cx="8712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7122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6718" w:space="720"/>
            <w:col w:w="3802"/>
          </w:cols>
          <w:pgMar w:left="320" w:top="1440" w:right="339" w:bottom="1440" w:gutter="0" w:footer="0" w:header="0"/>
          <w:type w:val="continuous"/>
        </w:sectPr>
      </w:pPr>
    </w:p>
    <w:p>
      <w:pPr>
        <w:spacing w:after="0" w:line="153"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We believe that cash on hand and cash flow from operations will be sufficient to meet our anticipated liquidity needs for the next 12 months. If our plans or assumptions change, including as a result of changes in our customers' capital spending or changes in the price of and demand for natural resources, or are inaccurate, or if we make acquisitions, we may need to raise additional capital. Acquisitions have been, and our management believes acquisitions will continue to be, an element of our long-term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w:t>
      </w:r>
    </w:p>
    <w:p>
      <w:pPr>
        <w:spacing w:after="0" w:line="200"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In September 2024, our Board of Directors (Board) authorized a common share repurchase program to repurchase up to 5.0% of our total common shares which are issued and outstanding, or 710,556 common shares, over a twelve month period. In addition, our Board declared quarterly dividends of $0.25 per common share to shareholders in the first, second and third quarters of 2024. These dividends were eligible dividends pursuant to the Income Tax Act (Canada). See Note 12 – Share Repurchase Programs and Dividends to the notes to the unaudited consolidated financial statements included in Item 1 of this quarterly report for further discussion.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Credit Agreement</w:t>
      </w:r>
    </w:p>
    <w:p>
      <w:pPr>
        <w:spacing w:after="0" w:line="12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As of September 30, 2024, the Amended Credit Agreement provides for a $245.0 million revolving credit facility scheduled to mature on August 8, 2028, allocated as follows: (A) a $10.0 million senior secured revolving credit facility in favor of one of our U.S. subsidiaries, as borrower; (B) a $200.0 million senior secured revolving credit facility in favor of Civeo and certain of our U.S. subsidiaries, as borrower; and (C) a $35.0 million senior secured revolving credit facility in favor of one of our Australian subsidiaries, as borrower.</w:t>
      </w:r>
    </w:p>
    <w:p>
      <w:pPr>
        <w:spacing w:after="0" w:line="19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As of September 30, 2024, we had outstanding letters of credit of $0.3 million under the U.S. facility, zero under the Australian facility and $0.8 million under the Canadian facility. We also had outstanding bank guarantees of A$1.6 million under the Australian facility.</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See Note 8 – Debt to the notes to the unaudited consolidated financial statements included in Item 1 of this quarterly report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2" w:name="page33"/>
    <w:bookmarkEnd w:id="32"/>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51"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We intend to pay regular quarterly dividends on our common shares, with all future dividend payments subject to quarterly review and approval by our Board. The declaration and amount of all potential future dividends will be at the discretion of our Board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shares is limited by covenants in the Amended Credit Agreement. Future agreements may also limit our ability to pay dividends, and we may incur incremental taxes if we are required to repatriate foreign earnings to pay such dividends. The amount per share of our dividend payments may be changed, or dividends may be suspended, without advance notice. The likelihood that dividends will be reduced or suspended is increased during periods of market weakness. There can be no assurance that we will continue to pay a dividend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2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2023. These estimates require significant judgments, assumptions and estimates. We have discussed the development, selection and disclosure of these critical accounting policies and estimates with the audit committee of our Board.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2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We have credit facilities that are subject to the risk of higher interest charges associated with increases in interest rates. As of September 30, 2024, we had $50.1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$0.5 million annually, based on our floating-rate debt obligations and interest rates in effect as of September 30,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225"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currencies other than the U.S. dollar, which is our reporting currency, or the functional currency of our subsidiaries, which is not necessarily the U.S. dollar. Excluding intercompany balances, our Canadian dollar and Australian dollar functional currency net assets total approximately C$187 million and A$201 million, respectively, at September 30, 2024. We use a sensitivity analysis model to measure the impact of a 10% adverse movement of foreign currency exchange rates against the U.S. dollar. A hypothetical 10% adverse change in the value of the Canadian dollar and Australian dollar relative to the U.S. dollar as of September 30, 2024 would result in translation adjustments of approximately $19 million and $20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5"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September 30, 2024, at the reasonable assurance level.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During the three months ended September 30, 2024,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0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227" w:lineRule="exact"/>
        <w:rPr>
          <w:sz w:val="20"/>
          <w:szCs w:val="20"/>
          <w:color w:val="auto"/>
        </w:rPr>
      </w:pPr>
    </w:p>
    <w:p>
      <w:pPr>
        <w:jc w:val="both"/>
        <w:ind w:right="100" w:firstLine="314"/>
        <w:spacing w:after="0" w:line="263" w:lineRule="auto"/>
        <w:rPr>
          <w:sz w:val="20"/>
          <w:szCs w:val="20"/>
          <w:color w:val="auto"/>
        </w:rPr>
      </w:pPr>
      <w:r>
        <w:rPr>
          <w:rFonts w:ascii="Times New Roman" w:cs="Times New Roman" w:eastAsia="Times New Roman" w:hAnsi="Times New Roman"/>
          <w:sz w:val="17"/>
          <w:szCs w:val="17"/>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27" w:lineRule="exact"/>
        <w:rPr>
          <w:sz w:val="20"/>
          <w:szCs w:val="20"/>
          <w:color w:val="auto"/>
        </w:rPr>
      </w:pPr>
    </w:p>
    <w:p>
      <w:pPr>
        <w:jc w:val="both"/>
        <w:ind w:right="100" w:firstLine="470"/>
        <w:spacing w:after="0" w:line="295" w:lineRule="auto"/>
        <w:rPr>
          <w:sz w:val="20"/>
          <w:szCs w:val="20"/>
          <w:color w:val="auto"/>
        </w:rPr>
      </w:pPr>
      <w:r>
        <w:rPr>
          <w:rFonts w:ascii="Times New Roman" w:cs="Times New Roman" w:eastAsia="Times New Roman" w:hAnsi="Times New Roman"/>
          <w:sz w:val="17"/>
          <w:szCs w:val="17"/>
          <w:color w:val="auto"/>
        </w:rPr>
        <w:t>For additional information about our risk factors, you should carefully read the section entitled "Risk Factors” included in our Annual Report on Form 10-K for the year ended December 31,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provides information about purchases of our common shares during the three months ended September 30, 2024.</w:t>
      </w:r>
    </w:p>
    <w:p>
      <w:pPr>
        <w:spacing w:after="0" w:line="266"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20" w:type="dxa"/>
            <w:vAlign w:val="bottom"/>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6"/>
              </w:rPr>
              <w:t>Total number of shares</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Maximum number of</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17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97"/>
              </w:rPr>
              <w:t>Average Price Paid</w:t>
            </w:r>
          </w:p>
        </w:tc>
        <w:tc>
          <w:tcPr>
            <w:tcW w:w="2020" w:type="dxa"/>
            <w:vAlign w:val="bottom"/>
          </w:tcPr>
          <w:p>
            <w:pPr>
              <w:jc w:val="center"/>
              <w:ind w:left="42"/>
              <w:spacing w:after="0" w:line="157" w:lineRule="exact"/>
              <w:rPr>
                <w:sz w:val="20"/>
                <w:szCs w:val="20"/>
                <w:color w:val="auto"/>
              </w:rPr>
            </w:pPr>
            <w:r>
              <w:rPr>
                <w:rFonts w:ascii="Times New Roman" w:cs="Times New Roman" w:eastAsia="Times New Roman" w:hAnsi="Times New Roman"/>
                <w:sz w:val="16"/>
                <w:szCs w:val="16"/>
                <w:b w:val="1"/>
                <w:bCs w:val="1"/>
                <w:color w:val="auto"/>
                <w:w w:val="98"/>
              </w:rPr>
              <w:t>purchased as part of</w:t>
            </w:r>
          </w:p>
        </w:tc>
        <w:tc>
          <w:tcPr>
            <w:tcW w:w="164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shares that may be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2020" w:type="dxa"/>
            <w:vAlign w:val="bottom"/>
          </w:tcPr>
          <w:p>
            <w:pPr>
              <w:jc w:val="center"/>
              <w:ind w:left="42"/>
              <w:spacing w:after="0" w:line="157" w:lineRule="exact"/>
              <w:rPr>
                <w:sz w:val="20"/>
                <w:szCs w:val="20"/>
                <w:color w:val="auto"/>
              </w:rPr>
            </w:pPr>
            <w:r>
              <w:rPr>
                <w:rFonts w:ascii="Times New Roman" w:cs="Times New Roman" w:eastAsia="Times New Roman" w:hAnsi="Times New Roman"/>
                <w:sz w:val="16"/>
                <w:szCs w:val="16"/>
                <w:b w:val="1"/>
                <w:bCs w:val="1"/>
                <w:color w:val="auto"/>
                <w:w w:val="97"/>
              </w:rPr>
              <w:t>publicly announced plans</w:t>
            </w:r>
          </w:p>
        </w:tc>
        <w:tc>
          <w:tcPr>
            <w:tcW w:w="164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purchased under the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020" w:type="dxa"/>
            <w:vAlign w:val="bottom"/>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5"/>
              </w:rPr>
              <w:t>or programs</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2024 - July 31, 2024</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5,606</w:t>
            </w: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24.91</w:t>
            </w:r>
          </w:p>
        </w:tc>
        <w:tc>
          <w:tcPr>
            <w:tcW w:w="20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5,606</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 2024 - August 31, 2024</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18,840</w:t>
            </w:r>
          </w:p>
        </w:tc>
        <w:tc>
          <w:tcPr>
            <w:tcW w:w="4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27.76</w:t>
            </w:r>
          </w:p>
        </w:tc>
        <w:tc>
          <w:tcPr>
            <w:tcW w:w="20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18,840</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2024 - September 30, 2024</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490,345</w:t>
            </w: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(1) (2)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27.61</w:t>
            </w:r>
          </w:p>
        </w:tc>
        <w:tc>
          <w:tcPr>
            <w:tcW w:w="20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490,345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514,791</w:t>
            </w:r>
          </w:p>
        </w:tc>
        <w:tc>
          <w:tcPr>
            <w:tcW w:w="4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27.59</w:t>
            </w:r>
          </w:p>
        </w:tc>
        <w:tc>
          <w:tcPr>
            <w:tcW w:w="20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514,791</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left="320" w:right="100" w:hanging="315"/>
        <w:spacing w:after="0" w:line="236" w:lineRule="auto"/>
        <w:tabs>
          <w:tab w:leader="none" w:pos="30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2023, our Board authorized a common share repurchase program (the 2023 Share Repurchase Program), which expired in September 2024, to repurchase up to 5.0% of our total common shares which were issued and outstanding, or 742,134 common shares. We repurchased an aggregate of 165,482 of our common shares outstanding for approximately $4.5 million under the 2023 Share Repurchase Program during the three months ended September 30, 2024.</w:t>
      </w:r>
    </w:p>
    <w:p>
      <w:pPr>
        <w:jc w:val="both"/>
        <w:ind w:left="320" w:right="100" w:hanging="315"/>
        <w:spacing w:after="0" w:line="209" w:lineRule="exact"/>
        <w:tabs>
          <w:tab w:leader="none" w:pos="30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September 2024, our Board authorized the repurchase of up to 5% of our total common shares which were issued and outstanding, or 710,556 common shares (the 2024 Share Repurchase Program). Under the Share Repurchase Program, we may repurchase shares through open market repurchases, pursuant to a Rule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compliant plan, or in privately negotiated transactions. The Share Repurchase Program expires 12 months from the date of the first repurchase and was made pursuant to a foreign issuer bid exemption under Canadian securities law, which permits us to make repurchases in excess of 5% (subject to approval by our Board). We repurchased an aggregate of 349,309 of our common shares outstanding for approximately $9.7 million under the 2024 Share Repurchase Program during the three months ended September 30, 2024.</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Other Information</w:t>
      </w:r>
    </w:p>
    <w:p>
      <w:pPr>
        <w:spacing w:after="0" w:line="2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253" w:lineRule="exact"/>
        <w:rPr>
          <w:sz w:val="20"/>
          <w:szCs w:val="20"/>
          <w:color w:val="auto"/>
        </w:rPr>
      </w:pPr>
    </w:p>
    <w:p>
      <w:pPr>
        <w:ind w:left="620" w:hanging="459"/>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INDEX OF EXHIBITS</w:t>
      </w:r>
    </w:p>
    <w:p>
      <w:pPr>
        <w:spacing w:after="0" w:line="51" w:lineRule="exact"/>
        <w:rPr>
          <w:sz w:val="20"/>
          <w:szCs w:val="20"/>
          <w:color w:val="auto"/>
        </w:rPr>
      </w:pPr>
    </w:p>
    <w:p>
      <w:pPr>
        <w:ind w:left="460"/>
        <w:spacing w:after="0"/>
        <w:tabs>
          <w:tab w:leader="none" w:pos="5460" w:val="left"/>
        </w:tabs>
        <w:rPr>
          <w:sz w:val="20"/>
          <w:szCs w:val="20"/>
          <w:color w:val="auto"/>
        </w:rPr>
      </w:pPr>
      <w:r>
        <w:rPr>
          <w:rFonts w:ascii="Times New Roman" w:cs="Times New Roman" w:eastAsia="Times New Roman" w:hAnsi="Times New Roman"/>
          <w:sz w:val="17"/>
          <w:szCs w:val="17"/>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70"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8840" w:type="dxa"/>
            <w:vAlign w:val="bottom"/>
            <w:gridSpan w:val="13"/>
          </w:tcPr>
          <w:p>
            <w:pPr>
              <w:ind w:left="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68">
              <w:r>
                <w:rPr>
                  <w:rFonts w:ascii="Times New Roman" w:cs="Times New Roman" w:eastAsia="Times New Roman" w:hAnsi="Times New Roman"/>
                  <w:sz w:val="17"/>
                  <w:szCs w:val="17"/>
                  <w:color w:val="0000FF"/>
                </w:rPr>
                <w:t>Third Amendment to Syndicated Facility Agreement, dated as of August 8, 2024, by and among Civeo Corporation,</w:t>
              </w:r>
            </w:hyperlink>
          </w:p>
        </w:tc>
      </w:tr>
      <w:tr>
        <w:trPr>
          <w:trHeight w:val="163"/>
        </w:trPr>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0" w:type="dxa"/>
            <w:vAlign w:val="bottom"/>
            <w:tcBorders>
              <w:top w:val="single" w:sz="8" w:color="0000FF"/>
              <w:bottom w:val="single" w:sz="8" w:color="0000FF"/>
            </w:tcBorders>
            <w:gridSpan w:val="7"/>
          </w:tcPr>
          <w:p>
            <w:pPr>
              <w:spacing w:after="0" w:line="163"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Civeo Pty Limited, Civeo USA LLC and Civeo Management LLC, as Borrowers, the Lenders named therein, Royal</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0"/>
        </w:trPr>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20" w:type="dxa"/>
            <w:vAlign w:val="bottom"/>
            <w:tcBorders>
              <w:bottom w:val="single" w:sz="8" w:color="0000FF"/>
            </w:tcBorders>
            <w:gridSpan w:val="8"/>
          </w:tcPr>
          <w:p>
            <w:pPr>
              <w:spacing w:after="0" w:line="150"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Bank of Canada, as Administrative Agent, U.S. Collateral Agent, Canadian Administrative Agent, Canadian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80" w:type="dxa"/>
            <w:vAlign w:val="bottom"/>
            <w:tcBorders>
              <w:bottom w:val="single" w:sz="8" w:color="0000FF"/>
            </w:tcBorders>
            <w:gridSpan w:val="11"/>
          </w:tcPr>
          <w:p>
            <w:pPr>
              <w:spacing w:after="0" w:line="150"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Collateral Agent and an Issuing Bank and RBC Europe Limited, as Australian Administrative Agent, Australian</w:t>
              </w:r>
            </w:hyperlink>
          </w:p>
        </w:tc>
        <w:tc>
          <w:tcPr>
            <w:tcW w:w="20" w:type="dxa"/>
            <w:vAlign w:val="bottom"/>
          </w:tcPr>
          <w:p>
            <w:pPr>
              <w:spacing w:after="0"/>
              <w:rPr>
                <w:sz w:val="13"/>
                <w:szCs w:val="13"/>
                <w:color w:val="auto"/>
              </w:rPr>
            </w:pPr>
          </w:p>
        </w:tc>
      </w:tr>
      <w:tr>
        <w:trPr>
          <w:trHeight w:val="163"/>
        </w:trPr>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80" w:type="dxa"/>
            <w:vAlign w:val="bottom"/>
            <w:gridSpan w:val="11"/>
          </w:tcPr>
          <w:p>
            <w:pPr>
              <w:spacing w:after="0" w:line="163"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Collateral Agent and an Issuing Bank (incorporated herein by reference to Exhibit 10.1 to Current Report on Form 8-</w:t>
              </w:r>
            </w:hyperlink>
          </w:p>
        </w:tc>
        <w:tc>
          <w:tcPr>
            <w:tcW w:w="20" w:type="dxa"/>
            <w:vAlign w:val="bottom"/>
          </w:tcPr>
          <w:p>
            <w:pPr>
              <w:spacing w:after="0"/>
              <w:rPr>
                <w:sz w:val="14"/>
                <w:szCs w:val="14"/>
                <w:color w:val="auto"/>
              </w:rPr>
            </w:pPr>
          </w:p>
        </w:tc>
      </w:tr>
      <w:tr>
        <w:trPr>
          <w:trHeight w:val="150"/>
        </w:trPr>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60" w:type="dxa"/>
            <w:vAlign w:val="bottom"/>
            <w:tcBorders>
              <w:top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K (File No. 001-36246) filed on August 13, 2024).</w:t>
              </w:r>
            </w:hyperlink>
          </w:p>
        </w:tc>
        <w:tc>
          <w:tcPr>
            <w:tcW w:w="40" w:type="dxa"/>
            <w:vAlign w:val="bottom"/>
            <w:gridSpan w:val="2"/>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46"/>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8840" w:type="dxa"/>
            <w:vAlign w:val="bottom"/>
            <w:gridSpan w:val="13"/>
          </w:tcPr>
          <w:p>
            <w:pPr>
              <w:ind w:left="20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Executive Officer of Civeo Corporation pursuant to Rules 13a-14(a) or 15d-14(a) under the</w:t>
            </w:r>
          </w:p>
        </w:tc>
      </w:tr>
      <w:tr>
        <w:trPr>
          <w:trHeight w:val="163"/>
        </w:trPr>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60" w:type="dxa"/>
            <w:vAlign w:val="bottom"/>
            <w:tcBorders>
              <w:top w:val="single" w:sz="8" w:color="0000FF"/>
              <w:bottom w:val="single" w:sz="8" w:color="0000FF"/>
            </w:tcBorders>
            <w:gridSpan w:val="2"/>
          </w:tcPr>
          <w:p>
            <w:pPr>
              <w:spacing w:after="0" w:line="163" w:lineRule="exact"/>
              <w:rPr>
                <w:sz w:val="20"/>
                <w:szCs w:val="20"/>
                <w:color w:val="auto"/>
              </w:rPr>
            </w:pPr>
            <w:r>
              <w:rPr>
                <w:rFonts w:ascii="Times New Roman" w:cs="Times New Roman" w:eastAsia="Times New Roman" w:hAnsi="Times New Roman"/>
                <w:sz w:val="17"/>
                <w:szCs w:val="17"/>
                <w:color w:val="0000FF"/>
              </w:rPr>
              <w:t>Securities Exchange Act of 1934.</w:t>
            </w:r>
          </w:p>
        </w:tc>
        <w:tc>
          <w:tcPr>
            <w:tcW w:w="5820" w:type="dxa"/>
            <w:vAlign w:val="bottom"/>
            <w:tcBorders>
              <w:top w:val="single" w:sz="8" w:color="0000FF"/>
            </w:tcBorders>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42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8840" w:type="dxa"/>
            <w:vAlign w:val="bottom"/>
            <w:gridSpan w:val="13"/>
          </w:tcPr>
          <w:p>
            <w:pPr>
              <w:ind w:left="20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Financial Officer of Civeo Corporation pursuant to Rules 13a-14(a) or 15d-14(a) under the</w:t>
            </w:r>
          </w:p>
        </w:tc>
      </w:tr>
      <w:tr>
        <w:trPr>
          <w:trHeight w:val="163"/>
        </w:trPr>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40" w:type="dxa"/>
            <w:vAlign w:val="bottom"/>
            <w:tcBorders>
              <w:top w:val="single" w:sz="8" w:color="0000FF"/>
            </w:tcBorders>
            <w:gridSpan w:val="9"/>
          </w:tcPr>
          <w:p>
            <w:pPr>
              <w:spacing w:after="0" w:line="163" w:lineRule="exact"/>
              <w:rPr>
                <w:sz w:val="20"/>
                <w:szCs w:val="20"/>
                <w:color w:val="auto"/>
              </w:rPr>
            </w:pPr>
            <w:r>
              <w:rPr>
                <w:rFonts w:ascii="Times New Roman" w:cs="Times New Roman" w:eastAsia="Times New Roman" w:hAnsi="Times New Roman"/>
                <w:sz w:val="17"/>
                <w:szCs w:val="17"/>
                <w:color w:val="0000FF"/>
              </w:rPr>
              <w:t>Securities Exchange Act of 1934.</w:t>
            </w:r>
          </w:p>
        </w:tc>
        <w:tc>
          <w:tcPr>
            <w:tcW w:w="60" w:type="dxa"/>
            <w:vAlign w:val="bottom"/>
            <w:gridSpan w:val="3"/>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42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8840" w:type="dxa"/>
            <w:vAlign w:val="bottom"/>
            <w:gridSpan w:val="13"/>
          </w:tcPr>
          <w:p>
            <w:pPr>
              <w:ind w:left="20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Executive Officer of Civeo Corporation pursuant to Rules 13a-14(b) or 15d-14(b) under the</w:t>
            </w:r>
          </w:p>
        </w:tc>
      </w:tr>
      <w:tr>
        <w:trPr>
          <w:trHeight w:val="163"/>
        </w:trPr>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60" w:type="dxa"/>
            <w:vAlign w:val="bottom"/>
            <w:tcBorders>
              <w:top w:val="single" w:sz="8" w:color="0000FF"/>
            </w:tcBorders>
            <w:gridSpan w:val="10"/>
          </w:tcPr>
          <w:p>
            <w:pPr>
              <w:spacing w:after="0" w:line="163" w:lineRule="exact"/>
              <w:rPr>
                <w:sz w:val="20"/>
                <w:szCs w:val="20"/>
                <w:color w:val="auto"/>
              </w:rPr>
            </w:pPr>
            <w:r>
              <w:rPr>
                <w:rFonts w:ascii="Times New Roman" w:cs="Times New Roman" w:eastAsia="Times New Roman" w:hAnsi="Times New Roman"/>
                <w:sz w:val="17"/>
                <w:szCs w:val="17"/>
                <w:color w:val="0000FF"/>
              </w:rPr>
              <w:t>Securities Exchange Act of 1934 and 18 U.S.C. Section 1350.</w:t>
            </w:r>
          </w:p>
        </w:tc>
        <w:tc>
          <w:tcPr>
            <w:tcW w:w="40" w:type="dxa"/>
            <w:vAlign w:val="bottom"/>
            <w:gridSpan w:val="2"/>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20" w:type="dxa"/>
            <w:vAlign w:val="bottom"/>
            <w:gridSpan w:val="4"/>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42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8840" w:type="dxa"/>
            <w:vAlign w:val="bottom"/>
            <w:gridSpan w:val="13"/>
          </w:tcPr>
          <w:p>
            <w:pPr>
              <w:ind w:left="20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Financial Officer of Civeo Corporation pursuant to Rules 13a-14(b) or 15d-14(b) under the</w:t>
            </w:r>
          </w:p>
        </w:tc>
      </w:tr>
      <w:tr>
        <w:trPr>
          <w:trHeight w:val="163"/>
        </w:trPr>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160" w:type="dxa"/>
            <w:vAlign w:val="bottom"/>
            <w:tcBorders>
              <w:top w:val="single" w:sz="8" w:color="0000FF"/>
            </w:tcBorders>
            <w:gridSpan w:val="5"/>
          </w:tcPr>
          <w:p>
            <w:pPr>
              <w:spacing w:after="0" w:line="163" w:lineRule="exact"/>
              <w:rPr>
                <w:sz w:val="20"/>
                <w:szCs w:val="20"/>
                <w:color w:val="auto"/>
              </w:rPr>
            </w:pPr>
            <w:r>
              <w:rPr>
                <w:rFonts w:ascii="Times New Roman" w:cs="Times New Roman" w:eastAsia="Times New Roman" w:hAnsi="Times New Roman"/>
                <w:sz w:val="17"/>
                <w:szCs w:val="17"/>
                <w:color w:val="0000FF"/>
              </w:rPr>
              <w:t>Securities Exchange Act of 1934 and 18 U.S.C. Section 1350.</w:t>
            </w:r>
          </w:p>
        </w:tc>
        <w:tc>
          <w:tcPr>
            <w:tcW w:w="140" w:type="dxa"/>
            <w:vAlign w:val="bottom"/>
            <w:gridSpan w:val="7"/>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20" w:type="dxa"/>
            <w:vAlign w:val="bottom"/>
            <w:gridSpan w:val="4"/>
            <w:shd w:val="clear" w:color="auto" w:fill="0000FF"/>
          </w:tcPr>
          <w:p>
            <w:pPr>
              <w:spacing w:after="0" w:line="20" w:lineRule="exact"/>
              <w:rPr>
                <w:sz w:val="1"/>
                <w:szCs w:val="1"/>
                <w:color w:val="auto"/>
              </w:rPr>
            </w:pPr>
          </w:p>
        </w:tc>
        <w:tc>
          <w:tcPr>
            <w:tcW w:w="3980" w:type="dxa"/>
            <w:vAlign w:val="bottom"/>
            <w:gridSpan w:val="8"/>
          </w:tcPr>
          <w:p>
            <w:pPr>
              <w:spacing w:after="0" w:line="20" w:lineRule="exact"/>
              <w:rPr>
                <w:sz w:val="1"/>
                <w:szCs w:val="1"/>
                <w:color w:val="auto"/>
              </w:rPr>
            </w:pPr>
          </w:p>
        </w:tc>
      </w:tr>
      <w:tr>
        <w:trPr>
          <w:trHeight w:val="419"/>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8840" w:type="dxa"/>
            <w:vAlign w:val="bottom"/>
            <w:gridSpan w:val="13"/>
          </w:tcPr>
          <w:p>
            <w:pPr>
              <w:ind w:left="200"/>
              <w:spacing w:after="0"/>
              <w:rPr>
                <w:sz w:val="20"/>
                <w:szCs w:val="20"/>
                <w:color w:val="auto"/>
              </w:rPr>
            </w:pPr>
            <w:r>
              <w:rPr>
                <w:rFonts w:ascii="Times New Roman" w:cs="Times New Roman" w:eastAsia="Times New Roman" w:hAnsi="Times New Roman"/>
                <w:sz w:val="17"/>
                <w:szCs w:val="17"/>
                <w:color w:val="auto"/>
              </w:rPr>
              <w:t>—  Inline XBRL Instance Document - the instance document does not appear in the Interactive Data File because its</w:t>
            </w:r>
          </w:p>
        </w:tc>
      </w:tr>
      <w:tr>
        <w:trPr>
          <w:trHeight w:val="227"/>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30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XBRL tags are embedded within the Inline XBRL document</w:t>
            </w:r>
          </w:p>
        </w:tc>
      </w:tr>
      <w:tr>
        <w:trPr>
          <w:trHeight w:val="44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8840" w:type="dxa"/>
            <w:vAlign w:val="bottom"/>
            <w:gridSpan w:val="13"/>
          </w:tcPr>
          <w:p>
            <w:pPr>
              <w:ind w:left="200"/>
              <w:spacing w:after="0"/>
              <w:rPr>
                <w:sz w:val="20"/>
                <w:szCs w:val="20"/>
                <w:color w:val="auto"/>
              </w:rPr>
            </w:pPr>
            <w:r>
              <w:rPr>
                <w:rFonts w:ascii="Times New Roman" w:cs="Times New Roman" w:eastAsia="Times New Roman" w:hAnsi="Times New Roman"/>
                <w:sz w:val="17"/>
                <w:szCs w:val="17"/>
                <w:color w:val="auto"/>
              </w:rPr>
              <w:t>—  Inline XBRL Taxonomy Extension Schema Document</w:t>
            </w:r>
          </w:p>
        </w:tc>
      </w:tr>
      <w:tr>
        <w:trPr>
          <w:trHeight w:val="44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8840" w:type="dxa"/>
            <w:vAlign w:val="bottom"/>
            <w:gridSpan w:val="13"/>
          </w:tcPr>
          <w:p>
            <w:pPr>
              <w:ind w:left="200"/>
              <w:spacing w:after="0"/>
              <w:rPr>
                <w:sz w:val="20"/>
                <w:szCs w:val="20"/>
                <w:color w:val="auto"/>
              </w:rPr>
            </w:pPr>
            <w:r>
              <w:rPr>
                <w:rFonts w:ascii="Times New Roman" w:cs="Times New Roman" w:eastAsia="Times New Roman" w:hAnsi="Times New Roman"/>
                <w:sz w:val="17"/>
                <w:szCs w:val="17"/>
                <w:color w:val="auto"/>
              </w:rPr>
              <w:t>—  Inline XBRL Taxonomy Extension Calculation Linkbase Document</w:t>
            </w:r>
          </w:p>
        </w:tc>
      </w:tr>
      <w:tr>
        <w:trPr>
          <w:trHeight w:val="44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8840" w:type="dxa"/>
            <w:vAlign w:val="bottom"/>
            <w:gridSpan w:val="13"/>
          </w:tcPr>
          <w:p>
            <w:pPr>
              <w:ind w:left="200"/>
              <w:spacing w:after="0"/>
              <w:rPr>
                <w:sz w:val="20"/>
                <w:szCs w:val="20"/>
                <w:color w:val="auto"/>
              </w:rPr>
            </w:pPr>
            <w:r>
              <w:rPr>
                <w:rFonts w:ascii="Times New Roman" w:cs="Times New Roman" w:eastAsia="Times New Roman" w:hAnsi="Times New Roman"/>
                <w:sz w:val="17"/>
                <w:szCs w:val="17"/>
                <w:color w:val="auto"/>
              </w:rPr>
              <w:t>—  Inline Taxonomy Extension Definition Linkbase Document</w:t>
            </w:r>
          </w:p>
        </w:tc>
      </w:tr>
      <w:tr>
        <w:trPr>
          <w:trHeight w:val="44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8840" w:type="dxa"/>
            <w:vAlign w:val="bottom"/>
            <w:gridSpan w:val="13"/>
          </w:tcPr>
          <w:p>
            <w:pPr>
              <w:ind w:left="200"/>
              <w:spacing w:after="0"/>
              <w:rPr>
                <w:sz w:val="20"/>
                <w:szCs w:val="20"/>
                <w:color w:val="auto"/>
              </w:rPr>
            </w:pPr>
            <w:r>
              <w:rPr>
                <w:rFonts w:ascii="Times New Roman" w:cs="Times New Roman" w:eastAsia="Times New Roman" w:hAnsi="Times New Roman"/>
                <w:sz w:val="17"/>
                <w:szCs w:val="17"/>
                <w:color w:val="auto"/>
              </w:rPr>
              <w:t>—  Inline XBRL Taxonomy Extension Label Linkbase Document</w:t>
            </w:r>
          </w:p>
        </w:tc>
      </w:tr>
      <w:tr>
        <w:trPr>
          <w:trHeight w:val="44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8840" w:type="dxa"/>
            <w:vAlign w:val="bottom"/>
            <w:gridSpan w:val="13"/>
          </w:tcPr>
          <w:p>
            <w:pPr>
              <w:ind w:left="200"/>
              <w:spacing w:after="0"/>
              <w:rPr>
                <w:sz w:val="20"/>
                <w:szCs w:val="20"/>
                <w:color w:val="auto"/>
              </w:rPr>
            </w:pPr>
            <w:r>
              <w:rPr>
                <w:rFonts w:ascii="Times New Roman" w:cs="Times New Roman" w:eastAsia="Times New Roman" w:hAnsi="Times New Roman"/>
                <w:sz w:val="17"/>
                <w:szCs w:val="17"/>
                <w:color w:val="auto"/>
              </w:rPr>
              <w:t>—  Inline XBRL Taxonomy Extension Presentation Linkbase Document</w:t>
            </w:r>
          </w:p>
        </w:tc>
      </w:tr>
    </w:tbl>
    <w:p>
      <w:pPr>
        <w:spacing w:after="0" w:line="243" w:lineRule="exact"/>
        <w:rPr>
          <w:sz w:val="20"/>
          <w:szCs w:val="20"/>
          <w:color w:val="auto"/>
        </w:rPr>
      </w:pPr>
    </w:p>
    <w:p>
      <w:pPr>
        <w:ind w:left="1480" w:hanging="1144"/>
        <w:spacing w:after="0"/>
        <w:tabs>
          <w:tab w:leader="none" w:pos="148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Cover Page Interactive Data File (formatted as Inline XBRL and contained in Exhibit 101)</w:t>
      </w:r>
    </w:p>
    <w:p>
      <w:pPr>
        <w:spacing w:after="0" w:line="200" w:lineRule="exact"/>
        <w:rPr>
          <w:rFonts w:ascii="Times New Roman" w:cs="Times New Roman" w:eastAsia="Times New Roman" w:hAnsi="Times New Roman"/>
          <w:sz w:val="17"/>
          <w:szCs w:val="17"/>
          <w:color w:val="auto"/>
        </w:rPr>
      </w:pPr>
    </w:p>
    <w:p>
      <w:pPr>
        <w:spacing w:after="0" w:line="297" w:lineRule="exact"/>
        <w:rPr>
          <w:rFonts w:ascii="Times New Roman" w:cs="Times New Roman" w:eastAsia="Times New Roman" w:hAnsi="Times New Roman"/>
          <w:sz w:val="17"/>
          <w:szCs w:val="17"/>
          <w:color w:val="auto"/>
        </w:rPr>
      </w:pPr>
    </w:p>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Filed herewith.</w:t>
      </w:r>
    </w:p>
    <w:p>
      <w:pPr>
        <w:spacing w:after="0" w:line="52" w:lineRule="exact"/>
        <w:rPr>
          <w:rFonts w:ascii="Times New Roman" w:cs="Times New Roman" w:eastAsia="Times New Roman" w:hAnsi="Times New Roman"/>
          <w:sz w:val="17"/>
          <w:szCs w:val="17"/>
          <w:color w:val="auto"/>
        </w:rPr>
      </w:pPr>
    </w:p>
    <w:p>
      <w:pPr>
        <w:ind w:left="420" w:hanging="398"/>
        <w:spacing w:after="0"/>
        <w:tabs>
          <w:tab w:leader="none" w:pos="4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53" w:lineRule="exact"/>
        <w:rPr>
          <w:sz w:val="20"/>
          <w:szCs w:val="20"/>
          <w:color w:val="auto"/>
        </w:rPr>
      </w:pPr>
    </w:p>
    <w:p>
      <w:pPr>
        <w:ind w:left="420" w:hanging="398"/>
        <w:spacing w:after="0"/>
        <w:tabs>
          <w:tab w:leader="none" w:pos="4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contracts and compensatory plans and arrangements.</w:t>
      </w:r>
    </w:p>
    <w:p>
      <w:pPr>
        <w:spacing w:after="0" w:line="3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36" w:name="page37"/>
    <w:bookmarkEnd w:id="36"/>
    <w:p>
      <w:pPr>
        <w:jc w:val="both"/>
        <w:spacing w:after="0" w:line="276" w:lineRule="auto"/>
        <w:rPr>
          <w:sz w:val="20"/>
          <w:szCs w:val="20"/>
          <w:color w:val="auto"/>
        </w:rPr>
      </w:pPr>
      <w:r>
        <w:rPr>
          <w:rFonts w:ascii="Times New Roman" w:cs="Times New Roman" w:eastAsia="Times New Roman" w:hAnsi="Times New Roman"/>
          <w:sz w:val="17"/>
          <w:szCs w:val="17"/>
          <w:color w:val="auto"/>
        </w:rPr>
        <w:t>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37" w:name="page38"/>
    <w:bookmarkEnd w:id="37"/>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5"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CIVEO CORPORATION</w:t>
      </w:r>
    </w:p>
    <w:p>
      <w:pPr>
        <w:spacing w:after="0" w:line="351" w:lineRule="exact"/>
        <w:rPr>
          <w:sz w:val="20"/>
          <w:szCs w:val="20"/>
          <w:color w:val="auto"/>
        </w:rPr>
      </w:pPr>
    </w:p>
    <w:p>
      <w:pPr>
        <w:ind w:left="20"/>
        <w:spacing w:after="0"/>
        <w:tabs>
          <w:tab w:leader="none" w:pos="5440" w:val="left"/>
        </w:tabs>
        <w:rPr>
          <w:sz w:val="20"/>
          <w:szCs w:val="20"/>
          <w:color w:val="auto"/>
        </w:rPr>
      </w:pPr>
      <w:r>
        <w:rPr>
          <w:rFonts w:ascii="Times New Roman" w:cs="Times New Roman" w:eastAsia="Times New Roman" w:hAnsi="Times New Roman"/>
          <w:sz w:val="17"/>
          <w:szCs w:val="17"/>
          <w:u w:val="single" w:color="auto"/>
          <w:color w:val="auto"/>
        </w:rPr>
        <w:t>Date: October 30, 2024</w:t>
      </w:r>
      <w:r>
        <w:rPr>
          <w:sz w:val="20"/>
          <w:szCs w:val="20"/>
          <w:color w:val="auto"/>
        </w:rPr>
        <w:tab/>
      </w:r>
      <w:r>
        <w:rPr>
          <w:rFonts w:ascii="Times New Roman" w:cs="Times New Roman" w:eastAsia="Times New Roman" w:hAnsi="Times New Roman"/>
          <w:sz w:val="17"/>
          <w:szCs w:val="17"/>
          <w:b w:val="1"/>
          <w:bCs w:val="1"/>
          <w:color w:val="auto"/>
        </w:rPr>
        <w:t>By /s/ E. Collin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-2540</wp:posOffset>
            </wp:positionV>
            <wp:extent cx="15576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557655" cy="8255"/>
                    </a:xfrm>
                    <a:prstGeom prst="rect">
                      <a:avLst/>
                    </a:prstGeom>
                    <a:noFill/>
                  </pic:spPr>
                </pic:pic>
              </a:graphicData>
            </a:graphic>
          </wp:anchor>
        </w:drawing>
      </w:r>
    </w:p>
    <w:p>
      <w:pPr>
        <w:spacing w:after="0" w:line="1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E. Collin Gerry</w:t>
      </w:r>
    </w:p>
    <w:p>
      <w:pPr>
        <w:spacing w:after="0" w:line="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b w:val="1"/>
          <w:bCs w:val="1"/>
          <w:color w:val="auto"/>
        </w:rPr>
        <w:t>Senior Vice President, Chief Financial Officer and Treasurer (Duly</w:t>
      </w:r>
    </w:p>
    <w:p>
      <w:pPr>
        <w:ind w:left="5460"/>
        <w:spacing w:after="0"/>
        <w:rPr>
          <w:sz w:val="20"/>
          <w:szCs w:val="20"/>
          <w:color w:val="auto"/>
        </w:rPr>
      </w:pPr>
      <w:r>
        <w:rPr>
          <w:rFonts w:ascii="Times New Roman" w:cs="Times New Roman" w:eastAsia="Times New Roman" w:hAnsi="Times New Roman"/>
          <w:sz w:val="17"/>
          <w:szCs w:val="17"/>
          <w:b w:val="1"/>
          <w:bCs w:val="1"/>
          <w:color w:val="auto"/>
        </w:rPr>
        <w:t>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240"/>
          </w:cols>
          <w:pgMar w:left="320" w:top="1440"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 Bradley J. Dodson, certify that:</w:t>
      </w:r>
    </w:p>
    <w:p>
      <w:pPr>
        <w:spacing w:after="0" w:line="353" w:lineRule="exact"/>
        <w:rPr>
          <w:sz w:val="20"/>
          <w:szCs w:val="20"/>
          <w:color w:val="auto"/>
        </w:rPr>
      </w:pPr>
    </w:p>
    <w:p>
      <w:pPr>
        <w:ind w:left="340" w:hanging="318"/>
        <w:spacing w:after="0"/>
        <w:tabs>
          <w:tab w:leader="none" w:pos="3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Civeo Corporation (Registrant);</w:t>
      </w:r>
    </w:p>
    <w:p>
      <w:pPr>
        <w:spacing w:after="0" w:line="66" w:lineRule="exact"/>
        <w:rPr>
          <w:sz w:val="20"/>
          <w:szCs w:val="20"/>
          <w:color w:val="auto"/>
        </w:rPr>
      </w:pPr>
    </w:p>
    <w:p>
      <w:pPr>
        <w:jc w:val="both"/>
        <w:ind w:left="340" w:right="2340" w:hanging="318"/>
        <w:spacing w:after="0" w:line="232" w:lineRule="auto"/>
        <w:tabs>
          <w:tab w:leader="none" w:pos="3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sz w:val="20"/>
          <w:szCs w:val="20"/>
          <w:color w:val="auto"/>
        </w:rPr>
      </w:pPr>
    </w:p>
    <w:p>
      <w:pPr>
        <w:jc w:val="both"/>
        <w:ind w:left="340" w:right="2320" w:hanging="318"/>
        <w:spacing w:after="0" w:line="232" w:lineRule="auto"/>
        <w:tabs>
          <w:tab w:leader="none" w:pos="3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sz w:val="20"/>
          <w:szCs w:val="20"/>
          <w:color w:val="auto"/>
        </w:rPr>
      </w:pPr>
    </w:p>
    <w:p>
      <w:pPr>
        <w:jc w:val="both"/>
        <w:ind w:left="340" w:right="2320" w:hanging="318"/>
        <w:spacing w:after="0" w:line="232" w:lineRule="auto"/>
        <w:tabs>
          <w:tab w:leader="none" w:pos="3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Times New Roman" w:cs="Times New Roman" w:eastAsia="Times New Roman" w:hAnsi="Times New Roman"/>
          <w:sz w:val="17"/>
          <w:szCs w:val="17"/>
          <w:color w:val="auto"/>
        </w:rPr>
      </w:pPr>
    </w:p>
    <w:p>
      <w:pPr>
        <w:ind w:left="700" w:right="2320" w:hanging="36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Times New Roman" w:cs="Times New Roman" w:eastAsia="Times New Roman" w:hAnsi="Times New Roman"/>
          <w:sz w:val="17"/>
          <w:szCs w:val="17"/>
          <w:color w:val="auto"/>
        </w:rPr>
      </w:pPr>
    </w:p>
    <w:p>
      <w:pPr>
        <w:ind w:left="700" w:right="2340" w:hanging="36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ind w:left="700" w:right="2320" w:hanging="366"/>
        <w:spacing w:after="0" w:line="2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sz w:val="20"/>
          <w:szCs w:val="20"/>
          <w:color w:val="auto"/>
        </w:rPr>
      </w:pPr>
    </w:p>
    <w:p>
      <w:pPr>
        <w:jc w:val="both"/>
        <w:ind w:left="700" w:right="2340" w:hanging="364"/>
        <w:spacing w:after="0" w:line="230" w:lineRule="auto"/>
        <w:tabs>
          <w:tab w:leader="none" w:pos="7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sz w:val="20"/>
          <w:szCs w:val="20"/>
          <w:color w:val="auto"/>
        </w:rPr>
      </w:pPr>
    </w:p>
    <w:p>
      <w:pPr>
        <w:jc w:val="both"/>
        <w:ind w:left="340" w:right="2320" w:hanging="318"/>
        <w:spacing w:after="0" w:line="232" w:lineRule="auto"/>
        <w:tabs>
          <w:tab w:leader="none" w:pos="3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Times New Roman" w:cs="Times New Roman" w:eastAsia="Times New Roman" w:hAnsi="Times New Roman"/>
          <w:sz w:val="17"/>
          <w:szCs w:val="17"/>
          <w:color w:val="auto"/>
        </w:rPr>
      </w:pPr>
    </w:p>
    <w:p>
      <w:pPr>
        <w:ind w:left="700" w:right="2340" w:hanging="366"/>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Times New Roman" w:cs="Times New Roman" w:eastAsia="Times New Roman" w:hAnsi="Times New Roman"/>
          <w:sz w:val="17"/>
          <w:szCs w:val="17"/>
          <w:color w:val="auto"/>
        </w:rPr>
      </w:pPr>
    </w:p>
    <w:p>
      <w:pPr>
        <w:ind w:left="700" w:right="2320" w:hanging="366"/>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30, 2024</w:t>
      </w:r>
    </w:p>
    <w:p>
      <w:pPr>
        <w:spacing w:after="0" w:line="14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20320</wp:posOffset>
            </wp:positionV>
            <wp:extent cx="2879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879725"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Bradley J. Dodson</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86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 E. Collin Gerry, certify that:</w:t>
      </w:r>
    </w:p>
    <w:p>
      <w:pPr>
        <w:spacing w:after="0" w:line="353" w:lineRule="exact"/>
        <w:rPr>
          <w:sz w:val="20"/>
          <w:szCs w:val="20"/>
          <w:color w:val="auto"/>
        </w:rPr>
      </w:pPr>
    </w:p>
    <w:p>
      <w:pPr>
        <w:ind w:left="320" w:hanging="298"/>
        <w:spacing w:after="0"/>
        <w:tabs>
          <w:tab w:leader="none" w:pos="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Civeo Corporation (Registrant);</w:t>
      </w:r>
    </w:p>
    <w:p>
      <w:pPr>
        <w:spacing w:after="0" w:line="66" w:lineRule="exact"/>
        <w:rPr>
          <w:sz w:val="20"/>
          <w:szCs w:val="20"/>
          <w:color w:val="auto"/>
        </w:rPr>
      </w:pPr>
    </w:p>
    <w:p>
      <w:pPr>
        <w:jc w:val="both"/>
        <w:ind w:left="320" w:right="2420" w:hanging="298"/>
        <w:spacing w:after="0" w:line="232" w:lineRule="auto"/>
        <w:tabs>
          <w:tab w:leader="none" w:pos="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sz w:val="20"/>
          <w:szCs w:val="20"/>
          <w:color w:val="auto"/>
        </w:rPr>
      </w:pPr>
    </w:p>
    <w:p>
      <w:pPr>
        <w:jc w:val="both"/>
        <w:ind w:left="320" w:right="2420" w:hanging="298"/>
        <w:spacing w:after="0" w:line="232" w:lineRule="auto"/>
        <w:tabs>
          <w:tab w:leader="none" w:pos="3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sz w:val="20"/>
          <w:szCs w:val="20"/>
          <w:color w:val="auto"/>
        </w:rPr>
      </w:pPr>
    </w:p>
    <w:p>
      <w:pPr>
        <w:jc w:val="both"/>
        <w:ind w:left="320" w:right="2420" w:hanging="298"/>
        <w:spacing w:after="0" w:line="232" w:lineRule="auto"/>
        <w:tabs>
          <w:tab w:leader="none" w:pos="3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Times New Roman" w:cs="Times New Roman" w:eastAsia="Times New Roman" w:hAnsi="Times New Roman"/>
          <w:sz w:val="17"/>
          <w:szCs w:val="17"/>
          <w:color w:val="auto"/>
        </w:rPr>
      </w:pPr>
    </w:p>
    <w:p>
      <w:pPr>
        <w:ind w:left="720" w:right="2420" w:hanging="392"/>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 w:lineRule="exact"/>
        <w:rPr>
          <w:rFonts w:ascii="Times New Roman" w:cs="Times New Roman" w:eastAsia="Times New Roman" w:hAnsi="Times New Roman"/>
          <w:sz w:val="17"/>
          <w:szCs w:val="17"/>
          <w:color w:val="auto"/>
        </w:rPr>
      </w:pPr>
    </w:p>
    <w:p>
      <w:pPr>
        <w:ind w:left="720" w:right="2420" w:hanging="39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7"/>
          <w:szCs w:val="17"/>
          <w:color w:val="auto"/>
        </w:rPr>
      </w:pPr>
    </w:p>
    <w:p>
      <w:pPr>
        <w:ind w:left="720" w:right="2420" w:hanging="392"/>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Times New Roman" w:cs="Times New Roman" w:eastAsia="Times New Roman" w:hAnsi="Times New Roman"/>
          <w:sz w:val="17"/>
          <w:szCs w:val="17"/>
          <w:color w:val="auto"/>
        </w:rPr>
      </w:pPr>
    </w:p>
    <w:p>
      <w:pPr>
        <w:ind w:left="720" w:right="2420" w:hanging="392"/>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sz w:val="20"/>
          <w:szCs w:val="20"/>
          <w:color w:val="auto"/>
        </w:rPr>
      </w:pPr>
    </w:p>
    <w:p>
      <w:pPr>
        <w:jc w:val="both"/>
        <w:ind w:left="320" w:right="2420" w:hanging="298"/>
        <w:spacing w:after="0" w:line="232" w:lineRule="auto"/>
        <w:tabs>
          <w:tab w:leader="none" w:pos="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Times New Roman" w:cs="Times New Roman" w:eastAsia="Times New Roman" w:hAnsi="Times New Roman"/>
          <w:sz w:val="17"/>
          <w:szCs w:val="17"/>
          <w:color w:val="auto"/>
        </w:rPr>
      </w:pPr>
    </w:p>
    <w:p>
      <w:pPr>
        <w:ind w:left="720" w:right="2420" w:hanging="392"/>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Times New Roman" w:cs="Times New Roman" w:eastAsia="Times New Roman" w:hAnsi="Times New Roman"/>
          <w:sz w:val="17"/>
          <w:szCs w:val="17"/>
          <w:color w:val="auto"/>
        </w:rPr>
      </w:pPr>
    </w:p>
    <w:p>
      <w:pPr>
        <w:ind w:left="720" w:right="2420" w:hanging="392"/>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30, 2024</w:t>
      </w:r>
    </w:p>
    <w:p>
      <w:pPr>
        <w:spacing w:after="0" w:line="35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 E. Collin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20320</wp:posOffset>
            </wp:positionV>
            <wp:extent cx="2879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879725"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E. Collin Gerry</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ectPr>
          <w:pgSz w:w="11900" w:h="16838" w:orient="portrait"/>
          <w:cols w:equalWidth="0" w:num="1">
            <w:col w:w="11240"/>
          </w:cols>
          <w:pgMar w:left="320" w:top="86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14" w:lineRule="exact"/>
        <w:rPr>
          <w:sz w:val="20"/>
          <w:szCs w:val="20"/>
          <w:color w:val="auto"/>
        </w:rPr>
      </w:pPr>
    </w:p>
    <w:p>
      <w:pPr>
        <w:jc w:val="both"/>
        <w:ind w:firstLine="784"/>
        <w:spacing w:after="0" w:line="273" w:lineRule="auto"/>
        <w:rPr>
          <w:sz w:val="20"/>
          <w:szCs w:val="20"/>
          <w:color w:val="auto"/>
        </w:rPr>
      </w:pPr>
      <w:r>
        <w:rPr>
          <w:rFonts w:ascii="Times New Roman" w:cs="Times New Roman" w:eastAsia="Times New Roman" w:hAnsi="Times New Roman"/>
          <w:sz w:val="17"/>
          <w:szCs w:val="17"/>
          <w:color w:val="auto"/>
        </w:rPr>
        <w:t>In connection with the Quarterly Report on Form 10-Q of Civeo Corporation (the “Company”) for the quarterly period ended September 30, 2024,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260" w:val="left"/>
        </w:tabs>
        <w:rPr>
          <w:sz w:val="20"/>
          <w:szCs w:val="20"/>
          <w:color w:val="auto"/>
        </w:rPr>
      </w:pPr>
      <w:r>
        <w:rPr>
          <w:rFonts w:ascii="Times New Roman" w:cs="Times New Roman" w:eastAsia="Times New Roman" w:hAnsi="Times New Roman"/>
          <w:sz w:val="17"/>
          <w:szCs w:val="17"/>
          <w:color w:val="auto"/>
        </w:rPr>
        <w:t>1</w:t>
        <w:tab/>
        <w:t>The Report fully complies with the requirements of Section 13(a) or 15(d) of the Securities Exchange Act of 1934; and</w:t>
      </w:r>
    </w:p>
    <w:p>
      <w:pPr>
        <w:spacing w:after="0" w:line="66" w:lineRule="exact"/>
        <w:rPr>
          <w:sz w:val="20"/>
          <w:szCs w:val="20"/>
          <w:color w:val="auto"/>
        </w:rPr>
      </w:pPr>
    </w:p>
    <w:p>
      <w:pPr>
        <w:ind w:left="280" w:right="2340" w:hanging="258"/>
        <w:spacing w:after="0" w:line="247" w:lineRule="auto"/>
        <w:tabs>
          <w:tab w:leader="none" w:pos="2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/s/ Bradley J. Dodson</w:t>
      </w:r>
    </w:p>
    <w:p>
      <w:pPr>
        <w:spacing w:after="0" w:line="32" w:lineRule="exact"/>
        <w:rPr>
          <w:sz w:val="20"/>
          <w:szCs w:val="20"/>
          <w:color w:val="auto"/>
        </w:rPr>
      </w:pPr>
    </w:p>
    <w:tbl>
      <w:tblPr>
        <w:tblLayout w:type="fixed"/>
        <w:tblInd w:w="5920" w:type="dxa"/>
        <w:tblCellMar>
          <w:top w:w="0" w:type="dxa"/>
          <w:left w:w="0" w:type="dxa"/>
          <w:bottom w:w="0" w:type="dxa"/>
          <w:right w:w="0" w:type="dxa"/>
        </w:tblCellMar>
      </w:tblPr>
      <w:tr>
        <w:trPr>
          <w:trHeight w:val="210"/>
        </w:trPr>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Name:</w:t>
            </w:r>
          </w:p>
        </w:tc>
        <w:tc>
          <w:tcPr>
            <w:tcW w:w="34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Bradley J. Dodson</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October 30, 2024</w:t>
            </w:r>
          </w:p>
        </w:tc>
      </w:tr>
    </w:tbl>
    <w:p>
      <w:pPr>
        <w:sectPr>
          <w:pgSz w:w="11900" w:h="16838" w:orient="portrait"/>
          <w:cols w:equalWidth="0" w:num="1">
            <w:col w:w="11240"/>
          </w:cols>
          <w:pgMar w:left="320" w:top="86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2" w:lineRule="exact"/>
        <w:rPr>
          <w:sz w:val="20"/>
          <w:szCs w:val="20"/>
          <w:color w:val="auto"/>
        </w:rPr>
      </w:pPr>
    </w:p>
    <w:p>
      <w:pPr>
        <w:ind w:right="20" w:firstLine="784"/>
        <w:spacing w:after="0" w:line="253" w:lineRule="auto"/>
        <w:rPr>
          <w:sz w:val="20"/>
          <w:szCs w:val="20"/>
          <w:color w:val="auto"/>
        </w:rPr>
      </w:pPr>
      <w:r>
        <w:rPr>
          <w:rFonts w:ascii="Times New Roman" w:cs="Times New Roman" w:eastAsia="Times New Roman" w:hAnsi="Times New Roman"/>
          <w:sz w:val="17"/>
          <w:szCs w:val="17"/>
          <w:color w:val="auto"/>
        </w:rPr>
        <w:t>In connection with the Quarterly Report on Form 10-Q of Civeo Corporation (the “Company”) for the quarterly period ended September 30, 2024, as filed with the Securities and Exchange Commission on the date hereof (the “Report”), I, E. Collin Gerry, Senior Vice President, Chief Financial Officer and Treasurer of the Company, hereby certify, pursuant to 18 U.S.C. Section 1350, as adopted pursuant to Section 906 of the Sarbanes-Oxley Act of 2002, to the best of my knowledge, that:</w:t>
      </w:r>
    </w:p>
    <w:p>
      <w:pPr>
        <w:spacing w:after="0" w:line="300" w:lineRule="exact"/>
        <w:rPr>
          <w:sz w:val="20"/>
          <w:szCs w:val="20"/>
          <w:color w:val="auto"/>
        </w:rPr>
      </w:pPr>
    </w:p>
    <w:p>
      <w:pPr>
        <w:ind w:left="20"/>
        <w:spacing w:after="0"/>
        <w:tabs>
          <w:tab w:leader="none" w:pos="260" w:val="left"/>
        </w:tabs>
        <w:rPr>
          <w:sz w:val="20"/>
          <w:szCs w:val="20"/>
          <w:color w:val="auto"/>
        </w:rPr>
      </w:pPr>
      <w:r>
        <w:rPr>
          <w:rFonts w:ascii="Times New Roman" w:cs="Times New Roman" w:eastAsia="Times New Roman" w:hAnsi="Times New Roman"/>
          <w:sz w:val="17"/>
          <w:szCs w:val="17"/>
          <w:color w:val="auto"/>
        </w:rPr>
        <w:t>1</w:t>
        <w:tab/>
        <w:t>The Report fully complies with the requirements of Section 13(a) or 15(d) of the Securities Exchange Act of 1934; and</w:t>
      </w:r>
    </w:p>
    <w:p>
      <w:pPr>
        <w:spacing w:after="0" w:line="66" w:lineRule="exact"/>
        <w:rPr>
          <w:sz w:val="20"/>
          <w:szCs w:val="20"/>
          <w:color w:val="auto"/>
        </w:rPr>
      </w:pPr>
    </w:p>
    <w:p>
      <w:pPr>
        <w:ind w:left="280" w:right="2340" w:hanging="258"/>
        <w:spacing w:after="0" w:line="263" w:lineRule="auto"/>
        <w:tabs>
          <w:tab w:leader="none" w:pos="2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4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/s/ E. Collin Gerry</w:t>
      </w:r>
    </w:p>
    <w:p>
      <w:pPr>
        <w:spacing w:after="0" w:line="32" w:lineRule="exact"/>
        <w:rPr>
          <w:sz w:val="20"/>
          <w:szCs w:val="20"/>
          <w:color w:val="auto"/>
        </w:rPr>
      </w:pPr>
    </w:p>
    <w:tbl>
      <w:tblPr>
        <w:tblLayout w:type="fixed"/>
        <w:tblInd w:w="5760" w:type="dxa"/>
        <w:tblCellMar>
          <w:top w:w="0" w:type="dxa"/>
          <w:left w:w="0" w:type="dxa"/>
          <w:bottom w:w="0" w:type="dxa"/>
          <w:right w:w="0" w:type="dxa"/>
        </w:tblCellMar>
      </w:tblPr>
      <w:tr>
        <w:trPr>
          <w:trHeight w:val="210"/>
        </w:trPr>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34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E. Collin Gerry</w:t>
            </w:r>
          </w:p>
        </w:tc>
      </w:tr>
      <w:tr>
        <w:trPr>
          <w:trHeight w:val="227"/>
        </w:trPr>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3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October 30, 2024</w:t>
            </w:r>
          </w:p>
        </w:tc>
      </w:tr>
    </w:tbl>
    <w:p>
      <w:pPr>
        <w:spacing w:after="0" w:line="1" w:lineRule="exact"/>
        <w:rPr>
          <w:sz w:val="20"/>
          <w:szCs w:val="20"/>
          <w:color w:val="auto"/>
        </w:rPr>
      </w:pPr>
    </w:p>
    <w:sectPr>
      <w:pgSz w:w="11900" w:h="16838" w:orient="portrait"/>
      <w:cols w:equalWidth="0" w:num="1">
        <w:col w:w="11240"/>
      </w:cols>
      <w:pgMar w:left="320" w:top="8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5"/>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6"/>
    </w:lvl>
  </w:abstractNum>
  <w:abstractNum w:abstractNumId="9">
    <w:nsid w:val="8EDBDAB"/>
    <w:multiLevelType w:val="hybridMultilevel"/>
    <w:lvl w:ilvl="0">
      <w:lvlJc w:val="left"/>
      <w:lvlText w:val="%1."/>
      <w:numFmt w:val="decimal"/>
      <w:start w:val="7"/>
    </w:lvl>
  </w:abstractNum>
  <w:abstractNum w:abstractNumId="10">
    <w:nsid w:val="79838CB2"/>
    <w:multiLevelType w:val="hybridMultilevel"/>
    <w:lvl w:ilvl="0">
      <w:lvlJc w:val="left"/>
      <w:lvlText w:val="%1."/>
      <w:numFmt w:val="decimal"/>
      <w:start w:val="8"/>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9"/>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lowerRoman"/>
      <w:start w:val="2"/>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
      <w:numFmt w:val="bullet"/>
      <w:start w:val="1"/>
    </w:lvl>
    <w:lvl w:ilvl="1">
      <w:lvlJc w:val="left"/>
      <w:lvlText w:val="%2"/>
      <w:numFmt w:val="decimal"/>
      <w:start w:val="104"/>
    </w:lvl>
  </w:abstractNum>
  <w:abstractNum w:abstractNumId="24">
    <w:nsid w:val="6CEAF087"/>
    <w:multiLevelType w:val="hybridMultilevel"/>
    <w:lvl w:ilvl="0">
      <w:lvlJc w:val="left"/>
      <w:lvlText w:val="**"/>
      <w:numFmt w:val="bullet"/>
      <w:start w:val="1"/>
    </w:lvl>
    <w:lvl w:ilvl="1">
      <w:lvlJc w:val="left"/>
      <w:lvlText w:val="%2"/>
      <w:numFmt w:val="decimal"/>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bullet"/>
      <w:start w:val="1"/>
    </w:lvl>
  </w:abstractNum>
  <w:abstractNum w:abstractNumId="27">
    <w:nsid w:val="3006C83E"/>
    <w:multiLevelType w:val="hybridMultilevel"/>
    <w:lvl w:ilvl="0">
      <w:lvlJc w:val="left"/>
      <w:lvlText w:val="2"/>
      <w:numFmt w:val="bullet"/>
      <w:start w:val="1"/>
    </w:lvl>
  </w:abstractNum>
  <w:abstractNum w:abstractNumId="28">
    <w:nsid w:val="614FD4A1"/>
    <w:multiLevelType w:val="hybridMultilevel"/>
    <w:lvl w:ilvl="0">
      <w:lvlJc w:val="left"/>
      <w:lvlText w:val="3"/>
      <w:numFmt w:val="bullet"/>
      <w:start w:val="1"/>
    </w:lvl>
  </w:abstractNum>
  <w:abstractNum w:abstractNumId="29">
    <w:nsid w:val="419AC241"/>
    <w:multiLevelType w:val="hybridMultilevel"/>
    <w:lvl w:ilvl="0">
      <w:lvlJc w:val="left"/>
      <w:lvlText w:val="4"/>
      <w:numFmt w:val="bullet"/>
      <w:start w:val="1"/>
    </w:lvl>
  </w:abstractNum>
  <w:abstractNum w:abstractNumId="30">
    <w:nsid w:val="5577F8E1"/>
    <w:multiLevelType w:val="hybridMultilevel"/>
    <w:lvl w:ilvl="0">
      <w:lvlJc w:val="left"/>
      <w:lvlText w:val="d"/>
      <w:numFmt w:val="bullet"/>
      <w:start w:val="1"/>
    </w:lvl>
  </w:abstractNum>
  <w:abstractNum w:abstractNumId="31">
    <w:nsid w:val="440BADFC"/>
    <w:multiLevelType w:val="hybridMultilevel"/>
    <w:lvl w:ilvl="0">
      <w:lvlJc w:val="left"/>
      <w:lvlText w:val="5"/>
      <w:numFmt w:val="bullet"/>
      <w:start w:val="1"/>
    </w:lvl>
  </w:abstractNum>
  <w:abstractNum w:abstractNumId="32">
    <w:nsid w:val="5072367"/>
    <w:multiLevelType w:val="hybridMultilevel"/>
    <w:lvl w:ilvl="0">
      <w:lvlJc w:val="left"/>
      <w:lvlText w:val="1"/>
      <w:numFmt w:val="bullet"/>
      <w:start w:val="1"/>
    </w:lvl>
  </w:abstractNum>
  <w:abstractNum w:abstractNumId="33">
    <w:nsid w:val="3804823E"/>
    <w:multiLevelType w:val="hybridMultilevel"/>
    <w:lvl w:ilvl="0">
      <w:lvlJc w:val="left"/>
      <w:lvlText w:val="2"/>
      <w:numFmt w:val="bullet"/>
      <w:start w:val="1"/>
    </w:lvl>
  </w:abstractNum>
  <w:abstractNum w:abstractNumId="34">
    <w:nsid w:val="77465F01"/>
    <w:multiLevelType w:val="hybridMultilevel"/>
    <w:lvl w:ilvl="0">
      <w:lvlJc w:val="left"/>
      <w:lvlText w:val="3"/>
      <w:numFmt w:val="bullet"/>
      <w:start w:val="1"/>
    </w:lvl>
  </w:abstractNum>
  <w:abstractNum w:abstractNumId="35">
    <w:nsid w:val="7724C67E"/>
    <w:multiLevelType w:val="hybridMultilevel"/>
    <w:lvl w:ilvl="0">
      <w:lvlJc w:val="left"/>
      <w:lvlText w:val="4"/>
      <w:numFmt w:val="bullet"/>
      <w:start w:val="1"/>
    </w:lvl>
  </w:abstractNum>
  <w:abstractNum w:abstractNumId="36">
    <w:nsid w:val="5C482A97"/>
    <w:multiLevelType w:val="hybridMultilevel"/>
    <w:lvl w:ilvl="0">
      <w:lvlJc w:val="left"/>
      <w:lvlText w:val="5"/>
      <w:numFmt w:val="bullet"/>
      <w:start w:val="1"/>
    </w:lvl>
  </w:abstractNum>
  <w:abstractNum w:abstractNumId="37">
    <w:nsid w:val="2463B9EA"/>
    <w:multiLevelType w:val="hybridMultilevel"/>
    <w:lvl w:ilvl="0">
      <w:lvlJc w:val="left"/>
      <w:lvlText w:val="2"/>
      <w:numFmt w:val="bullet"/>
      <w:start w:val="1"/>
    </w:lvl>
  </w:abstractNum>
  <w:abstractNum w:abstractNumId="38">
    <w:nsid w:val="5E884AD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68" Type="http://schemas.openxmlformats.org/officeDocument/2006/relationships/hyperlink" Target="https://www.sec.gov/Archives/edgar/data/1590584/000159058424000137/rbc-civeoxthirdamendmentc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2024-10-30T12:54:25Z</dcterms:created>
  <dcterms:modified xsi:type="dcterms:W3CDTF">2024-10-30T12:54:25Z</dcterms:modified>
</cp:coreProperties>
</file>