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ind w:left="4980"/>
        <w:spacing w:after="0"/>
        <w:rPr>
          <w:sz w:val="20"/>
          <w:szCs w:val="20"/>
          <w:color w:val="auto"/>
        </w:rPr>
      </w:pPr>
      <w:r>
        <w:rPr>
          <w:rFonts w:ascii="Arial" w:cs="Arial" w:eastAsia="Arial" w:hAnsi="Arial"/>
          <w:sz w:val="17"/>
          <w:szCs w:val="17"/>
          <w:color w:val="auto"/>
        </w:rPr>
        <w:t>UNITED STATES</w:t>
      </w:r>
    </w:p>
    <w:p>
      <w:pPr>
        <w:spacing w:after="0" w:line="26" w:lineRule="exact"/>
        <w:rPr>
          <w:sz w:val="24"/>
          <w:szCs w:val="24"/>
          <w:color w:val="auto"/>
        </w:rPr>
      </w:pPr>
    </w:p>
    <w:p>
      <w:pPr>
        <w:ind w:left="3920"/>
        <w:spacing w:after="0"/>
        <w:rPr>
          <w:sz w:val="20"/>
          <w:szCs w:val="20"/>
          <w:color w:val="auto"/>
        </w:rPr>
      </w:pPr>
      <w:r>
        <w:rPr>
          <w:rFonts w:ascii="Arial" w:cs="Arial" w:eastAsia="Arial" w:hAnsi="Arial"/>
          <w:sz w:val="17"/>
          <w:szCs w:val="17"/>
          <w:color w:val="auto"/>
        </w:rPr>
        <w:t>SECURITIES AND EXCHANGE COMMISSION</w:t>
      </w:r>
    </w:p>
    <w:p>
      <w:pPr>
        <w:spacing w:after="0" w:line="14"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Washington, D.C. 20549</w:t>
      </w:r>
    </w:p>
    <w:p>
      <w:pPr>
        <w:spacing w:after="0" w:line="15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FORM 10-Q</w:t>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145" w:lineRule="exact"/>
        <w:rPr>
          <w:sz w:val="24"/>
          <w:szCs w:val="24"/>
          <w:color w:val="auto"/>
        </w:rPr>
      </w:pPr>
    </w:p>
    <w:p>
      <w:pPr>
        <w:ind w:left="820" w:hanging="785"/>
        <w:spacing w:after="0"/>
        <w:tabs>
          <w:tab w:leader="none" w:pos="82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QUARTERLY REPORT PURSUANT TO SECTION 13 OR 15(d) OF THE SECURITIES EXCHANGE ACT OF 1934</w:t>
      </w:r>
    </w:p>
    <w:p>
      <w:pPr>
        <w:spacing w:after="0" w:line="111" w:lineRule="exact"/>
        <w:rPr>
          <w:sz w:val="24"/>
          <w:szCs w:val="24"/>
          <w:color w:val="auto"/>
        </w:rPr>
      </w:pPr>
    </w:p>
    <w:p>
      <w:pPr>
        <w:ind w:left="640"/>
        <w:spacing w:after="0"/>
        <w:rPr>
          <w:sz w:val="20"/>
          <w:szCs w:val="20"/>
          <w:color w:val="auto"/>
        </w:rPr>
      </w:pPr>
      <w:r>
        <w:rPr>
          <w:rFonts w:ascii="Arial" w:cs="Arial" w:eastAsia="Arial" w:hAnsi="Arial"/>
          <w:sz w:val="17"/>
          <w:szCs w:val="17"/>
          <w:color w:val="auto"/>
        </w:rPr>
        <w:t>For the quarterly period ended March 31, 2022</w:t>
      </w:r>
    </w:p>
    <w:p>
      <w:pPr>
        <w:spacing w:after="0" w:line="66" w:lineRule="exact"/>
        <w:rPr>
          <w:sz w:val="24"/>
          <w:szCs w:val="24"/>
          <w:color w:val="auto"/>
        </w:rPr>
      </w:pPr>
    </w:p>
    <w:p>
      <w:pPr>
        <w:jc w:val="center"/>
        <w:ind w:left="460"/>
        <w:spacing w:after="0"/>
        <w:rPr>
          <w:sz w:val="20"/>
          <w:szCs w:val="20"/>
          <w:color w:val="auto"/>
        </w:rPr>
      </w:pPr>
      <w:r>
        <w:rPr>
          <w:rFonts w:ascii="Arial" w:cs="Arial" w:eastAsia="Arial" w:hAnsi="Arial"/>
          <w:sz w:val="17"/>
          <w:szCs w:val="17"/>
          <w:color w:val="auto"/>
        </w:rPr>
        <w:t>OR</w:t>
      </w:r>
    </w:p>
    <w:p>
      <w:pPr>
        <w:spacing w:after="0" w:line="106" w:lineRule="exact"/>
        <w:rPr>
          <w:sz w:val="24"/>
          <w:szCs w:val="24"/>
          <w:color w:val="auto"/>
        </w:rPr>
      </w:pPr>
    </w:p>
    <w:p>
      <w:pPr>
        <w:ind w:left="1760" w:hanging="795"/>
        <w:spacing w:after="0"/>
        <w:tabs>
          <w:tab w:leader="none" w:pos="17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61"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For the transition period from _________________________ to _________________________</w:t>
      </w:r>
    </w:p>
    <w:p>
      <w:pPr>
        <w:spacing w:after="0" w:line="119"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u w:val="single" w:color="auto"/>
          <w:color w:val="auto"/>
        </w:rPr>
        <w:t>001-36246</w:t>
      </w:r>
    </w:p>
    <w:p>
      <w:pPr>
        <w:spacing w:after="0" w:line="117" w:lineRule="exact"/>
        <w:rPr>
          <w:sz w:val="24"/>
          <w:szCs w:val="24"/>
          <w:color w:val="auto"/>
        </w:rPr>
      </w:pPr>
    </w:p>
    <w:p>
      <w:pPr>
        <w:jc w:val="center"/>
        <w:ind w:right="-159"/>
        <w:spacing w:after="0"/>
        <w:rPr>
          <w:sz w:val="20"/>
          <w:szCs w:val="20"/>
          <w:color w:val="auto"/>
        </w:rPr>
      </w:pPr>
      <w:r>
        <w:rPr>
          <w:rFonts w:ascii="Arial" w:cs="Arial" w:eastAsia="Arial" w:hAnsi="Arial"/>
          <w:sz w:val="21"/>
          <w:szCs w:val="21"/>
          <w:b w:val="1"/>
          <w:bCs w:val="1"/>
          <w:color w:val="auto"/>
        </w:rPr>
        <w:t>Civeo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2939415</wp:posOffset>
            </wp:positionH>
            <wp:positionV relativeFrom="paragraph">
              <wp:posOffset>30480</wp:posOffset>
            </wp:positionV>
            <wp:extent cx="13639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980" cy="8255"/>
                    </a:xfrm>
                    <a:prstGeom prst="rect">
                      <a:avLst/>
                    </a:prstGeom>
                    <a:noFill/>
                  </pic:spPr>
                </pic:pic>
              </a:graphicData>
            </a:graphic>
          </wp:anchor>
        </w:drawing>
      </w:r>
    </w:p>
    <w:p>
      <w:pPr>
        <w:spacing w:after="0" w:line="16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(Exact name of registrant as specified in its charter)</w:t>
      </w:r>
    </w:p>
    <w:p>
      <w:pPr>
        <w:spacing w:after="0" w:line="237" w:lineRule="exact"/>
        <w:rPr>
          <w:sz w:val="24"/>
          <w:szCs w:val="24"/>
          <w:color w:val="auto"/>
        </w:rPr>
      </w:pPr>
    </w:p>
    <w:tbl>
      <w:tblPr>
        <w:tblLayout w:type="fixed"/>
        <w:tblInd w:w="1100" w:type="dxa"/>
        <w:tblCellMar>
          <w:top w:w="0" w:type="dxa"/>
          <w:left w:w="0" w:type="dxa"/>
          <w:bottom w:w="0" w:type="dxa"/>
          <w:right w:w="0" w:type="dxa"/>
        </w:tblCellMar>
      </w:tblPr>
      <w:tr>
        <w:trPr>
          <w:trHeight w:val="195"/>
        </w:trPr>
        <w:tc>
          <w:tcPr>
            <w:tcW w:w="80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Arial" w:cs="Arial" w:eastAsia="Arial" w:hAnsi="Arial"/>
                <w:sz w:val="17"/>
                <w:szCs w:val="17"/>
                <w:color w:val="auto"/>
                <w:w w:val="94"/>
              </w:rPr>
              <w:t>British Columbia, Canada</w:t>
            </w:r>
          </w:p>
        </w:tc>
        <w:tc>
          <w:tcPr>
            <w:tcW w:w="1100" w:type="dxa"/>
            <w:vAlign w:val="bottom"/>
          </w:tcPr>
          <w:p>
            <w:pPr>
              <w:spacing w:after="0"/>
              <w:rPr>
                <w:sz w:val="16"/>
                <w:szCs w:val="16"/>
                <w:color w:val="auto"/>
              </w:rPr>
            </w:pPr>
          </w:p>
        </w:tc>
        <w:tc>
          <w:tcPr>
            <w:tcW w:w="4240" w:type="dxa"/>
            <w:vAlign w:val="bottom"/>
            <w:gridSpan w:val="5"/>
          </w:tcPr>
          <w:p>
            <w:pPr>
              <w:jc w:val="right"/>
              <w:ind w:right="240"/>
              <w:spacing w:after="0"/>
              <w:rPr>
                <w:sz w:val="20"/>
                <w:szCs w:val="20"/>
                <w:color w:val="auto"/>
              </w:rPr>
            </w:pPr>
            <w:r>
              <w:rPr>
                <w:rFonts w:ascii="Arial" w:cs="Arial" w:eastAsia="Arial" w:hAnsi="Arial"/>
                <w:sz w:val="17"/>
                <w:szCs w:val="17"/>
                <w:color w:val="auto"/>
              </w:rPr>
              <w:t>98-1253716</w:t>
            </w:r>
          </w:p>
        </w:tc>
      </w:tr>
      <w:tr>
        <w:trPr>
          <w:trHeight w:val="20"/>
        </w:trPr>
        <w:tc>
          <w:tcPr>
            <w:tcW w:w="8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2"/>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5"/>
              </w:rPr>
              <w:t>(State or other jurisdiction of</w:t>
            </w:r>
          </w:p>
        </w:tc>
        <w:tc>
          <w:tcPr>
            <w:tcW w:w="4240" w:type="dxa"/>
            <w:vAlign w:val="bottom"/>
            <w:gridSpan w:val="5"/>
          </w:tcPr>
          <w:p>
            <w:pPr>
              <w:jc w:val="center"/>
              <w:ind w:left="2833"/>
              <w:spacing w:after="0"/>
              <w:rPr>
                <w:sz w:val="20"/>
                <w:szCs w:val="20"/>
                <w:color w:val="auto"/>
              </w:rPr>
            </w:pPr>
            <w:r>
              <w:rPr>
                <w:rFonts w:ascii="Arial" w:cs="Arial" w:eastAsia="Arial" w:hAnsi="Arial"/>
                <w:sz w:val="17"/>
                <w:szCs w:val="17"/>
                <w:color w:val="auto"/>
                <w:w w:val="96"/>
              </w:rPr>
              <w:t>(I.R.S. Employer</w:t>
            </w:r>
          </w:p>
        </w:tc>
      </w:tr>
      <w:tr>
        <w:trPr>
          <w:trHeight w:val="223"/>
        </w:trPr>
        <w:tc>
          <w:tcPr>
            <w:tcW w:w="3720" w:type="dxa"/>
            <w:vAlign w:val="bottom"/>
            <w:gridSpan w:val="3"/>
          </w:tcPr>
          <w:p>
            <w:pPr>
              <w:jc w:val="center"/>
              <w:ind w:right="300"/>
              <w:spacing w:after="0"/>
              <w:rPr>
                <w:sz w:val="20"/>
                <w:szCs w:val="20"/>
                <w:color w:val="auto"/>
              </w:rPr>
            </w:pPr>
            <w:r>
              <w:rPr>
                <w:rFonts w:ascii="Arial" w:cs="Arial" w:eastAsia="Arial" w:hAnsi="Arial"/>
                <w:sz w:val="17"/>
                <w:szCs w:val="17"/>
                <w:color w:val="auto"/>
                <w:w w:val="94"/>
              </w:rPr>
              <w:t>incorporation or organization)</w:t>
            </w:r>
          </w:p>
        </w:tc>
        <w:tc>
          <w:tcPr>
            <w:tcW w:w="4240" w:type="dxa"/>
            <w:vAlign w:val="bottom"/>
            <w:gridSpan w:val="5"/>
          </w:tcPr>
          <w:p>
            <w:pPr>
              <w:jc w:val="center"/>
              <w:ind w:left="2853"/>
              <w:spacing w:after="0"/>
              <w:rPr>
                <w:sz w:val="20"/>
                <w:szCs w:val="20"/>
                <w:color w:val="auto"/>
              </w:rPr>
            </w:pPr>
            <w:r>
              <w:rPr>
                <w:rFonts w:ascii="Arial" w:cs="Arial" w:eastAsia="Arial" w:hAnsi="Arial"/>
                <w:sz w:val="17"/>
                <w:szCs w:val="17"/>
                <w:color w:val="auto"/>
                <w:w w:val="98"/>
              </w:rPr>
              <w:t>Identification No.)</w:t>
            </w:r>
          </w:p>
        </w:tc>
      </w:tr>
      <w:tr>
        <w:trPr>
          <w:trHeight w:val="406"/>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3"/>
              </w:rPr>
              <w:t>Three Allen Center, 333 Clay Street, Suite 4980,</w:t>
            </w:r>
          </w:p>
        </w:tc>
        <w:tc>
          <w:tcPr>
            <w:tcW w:w="3360" w:type="dxa"/>
            <w:vAlign w:val="bottom"/>
            <w:gridSpan w:val="2"/>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77002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42"/>
        </w:trPr>
        <w:tc>
          <w:tcPr>
            <w:tcW w:w="800" w:type="dxa"/>
            <w:vAlign w:val="bottom"/>
          </w:tcPr>
          <w:p>
            <w:pPr>
              <w:spacing w:after="0"/>
              <w:rPr>
                <w:sz w:val="21"/>
                <w:szCs w:val="21"/>
                <w:color w:val="auto"/>
              </w:rPr>
            </w:pPr>
          </w:p>
        </w:tc>
        <w:tc>
          <w:tcPr>
            <w:tcW w:w="2920" w:type="dxa"/>
            <w:vAlign w:val="bottom"/>
            <w:gridSpan w:val="2"/>
          </w:tcPr>
          <w:p>
            <w:pPr>
              <w:jc w:val="center"/>
              <w:ind w:right="1120"/>
              <w:spacing w:after="0"/>
              <w:rPr>
                <w:sz w:val="20"/>
                <w:szCs w:val="20"/>
                <w:color w:val="auto"/>
              </w:rPr>
            </w:pPr>
            <w:r>
              <w:rPr>
                <w:rFonts w:ascii="Arial" w:cs="Arial" w:eastAsia="Arial" w:hAnsi="Arial"/>
                <w:sz w:val="17"/>
                <w:szCs w:val="17"/>
                <w:color w:val="auto"/>
                <w:w w:val="90"/>
              </w:rPr>
              <w:t>Houston, Texas</w:t>
            </w:r>
          </w:p>
        </w:tc>
        <w:tc>
          <w:tcPr>
            <w:tcW w:w="3160" w:type="dxa"/>
            <w:vAlign w:val="bottom"/>
          </w:tcPr>
          <w:p>
            <w:pPr>
              <w:spacing w:after="0"/>
              <w:rPr>
                <w:sz w:val="21"/>
                <w:szCs w:val="21"/>
                <w:color w:val="auto"/>
              </w:rPr>
            </w:pPr>
          </w:p>
        </w:tc>
        <w:tc>
          <w:tcPr>
            <w:tcW w:w="1080" w:type="dxa"/>
            <w:vAlign w:val="bottom"/>
            <w:gridSpan w:val="4"/>
          </w:tcPr>
          <w:p>
            <w:pPr>
              <w:jc w:val="center"/>
              <w:ind w:right="240"/>
              <w:spacing w:after="0"/>
              <w:rPr>
                <w:sz w:val="20"/>
                <w:szCs w:val="20"/>
                <w:color w:val="auto"/>
              </w:rPr>
            </w:pPr>
            <w:r>
              <w:rPr>
                <w:rFonts w:ascii="Arial" w:cs="Arial" w:eastAsia="Arial" w:hAnsi="Arial"/>
                <w:sz w:val="17"/>
                <w:szCs w:val="17"/>
                <w:color w:val="auto"/>
                <w:w w:val="94"/>
              </w:rPr>
              <w:t>(Zip Code)</w:t>
            </w:r>
          </w:p>
        </w:tc>
      </w:tr>
      <w:tr>
        <w:trPr>
          <w:trHeight w:val="223"/>
        </w:trPr>
        <w:tc>
          <w:tcPr>
            <w:tcW w:w="3720" w:type="dxa"/>
            <w:vAlign w:val="bottom"/>
            <w:gridSpan w:val="3"/>
          </w:tcPr>
          <w:p>
            <w:pPr>
              <w:jc w:val="center"/>
              <w:ind w:right="320"/>
              <w:spacing w:after="0"/>
              <w:rPr>
                <w:sz w:val="20"/>
                <w:szCs w:val="20"/>
                <w:color w:val="auto"/>
              </w:rPr>
            </w:pPr>
            <w:r>
              <w:rPr>
                <w:rFonts w:ascii="Arial" w:cs="Arial" w:eastAsia="Arial" w:hAnsi="Arial"/>
                <w:sz w:val="17"/>
                <w:szCs w:val="17"/>
                <w:color w:val="auto"/>
                <w:w w:val="94"/>
              </w:rPr>
              <w:t>(Address of principal executive offices)</w:t>
            </w:r>
          </w:p>
        </w:tc>
        <w:tc>
          <w:tcPr>
            <w:tcW w:w="3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88"/>
        </w:trPr>
        <w:tc>
          <w:tcPr>
            <w:tcW w:w="8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60" w:type="dxa"/>
            <w:vAlign w:val="bottom"/>
          </w:tcPr>
          <w:p>
            <w:pPr>
              <w:jc w:val="right"/>
              <w:ind w:right="1653"/>
              <w:spacing w:after="0"/>
              <w:rPr>
                <w:sz w:val="20"/>
                <w:szCs w:val="20"/>
                <w:color w:val="auto"/>
              </w:rPr>
            </w:pPr>
            <w:r>
              <w:rPr>
                <w:rFonts w:ascii="Arial" w:cs="Arial" w:eastAsia="Arial" w:hAnsi="Arial"/>
                <w:sz w:val="17"/>
                <w:szCs w:val="17"/>
                <w:color w:val="auto"/>
              </w:rPr>
              <w:t>(713) 510-2400</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93" w:lineRule="exact"/>
        <w:rPr>
          <w:sz w:val="24"/>
          <w:szCs w:val="24"/>
          <w:color w:val="auto"/>
        </w:rPr>
      </w:pPr>
    </w:p>
    <w:p>
      <w:pPr>
        <w:ind w:left="3860"/>
        <w:spacing w:after="0"/>
        <w:rPr>
          <w:sz w:val="20"/>
          <w:szCs w:val="20"/>
          <w:color w:val="auto"/>
        </w:rPr>
      </w:pPr>
      <w:r>
        <w:rPr>
          <w:rFonts w:ascii="Arial" w:cs="Arial" w:eastAsia="Arial" w:hAnsi="Arial"/>
          <w:sz w:val="17"/>
          <w:szCs w:val="17"/>
          <w:color w:val="auto"/>
        </w:rPr>
        <w:t>(Registrant’s telephone number, including area code)</w:t>
      </w:r>
    </w:p>
    <w:p>
      <w:pPr>
        <w:spacing w:after="0" w:line="119"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ectPr>
          <w:pgSz w:w="11900" w:h="16838" w:orient="portrait"/>
          <w:cols w:equalWidth="0" w:num="1">
            <w:col w:w="11240"/>
          </w:cols>
          <w:pgMar w:left="320" w:top="1440" w:right="339" w:bottom="1440" w:gutter="0" w:footer="0" w:header="0"/>
        </w:sectPr>
      </w:pPr>
    </w:p>
    <w:p>
      <w:pPr>
        <w:spacing w:after="0" w:line="161" w:lineRule="exact"/>
        <w:rPr>
          <w:sz w:val="24"/>
          <w:szCs w:val="24"/>
          <w:color w:val="auto"/>
        </w:rPr>
      </w:pPr>
    </w:p>
    <w:p>
      <w:pPr>
        <w:jc w:val="center"/>
        <w:ind w:left="820"/>
        <w:spacing w:after="0"/>
        <w:rPr>
          <w:sz w:val="20"/>
          <w:szCs w:val="20"/>
          <w:color w:val="auto"/>
        </w:rPr>
      </w:pPr>
      <w:r>
        <w:rPr>
          <w:rFonts w:ascii="Arial" w:cs="Arial" w:eastAsia="Arial" w:hAnsi="Arial"/>
          <w:sz w:val="16"/>
          <w:szCs w:val="16"/>
          <w:color w:val="auto"/>
        </w:rPr>
        <w:t>Title of Each Class</w:t>
      </w:r>
    </w:p>
    <w:p>
      <w:pPr>
        <w:spacing w:after="0" w:line="26" w:lineRule="exact"/>
        <w:rPr>
          <w:sz w:val="24"/>
          <w:szCs w:val="24"/>
          <w:color w:val="auto"/>
        </w:rPr>
      </w:pPr>
    </w:p>
    <w:p>
      <w:pPr>
        <w:jc w:val="center"/>
        <w:ind w:left="820"/>
        <w:spacing w:after="0"/>
        <w:rPr>
          <w:sz w:val="20"/>
          <w:szCs w:val="20"/>
          <w:color w:val="auto"/>
        </w:rPr>
      </w:pPr>
      <w:r>
        <w:rPr>
          <w:rFonts w:ascii="Arial" w:cs="Arial" w:eastAsia="Arial" w:hAnsi="Arial"/>
          <w:sz w:val="13"/>
          <w:szCs w:val="13"/>
          <w:color w:val="auto"/>
        </w:rPr>
        <w:t>Common Shares, no par value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740"/>
        <w:spacing w:after="0"/>
        <w:rPr>
          <w:sz w:val="20"/>
          <w:szCs w:val="20"/>
          <w:color w:val="auto"/>
        </w:rPr>
      </w:pPr>
      <w:r>
        <w:rPr>
          <w:rFonts w:ascii="Arial" w:cs="Arial" w:eastAsia="Arial" w:hAnsi="Arial"/>
          <w:sz w:val="13"/>
          <w:szCs w:val="13"/>
          <w:color w:val="auto"/>
        </w:rPr>
        <w:t>Trading Symbol</w:t>
      </w:r>
    </w:p>
    <w:p>
      <w:pPr>
        <w:spacing w:after="0" w:line="60"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CVEO</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1540"/>
        <w:spacing w:after="0"/>
        <w:rPr>
          <w:sz w:val="20"/>
          <w:szCs w:val="20"/>
          <w:color w:val="auto"/>
        </w:rPr>
      </w:pPr>
      <w:r>
        <w:rPr>
          <w:rFonts w:ascii="Arial" w:cs="Arial" w:eastAsia="Arial" w:hAnsi="Arial"/>
          <w:sz w:val="13"/>
          <w:szCs w:val="13"/>
          <w:color w:val="auto"/>
        </w:rPr>
        <w:t>Name of Each Exchange on Which Registered</w:t>
      </w:r>
    </w:p>
    <w:p>
      <w:pPr>
        <w:spacing w:after="0" w:line="60"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New York Stock Exchange</w:t>
      </w:r>
    </w:p>
    <w:p>
      <w:pPr>
        <w:spacing w:after="0" w:line="109" w:lineRule="exact"/>
        <w:rPr>
          <w:sz w:val="24"/>
          <w:szCs w:val="24"/>
          <w:color w:val="auto"/>
        </w:rPr>
      </w:pPr>
    </w:p>
    <w:p>
      <w:pPr>
        <w:sectPr>
          <w:pgSz w:w="11900" w:h="16838" w:orient="portrait"/>
          <w:cols w:equalWidth="0" w:num="3">
            <w:col w:w="3560" w:space="720"/>
            <w:col w:w="1760" w:space="720"/>
            <w:col w:w="4480"/>
          </w:cols>
          <w:pgMar w:left="320" w:top="1440" w:right="339" w:bottom="1440" w:gutter="0" w:footer="0" w:header="0"/>
          <w:type w:val="continuous"/>
        </w:sectPr>
      </w:pPr>
    </w:p>
    <w:p>
      <w:pPr>
        <w:ind w:right="260"/>
        <w:spacing w:after="0" w:line="25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3260"/>
        <w:spacing w:after="0" w:line="161" w:lineRule="exact"/>
        <w:tabs>
          <w:tab w:leader="none" w:pos="376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85" w:lineRule="exact"/>
        <w:rPr>
          <w:sz w:val="24"/>
          <w:szCs w:val="24"/>
          <w:color w:val="auto"/>
        </w:rPr>
      </w:pPr>
    </w:p>
    <w:p>
      <w:pPr>
        <w:spacing w:after="0" w:line="260"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4" w:lineRule="exact"/>
        <w:rPr>
          <w:sz w:val="24"/>
          <w:szCs w:val="24"/>
          <w:color w:val="auto"/>
        </w:rPr>
      </w:pPr>
    </w:p>
    <w:p>
      <w:pPr>
        <w:ind w:left="3260"/>
        <w:spacing w:after="0" w:line="161" w:lineRule="exact"/>
        <w:tabs>
          <w:tab w:leader="none" w:pos="376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192" w:lineRule="exact"/>
        <w:rPr>
          <w:sz w:val="24"/>
          <w:szCs w:val="24"/>
          <w:color w:val="auto"/>
        </w:rPr>
      </w:pPr>
    </w:p>
    <w:p>
      <w:pPr>
        <w:spacing w:after="0" w:line="26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"accelerated filer," "large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type w:val="continuous"/>
        </w:sectPr>
      </w:pPr>
    </w:p>
    <w:p>
      <w:pPr>
        <w:spacing w:after="0" w:line="149" w:lineRule="exact"/>
        <w:rPr>
          <w:sz w:val="24"/>
          <w:szCs w:val="24"/>
          <w:color w:val="auto"/>
        </w:rPr>
      </w:pPr>
    </w:p>
    <w:p>
      <w:pPr>
        <w:ind w:left="2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43" w:lineRule="exact"/>
        <w:rPr>
          <w:sz w:val="24"/>
          <w:szCs w:val="24"/>
          <w:color w:val="auto"/>
        </w:rPr>
      </w:pPr>
    </w:p>
    <w:p>
      <w:pPr>
        <w:sectPr>
          <w:pgSz w:w="11900" w:h="16838" w:orient="portrait"/>
          <w:cols w:equalWidth="0" w:num="6">
            <w:col w:w="1340" w:space="560"/>
            <w:col w:w="160" w:space="420"/>
            <w:col w:w="1540" w:space="720"/>
            <w:col w:w="140" w:space="460"/>
            <w:col w:w="2240" w:space="720"/>
            <w:col w:w="2940"/>
          </w:cols>
          <w:pgMar w:left="320" w:top="1440" w:right="339" w:bottom="1440" w:gutter="0" w:footer="0" w:header="0"/>
          <w:type w:val="continuous"/>
        </w:sectPr>
      </w:pPr>
    </w:p>
    <w:p>
      <w:pPr>
        <w:spacing w:after="0" w:line="68" w:lineRule="exact"/>
        <w:rPr>
          <w:sz w:val="24"/>
          <w:szCs w:val="24"/>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75" w:lineRule="exact"/>
        <w:rPr>
          <w:sz w:val="24"/>
          <w:szCs w:val="24"/>
          <w:color w:val="auto"/>
        </w:rPr>
      </w:pPr>
    </w:p>
    <w:p>
      <w:pPr>
        <w:sectPr>
          <w:pgSz w:w="11900" w:h="16838" w:orient="portrait"/>
          <w:cols w:equalWidth="0" w:num="4">
            <w:col w:w="1280" w:space="620"/>
            <w:col w:w="160" w:space="420"/>
            <w:col w:w="1600" w:space="660"/>
            <w:col w:w="6500"/>
          </w:cols>
          <w:pgMar w:left="320" w:top="1440" w:right="339" w:bottom="1440" w:gutter="0" w:footer="0" w:header="0"/>
          <w:type w:val="continuous"/>
        </w:sectPr>
      </w:pPr>
    </w:p>
    <w:p>
      <w:pPr>
        <w:spacing w:after="0" w:line="148" w:lineRule="exact"/>
        <w:rPr>
          <w:sz w:val="24"/>
          <w:szCs w:val="24"/>
          <w:color w:val="auto"/>
        </w:rPr>
      </w:pPr>
    </w:p>
    <w:p>
      <w:pPr>
        <w:ind w:right="32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561975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163" w:lineRule="exact"/>
        <w:rPr>
          <w:sz w:val="20"/>
          <w:szCs w:val="20"/>
          <w:color w:val="auto"/>
        </w:rPr>
      </w:pPr>
    </w:p>
    <w:p>
      <w:pPr>
        <w:jc w:val="both"/>
        <w:ind w:left="3260"/>
        <w:spacing w:after="0" w:line="161" w:lineRule="exact"/>
        <w:tabs>
          <w:tab w:leader="none" w:pos="3760" w:val="left"/>
          <w:tab w:leader="none" w:pos="7220" w:val="left"/>
          <w:tab w:leader="none" w:pos="7720" w:val="left"/>
        </w:tabs>
        <w:rPr>
          <w:sz w:val="20"/>
          <w:szCs w:val="20"/>
          <w:color w:val="auto"/>
        </w:rPr>
      </w:pPr>
      <w:r>
        <w:rPr>
          <w:rFonts w:ascii="Arial" w:cs="Arial" w:eastAsia="Arial" w:hAnsi="Arial"/>
          <w:sz w:val="14"/>
          <w:szCs w:val="14"/>
          <w:color w:val="auto"/>
        </w:rPr>
        <w:t>Yes</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w:t>
      </w:r>
      <w:r>
        <w:rPr>
          <w:sz w:val="20"/>
          <w:szCs w:val="20"/>
          <w:color w:val="auto"/>
        </w:rPr>
        <w:tab/>
      </w:r>
      <w:r>
        <w:rPr>
          <w:rFonts w:ascii="MS PGothic" w:cs="MS PGothic" w:eastAsia="MS PGothic" w:hAnsi="MS PGothic"/>
          <w:sz w:val="12"/>
          <w:szCs w:val="12"/>
          <w:color w:val="auto"/>
        </w:rPr>
        <w:t>☒</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The Registrant had 14,164,497 common shares outstanding as of April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561975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7"/>
          <w:szCs w:val="17"/>
          <w:color w:val="auto"/>
        </w:rPr>
        <w:t>CIVEO CORPORATION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INDEX</w:t>
      </w:r>
    </w:p>
    <w:p>
      <w:pPr>
        <w:spacing w:after="0" w:line="148" w:lineRule="exact"/>
        <w:rPr>
          <w:sz w:val="20"/>
          <w:szCs w:val="20"/>
          <w:color w:val="auto"/>
        </w:rPr>
      </w:pPr>
    </w:p>
    <w:p>
      <w:pPr>
        <w:ind w:left="10460"/>
        <w:spacing w:after="0"/>
        <w:rPr>
          <w:sz w:val="20"/>
          <w:szCs w:val="20"/>
          <w:color w:val="auto"/>
        </w:rPr>
      </w:pPr>
      <w:r>
        <w:rPr>
          <w:rFonts w:ascii="Arial" w:cs="Arial" w:eastAsia="Arial" w:hAnsi="Arial"/>
          <w:sz w:val="14"/>
          <w:szCs w:val="14"/>
          <w:b w:val="1"/>
          <w:bCs w:val="1"/>
          <w:u w:val="single" w:color="auto"/>
          <w:color w:val="auto"/>
        </w:rPr>
        <w:t>Page No.</w:t>
      </w:r>
    </w:p>
    <w:p>
      <w:pPr>
        <w:spacing w:after="0" w:line="26" w:lineRule="exact"/>
        <w:rPr>
          <w:sz w:val="20"/>
          <w:szCs w:val="20"/>
          <w:color w:val="auto"/>
        </w:rPr>
      </w:pPr>
    </w:p>
    <w:p>
      <w:pPr>
        <w:ind w:left="1280"/>
        <w:spacing w:after="0"/>
        <w:rPr>
          <w:sz w:val="20"/>
          <w:szCs w:val="20"/>
          <w:color w:val="auto"/>
        </w:rPr>
      </w:pPr>
      <w:r>
        <w:rPr>
          <w:rFonts w:ascii="Arial" w:cs="Arial" w:eastAsia="Arial" w:hAnsi="Arial"/>
          <w:sz w:val="14"/>
          <w:szCs w:val="14"/>
          <w:color w:val="auto"/>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19620" cy="116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9620" cy="116205"/>
                    </a:xfrm>
                    <a:prstGeom prst="rect">
                      <a:avLst/>
                    </a:prstGeom>
                    <a:noFill/>
                  </pic:spPr>
                </pic:pic>
              </a:graphicData>
            </a:graphic>
          </wp:anchor>
        </w:drawing>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119620" cy="116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9620" cy="11620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60" w:type="dxa"/>
            <w:vAlign w:val="bottom"/>
            <w:shd w:val="clear" w:color="auto" w:fill="CCEEFF"/>
          </w:tcPr>
          <w:p>
            <w:pPr>
              <w:spacing w:after="0"/>
              <w:rPr>
                <w:sz w:val="15"/>
                <w:szCs w:val="15"/>
                <w:color w:val="auto"/>
              </w:rPr>
            </w:pPr>
          </w:p>
        </w:tc>
        <w:tc>
          <w:tcPr>
            <w:tcW w:w="106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Consolidated Financial Statements</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Unaudited Consolidated Statements of Operations for the Three Months Ended March 31, 2022 and 2021</w:t>
            </w: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4" w:lineRule="exact"/>
              <w:rPr>
                <w:rFonts w:ascii="Arial" w:cs="Arial" w:eastAsia="Arial" w:hAnsi="Arial"/>
                <w:sz w:val="14"/>
                <w:szCs w:val="14"/>
                <w:color w:val="0000FF"/>
                <w:w w:val="76"/>
              </w:rPr>
            </w:pPr>
            <w:hyperlink w:anchor="page4">
              <w:r>
                <w:rPr>
                  <w:rFonts w:ascii="Arial" w:cs="Arial" w:eastAsia="Arial" w:hAnsi="Arial"/>
                  <w:sz w:val="14"/>
                  <w:szCs w:val="14"/>
                  <w:color w:val="0000FF"/>
                  <w:w w:val="76"/>
                </w:rPr>
                <w:t>4</w:t>
              </w:r>
            </w:hyperlink>
          </w:p>
        </w:tc>
        <w:tc>
          <w:tcPr>
            <w:tcW w:w="20" w:type="dxa"/>
            <w:vAlign w:val="bottom"/>
          </w:tcPr>
          <w:p>
            <w:pPr>
              <w:spacing w:after="0"/>
              <w:rPr>
                <w:sz w:val="13"/>
                <w:szCs w:val="13"/>
                <w:color w:val="auto"/>
              </w:rPr>
            </w:pPr>
          </w:p>
        </w:tc>
      </w:tr>
      <w:tr>
        <w:trPr>
          <w:trHeight w:val="173"/>
        </w:trPr>
        <w:tc>
          <w:tcPr>
            <w:tcW w:w="460" w:type="dxa"/>
            <w:vAlign w:val="bottom"/>
            <w:tcBorders>
              <w:bottom w:val="single" w:sz="8" w:color="CCEEFF"/>
            </w:tcBorders>
            <w:shd w:val="clear" w:color="auto" w:fill="CCEEFF"/>
          </w:tcPr>
          <w:p>
            <w:pPr>
              <w:spacing w:after="0"/>
              <w:rPr>
                <w:sz w:val="15"/>
                <w:szCs w:val="15"/>
                <w:color w:val="auto"/>
              </w:rPr>
            </w:pPr>
          </w:p>
        </w:tc>
        <w:tc>
          <w:tcPr>
            <w:tcW w:w="10600" w:type="dxa"/>
            <w:vAlign w:val="bottom"/>
            <w:tcBorders>
              <w:bottom w:val="single" w:sz="8" w:color="CCEEFF"/>
            </w:tcBorders>
            <w:shd w:val="clear" w:color="auto" w:fill="CCEEFF"/>
          </w:tcPr>
          <w:p>
            <w:pPr>
              <w:ind w:left="300"/>
              <w:spacing w:after="0" w:line="154" w:lineRule="exact"/>
              <w:rPr>
                <w:sz w:val="20"/>
                <w:szCs w:val="20"/>
                <w:color w:val="auto"/>
              </w:rPr>
            </w:pPr>
            <w:r>
              <w:rPr>
                <w:rFonts w:ascii="Arial" w:cs="Arial" w:eastAsia="Arial" w:hAnsi="Arial"/>
                <w:sz w:val="14"/>
                <w:szCs w:val="14"/>
                <w:color w:val="auto"/>
              </w:rPr>
              <w:t>Unaudited Consolidated Statements of Comprehensive Income (Loss) for the Three Months Ended March 31, 2022 and 2021</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0000FF"/>
            </w:tcBorders>
            <w:shd w:val="clear" w:color="auto" w:fill="CCEEFF"/>
          </w:tcPr>
          <w:p>
            <w:pPr>
              <w:jc w:val="right"/>
              <w:spacing w:after="0" w:line="154" w:lineRule="exact"/>
              <w:rPr>
                <w:rFonts w:ascii="Arial" w:cs="Arial" w:eastAsia="Arial" w:hAnsi="Arial"/>
                <w:sz w:val="14"/>
                <w:szCs w:val="14"/>
                <w:color w:val="0000FF"/>
                <w:w w:val="76"/>
              </w:rPr>
            </w:pPr>
            <w:hyperlink w:anchor="page4">
              <w:r>
                <w:rPr>
                  <w:rFonts w:ascii="Arial" w:cs="Arial" w:eastAsia="Arial" w:hAnsi="Arial"/>
                  <w:sz w:val="14"/>
                  <w:szCs w:val="14"/>
                  <w:color w:val="0000FF"/>
                  <w:w w:val="76"/>
                </w:rPr>
                <w:t>5</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Consolidated Balance Sheets – as of March 31, 2022 (unaudited) and December 31, 2021</w:t>
            </w: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4" w:lineRule="exact"/>
              <w:rPr>
                <w:rFonts w:ascii="Arial" w:cs="Arial" w:eastAsia="Arial" w:hAnsi="Arial"/>
                <w:sz w:val="14"/>
                <w:szCs w:val="14"/>
                <w:color w:val="0000FF"/>
                <w:w w:val="76"/>
              </w:rPr>
            </w:pPr>
            <w:hyperlink w:anchor="page5">
              <w:r>
                <w:rPr>
                  <w:rFonts w:ascii="Arial" w:cs="Arial" w:eastAsia="Arial" w:hAnsi="Arial"/>
                  <w:sz w:val="14"/>
                  <w:szCs w:val="14"/>
                  <w:color w:val="0000FF"/>
                  <w:w w:val="76"/>
                </w:rPr>
                <w:t>6</w:t>
              </w:r>
            </w:hyperlink>
          </w:p>
        </w:tc>
        <w:tc>
          <w:tcPr>
            <w:tcW w:w="20" w:type="dxa"/>
            <w:vAlign w:val="bottom"/>
          </w:tcPr>
          <w:p>
            <w:pPr>
              <w:spacing w:after="0"/>
              <w:rPr>
                <w:sz w:val="13"/>
                <w:szCs w:val="13"/>
                <w:color w:val="auto"/>
              </w:rPr>
            </w:pPr>
          </w:p>
        </w:tc>
      </w:tr>
      <w:tr>
        <w:trPr>
          <w:trHeight w:val="173"/>
        </w:trPr>
        <w:tc>
          <w:tcPr>
            <w:tcW w:w="460" w:type="dxa"/>
            <w:vAlign w:val="bottom"/>
            <w:tcBorders>
              <w:bottom w:val="single" w:sz="8" w:color="CCEEFF"/>
            </w:tcBorders>
            <w:shd w:val="clear" w:color="auto" w:fill="CCEEFF"/>
          </w:tcPr>
          <w:p>
            <w:pPr>
              <w:spacing w:after="0"/>
              <w:rPr>
                <w:sz w:val="15"/>
                <w:szCs w:val="15"/>
                <w:color w:val="auto"/>
              </w:rPr>
            </w:pPr>
          </w:p>
        </w:tc>
        <w:tc>
          <w:tcPr>
            <w:tcW w:w="10600" w:type="dxa"/>
            <w:vAlign w:val="bottom"/>
            <w:tcBorders>
              <w:bottom w:val="single" w:sz="8" w:color="CCEEFF"/>
            </w:tcBorders>
            <w:shd w:val="clear" w:color="auto" w:fill="CCEEFF"/>
          </w:tcPr>
          <w:p>
            <w:pPr>
              <w:ind w:left="300"/>
              <w:spacing w:after="0" w:line="154" w:lineRule="exact"/>
              <w:rPr>
                <w:sz w:val="20"/>
                <w:szCs w:val="20"/>
                <w:color w:val="auto"/>
              </w:rPr>
            </w:pPr>
            <w:r>
              <w:rPr>
                <w:rFonts w:ascii="Arial" w:cs="Arial" w:eastAsia="Arial" w:hAnsi="Arial"/>
                <w:sz w:val="14"/>
                <w:szCs w:val="14"/>
                <w:color w:val="auto"/>
              </w:rPr>
              <w:t>Unaudited Consolidated Statements of Changes in Shareholders’ Equity for the Three Months Ended March 31, 2022 and 2021</w:t>
            </w: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0000FF"/>
            </w:tcBorders>
            <w:shd w:val="clear" w:color="auto" w:fill="CCEEFF"/>
          </w:tcPr>
          <w:p>
            <w:pPr>
              <w:jc w:val="right"/>
              <w:spacing w:after="0" w:line="154" w:lineRule="exact"/>
              <w:rPr>
                <w:rFonts w:ascii="Arial" w:cs="Arial" w:eastAsia="Arial" w:hAnsi="Arial"/>
                <w:sz w:val="14"/>
                <w:szCs w:val="14"/>
                <w:color w:val="0000FF"/>
                <w:w w:val="76"/>
              </w:rPr>
            </w:pPr>
            <w:hyperlink w:anchor="page6">
              <w:r>
                <w:rPr>
                  <w:rFonts w:ascii="Arial" w:cs="Arial" w:eastAsia="Arial" w:hAnsi="Arial"/>
                  <w:sz w:val="14"/>
                  <w:szCs w:val="14"/>
                  <w:color w:val="0000FF"/>
                  <w:w w:val="76"/>
                </w:rPr>
                <w:t>7</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Unaudited Consolidated Statements of Cash Flows for the Three Months Ended March 31, 2022 and 2021</w:t>
            </w:r>
          </w:p>
        </w:tc>
        <w:tc>
          <w:tcPr>
            <w:tcW w:w="60" w:type="dxa"/>
            <w:vAlign w:val="bottom"/>
          </w:tcPr>
          <w:p>
            <w:pPr>
              <w:spacing w:after="0"/>
              <w:rPr>
                <w:sz w:val="13"/>
                <w:szCs w:val="13"/>
                <w:color w:val="auto"/>
              </w:rPr>
            </w:pPr>
          </w:p>
        </w:tc>
        <w:tc>
          <w:tcPr>
            <w:tcW w:w="80" w:type="dxa"/>
            <w:vAlign w:val="bottom"/>
            <w:tcBorders>
              <w:bottom w:val="single" w:sz="8" w:color="0000FF"/>
            </w:tcBorders>
          </w:tcPr>
          <w:p>
            <w:pPr>
              <w:jc w:val="right"/>
              <w:spacing w:after="0" w:line="144" w:lineRule="exact"/>
              <w:rPr>
                <w:rFonts w:ascii="Arial" w:cs="Arial" w:eastAsia="Arial" w:hAnsi="Arial"/>
                <w:sz w:val="14"/>
                <w:szCs w:val="14"/>
                <w:color w:val="0000FF"/>
                <w:w w:val="76"/>
              </w:rPr>
            </w:pPr>
            <w:hyperlink w:anchor="page7">
              <w:r>
                <w:rPr>
                  <w:rFonts w:ascii="Arial" w:cs="Arial" w:eastAsia="Arial" w:hAnsi="Arial"/>
                  <w:sz w:val="14"/>
                  <w:szCs w:val="14"/>
                  <w:color w:val="0000FF"/>
                  <w:w w:val="76"/>
                </w:rPr>
                <w:t>8</w:t>
              </w:r>
            </w:hyperlink>
          </w:p>
        </w:tc>
        <w:tc>
          <w:tcPr>
            <w:tcW w:w="20" w:type="dxa"/>
            <w:vAlign w:val="bottom"/>
          </w:tcPr>
          <w:p>
            <w:pPr>
              <w:spacing w:after="0"/>
              <w:rPr>
                <w:sz w:val="13"/>
                <w:szCs w:val="13"/>
                <w:color w:val="auto"/>
              </w:rPr>
            </w:pPr>
          </w:p>
        </w:tc>
      </w:tr>
      <w:tr>
        <w:trPr>
          <w:trHeight w:val="173"/>
        </w:trPr>
        <w:tc>
          <w:tcPr>
            <w:tcW w:w="460" w:type="dxa"/>
            <w:vAlign w:val="bottom"/>
            <w:shd w:val="clear" w:color="auto" w:fill="CCEEFF"/>
          </w:tcPr>
          <w:p>
            <w:pPr>
              <w:spacing w:after="0"/>
              <w:rPr>
                <w:sz w:val="15"/>
                <w:szCs w:val="15"/>
                <w:color w:val="auto"/>
              </w:rPr>
            </w:pPr>
          </w:p>
        </w:tc>
        <w:tc>
          <w:tcPr>
            <w:tcW w:w="10600" w:type="dxa"/>
            <w:vAlign w:val="bottom"/>
            <w:shd w:val="clear" w:color="auto" w:fill="CCEEFF"/>
          </w:tcPr>
          <w:p>
            <w:pPr>
              <w:ind w:left="200"/>
              <w:spacing w:after="0" w:line="154" w:lineRule="exact"/>
              <w:rPr>
                <w:sz w:val="20"/>
                <w:szCs w:val="20"/>
                <w:color w:val="auto"/>
              </w:rPr>
            </w:pPr>
            <w:r>
              <w:rPr>
                <w:rFonts w:ascii="Arial" w:cs="Arial" w:eastAsia="Arial" w:hAnsi="Arial"/>
                <w:sz w:val="14"/>
                <w:szCs w:val="14"/>
                <w:color w:val="auto"/>
              </w:rPr>
              <w:t>Notes to Unaudited Consolidated Financial Statements</w:t>
            </w:r>
          </w:p>
        </w:tc>
        <w:tc>
          <w:tcPr>
            <w:tcW w:w="140" w:type="dxa"/>
            <w:vAlign w:val="bottom"/>
            <w:gridSpan w:val="2"/>
            <w:shd w:val="clear" w:color="auto" w:fill="CCEEFF"/>
          </w:tcPr>
          <w:p>
            <w:pPr>
              <w:jc w:val="right"/>
              <w:spacing w:after="0" w:line="154" w:lineRule="exact"/>
              <w:rPr>
                <w:rFonts w:ascii="Arial" w:cs="Arial" w:eastAsia="Arial" w:hAnsi="Arial"/>
                <w:sz w:val="14"/>
                <w:szCs w:val="14"/>
                <w:color w:val="0000FF"/>
              </w:rPr>
            </w:pPr>
            <w:hyperlink w:anchor="page8">
              <w:r>
                <w:rPr>
                  <w:rFonts w:ascii="Arial" w:cs="Arial" w:eastAsia="Arial" w:hAnsi="Arial"/>
                  <w:sz w:val="14"/>
                  <w:szCs w:val="14"/>
                  <w:color w:val="0000FF"/>
                </w:rPr>
                <w:t>9</w:t>
              </w:r>
            </w:hyperlink>
          </w:p>
        </w:tc>
        <w:tc>
          <w:tcPr>
            <w:tcW w:w="20" w:type="dxa"/>
            <w:vAlign w:val="bottom"/>
            <w:shd w:val="clear" w:color="auto" w:fill="CCEEFF"/>
          </w:tcPr>
          <w:p>
            <w:pPr>
              <w:spacing w:after="0"/>
              <w:rPr>
                <w:sz w:val="15"/>
                <w:szCs w:val="15"/>
                <w:color w:val="auto"/>
              </w:rPr>
            </w:pPr>
          </w:p>
        </w:tc>
      </w:tr>
      <w:tr>
        <w:trPr>
          <w:trHeight w:val="210"/>
        </w:trPr>
        <w:tc>
          <w:tcPr>
            <w:tcW w:w="11060" w:type="dxa"/>
            <w:vAlign w:val="bottom"/>
            <w:tcBorders>
              <w:top w:val="single" w:sz="8" w:color="CCEEFF"/>
            </w:tcBorders>
            <w:gridSpan w:val="2"/>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63"/>
        </w:trPr>
        <w:tc>
          <w:tcPr>
            <w:tcW w:w="1106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Cautionary Statement Regarding Forward-Looking Statements</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16">
              <w:r>
                <w:rPr>
                  <w:rFonts w:ascii="Arial" w:cs="Arial" w:eastAsia="Arial" w:hAnsi="Arial"/>
                  <w:sz w:val="14"/>
                  <w:szCs w:val="14"/>
                  <w:color w:val="0000FF"/>
                  <w:w w:val="76"/>
                </w:rPr>
                <w:t>17</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110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3"/>
        </w:trPr>
        <w:tc>
          <w:tcPr>
            <w:tcW w:w="1106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17">
              <w:r>
                <w:rPr>
                  <w:rFonts w:ascii="Arial" w:cs="Arial" w:eastAsia="Arial" w:hAnsi="Arial"/>
                  <w:sz w:val="14"/>
                  <w:szCs w:val="14"/>
                  <w:color w:val="0000FF"/>
                  <w:w w:val="76"/>
                </w:rPr>
                <w:t>17</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110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3"/>
        </w:trPr>
        <w:tc>
          <w:tcPr>
            <w:tcW w:w="1106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Arial" w:cs="Arial" w:eastAsia="Arial" w:hAnsi="Arial"/>
                <w:sz w:val="14"/>
                <w:szCs w:val="14"/>
                <w:color w:val="auto"/>
              </w:rPr>
              <w:t>Item 3.  Quantitative and Qualitative Disclosures About Market Risk</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28">
              <w:r>
                <w:rPr>
                  <w:rFonts w:ascii="Arial" w:cs="Arial" w:eastAsia="Arial" w:hAnsi="Arial"/>
                  <w:sz w:val="14"/>
                  <w:szCs w:val="14"/>
                  <w:color w:val="0000FF"/>
                  <w:w w:val="76"/>
                </w:rPr>
                <w:t>29</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3"/>
        </w:trPr>
        <w:tc>
          <w:tcPr>
            <w:tcW w:w="460" w:type="dxa"/>
            <w:vAlign w:val="bottom"/>
            <w:tcBorders>
              <w:bottom w:val="single" w:sz="8" w:color="CCEEFF"/>
            </w:tcBorders>
            <w:shd w:val="clear" w:color="auto" w:fill="CCEEFF"/>
          </w:tcPr>
          <w:p>
            <w:pPr>
              <w:ind w:left="20"/>
              <w:spacing w:after="0" w:line="144" w:lineRule="exact"/>
              <w:rPr>
                <w:sz w:val="20"/>
                <w:szCs w:val="20"/>
                <w:color w:val="auto"/>
              </w:rPr>
            </w:pPr>
            <w:r>
              <w:rPr>
                <w:rFonts w:ascii="Arial" w:cs="Arial" w:eastAsia="Arial" w:hAnsi="Arial"/>
                <w:sz w:val="14"/>
                <w:szCs w:val="14"/>
                <w:color w:val="auto"/>
                <w:w w:val="98"/>
              </w:rPr>
              <w:t>Item 4.</w:t>
            </w:r>
          </w:p>
        </w:tc>
        <w:tc>
          <w:tcPr>
            <w:tcW w:w="10600" w:type="dxa"/>
            <w:vAlign w:val="bottom"/>
            <w:tcBorders>
              <w:bottom w:val="single" w:sz="8" w:color="CCEEFF"/>
            </w:tcBorders>
            <w:shd w:val="clear" w:color="auto" w:fill="CCEEFF"/>
          </w:tcPr>
          <w:p>
            <w:pPr>
              <w:ind w:left="60"/>
              <w:spacing w:after="0" w:line="144" w:lineRule="exact"/>
              <w:rPr>
                <w:sz w:val="20"/>
                <w:szCs w:val="20"/>
                <w:color w:val="auto"/>
              </w:rPr>
            </w:pPr>
            <w:r>
              <w:rPr>
                <w:rFonts w:ascii="Arial" w:cs="Arial" w:eastAsia="Arial" w:hAnsi="Arial"/>
                <w:sz w:val="14"/>
                <w:szCs w:val="14"/>
                <w:color w:val="auto"/>
              </w:rPr>
              <w:t>Controls and Procedures</w:t>
            </w:r>
          </w:p>
        </w:tc>
        <w:tc>
          <w:tcPr>
            <w:tcW w:w="140" w:type="dxa"/>
            <w:vAlign w:val="bottom"/>
            <w:tcBorders>
              <w:bottom w:val="single" w:sz="8" w:color="0000FF"/>
            </w:tcBorders>
            <w:gridSpan w:val="2"/>
            <w:shd w:val="clear" w:color="auto" w:fill="CCEEFF"/>
          </w:tcPr>
          <w:p>
            <w:pPr>
              <w:jc w:val="right"/>
              <w:spacing w:after="0" w:line="144" w:lineRule="exact"/>
              <w:rPr>
                <w:rFonts w:ascii="Arial" w:cs="Arial" w:eastAsia="Arial" w:hAnsi="Arial"/>
                <w:sz w:val="14"/>
                <w:szCs w:val="14"/>
                <w:color w:val="0000FF"/>
                <w:w w:val="76"/>
              </w:rPr>
            </w:pPr>
            <w:hyperlink w:anchor="page29">
              <w:r>
                <w:rPr>
                  <w:rFonts w:ascii="Arial" w:cs="Arial" w:eastAsia="Arial" w:hAnsi="Arial"/>
                  <w:sz w:val="14"/>
                  <w:szCs w:val="14"/>
                  <w:color w:val="0000FF"/>
                  <w:w w:val="76"/>
                </w:rPr>
                <w:t>29</w:t>
              </w:r>
            </w:hyperlink>
          </w:p>
        </w:tc>
        <w:tc>
          <w:tcPr>
            <w:tcW w:w="20" w:type="dxa"/>
            <w:vAlign w:val="bottom"/>
            <w:tcBorders>
              <w:bottom w:val="single" w:sz="8" w:color="CCEEFF"/>
            </w:tcBorders>
            <w:shd w:val="clear" w:color="auto" w:fill="CCEEFF"/>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10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60" w:type="dxa"/>
            <w:vAlign w:val="bottom"/>
            <w:shd w:val="clear" w:color="auto" w:fill="CCEEFF"/>
          </w:tcPr>
          <w:p>
            <w:pPr>
              <w:spacing w:after="0"/>
              <w:rPr>
                <w:sz w:val="18"/>
                <w:szCs w:val="18"/>
                <w:color w:val="auto"/>
              </w:rPr>
            </w:pPr>
          </w:p>
        </w:tc>
        <w:tc>
          <w:tcPr>
            <w:tcW w:w="10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1"/>
        </w:trPr>
        <w:tc>
          <w:tcPr>
            <w:tcW w:w="460" w:type="dxa"/>
            <w:vAlign w:val="bottom"/>
          </w:tcPr>
          <w:p>
            <w:pPr>
              <w:spacing w:after="0"/>
              <w:rPr>
                <w:sz w:val="15"/>
                <w:szCs w:val="15"/>
                <w:color w:val="auto"/>
              </w:rPr>
            </w:pPr>
          </w:p>
        </w:tc>
        <w:tc>
          <w:tcPr>
            <w:tcW w:w="10600" w:type="dxa"/>
            <w:vAlign w:val="bottom"/>
          </w:tcPr>
          <w:p>
            <w:pPr>
              <w:ind w:left="940"/>
              <w:spacing w:after="0"/>
              <w:rPr>
                <w:sz w:val="20"/>
                <w:szCs w:val="20"/>
                <w:color w:val="auto"/>
              </w:rPr>
            </w:pPr>
            <w:r>
              <w:rPr>
                <w:rFonts w:ascii="Arial" w:cs="Arial" w:eastAsia="Arial" w:hAnsi="Arial"/>
                <w:sz w:val="14"/>
                <w:szCs w:val="14"/>
                <w:color w:val="auto"/>
              </w:rPr>
              <w:t>Part II -- OTHER INFORMATION</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2"/>
        </w:trPr>
        <w:tc>
          <w:tcPr>
            <w:tcW w:w="460" w:type="dxa"/>
            <w:vAlign w:val="bottom"/>
            <w:shd w:val="clear" w:color="auto" w:fill="CCEEFF"/>
          </w:tcPr>
          <w:p>
            <w:pPr>
              <w:spacing w:after="0"/>
              <w:rPr>
                <w:sz w:val="18"/>
                <w:szCs w:val="18"/>
                <w:color w:val="auto"/>
              </w:rPr>
            </w:pPr>
          </w:p>
        </w:tc>
        <w:tc>
          <w:tcPr>
            <w:tcW w:w="10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54"/>
        </w:trPr>
        <w:tc>
          <w:tcPr>
            <w:tcW w:w="460" w:type="dxa"/>
            <w:vAlign w:val="bottom"/>
          </w:tcPr>
          <w:p>
            <w:pPr>
              <w:ind w:left="20"/>
              <w:spacing w:after="0" w:line="144" w:lineRule="exact"/>
              <w:rPr>
                <w:sz w:val="20"/>
                <w:szCs w:val="20"/>
                <w:color w:val="auto"/>
              </w:rPr>
            </w:pPr>
            <w:r>
              <w:rPr>
                <w:rFonts w:ascii="Arial" w:cs="Arial" w:eastAsia="Arial" w:hAnsi="Arial"/>
                <w:sz w:val="14"/>
                <w:szCs w:val="14"/>
                <w:color w:val="auto"/>
                <w:w w:val="98"/>
              </w:rPr>
              <w:t>Item 1.</w:t>
            </w:r>
          </w:p>
        </w:tc>
        <w:tc>
          <w:tcPr>
            <w:tcW w:w="10600" w:type="dxa"/>
            <w:vAlign w:val="bottom"/>
          </w:tcPr>
          <w:p>
            <w:pPr>
              <w:ind w:left="140"/>
              <w:spacing w:after="0" w:line="144" w:lineRule="exact"/>
              <w:rPr>
                <w:sz w:val="20"/>
                <w:szCs w:val="20"/>
                <w:color w:val="auto"/>
              </w:rPr>
            </w:pPr>
            <w:r>
              <w:rPr>
                <w:rFonts w:ascii="Arial" w:cs="Arial" w:eastAsia="Arial" w:hAnsi="Arial"/>
                <w:sz w:val="14"/>
                <w:szCs w:val="14"/>
                <w:color w:val="auto"/>
              </w:rPr>
              <w:t>Legal Proceedings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0">
              <w:r>
                <w:rPr>
                  <w:rFonts w:ascii="Arial" w:cs="Arial" w:eastAsia="Arial" w:hAnsi="Arial"/>
                  <w:sz w:val="14"/>
                  <w:szCs w:val="14"/>
                  <w:color w:val="0000FF"/>
                  <w:w w:val="76"/>
                </w:rPr>
                <w:t>30</w:t>
              </w:r>
            </w:hyperlink>
          </w:p>
        </w:tc>
        <w:tc>
          <w:tcPr>
            <w:tcW w:w="20" w:type="dxa"/>
            <w:vAlign w:val="bottom"/>
          </w:tcPr>
          <w:p>
            <w:pPr>
              <w:spacing w:after="0"/>
              <w:rPr>
                <w:sz w:val="13"/>
                <w:szCs w:val="13"/>
                <w:color w:val="auto"/>
              </w:rPr>
            </w:pPr>
          </w:p>
        </w:tc>
      </w:tr>
      <w:tr>
        <w:trPr>
          <w:trHeight w:val="219"/>
        </w:trPr>
        <w:tc>
          <w:tcPr>
            <w:tcW w:w="1106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110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Item 1A. Risk Factors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0">
              <w:r>
                <w:rPr>
                  <w:rFonts w:ascii="Arial" w:cs="Arial" w:eastAsia="Arial" w:hAnsi="Arial"/>
                  <w:sz w:val="14"/>
                  <w:szCs w:val="14"/>
                  <w:color w:val="0000FF"/>
                  <w:w w:val="76"/>
                </w:rPr>
                <w:t>30</w:t>
              </w:r>
            </w:hyperlink>
          </w:p>
        </w:tc>
        <w:tc>
          <w:tcPr>
            <w:tcW w:w="20" w:type="dxa"/>
            <w:vAlign w:val="bottom"/>
          </w:tcPr>
          <w:p>
            <w:pPr>
              <w:spacing w:after="0"/>
              <w:rPr>
                <w:sz w:val="13"/>
                <w:szCs w:val="13"/>
                <w:color w:val="auto"/>
              </w:rPr>
            </w:pPr>
          </w:p>
        </w:tc>
      </w:tr>
      <w:tr>
        <w:trPr>
          <w:trHeight w:val="219"/>
        </w:trPr>
        <w:tc>
          <w:tcPr>
            <w:tcW w:w="460" w:type="dxa"/>
            <w:vAlign w:val="bottom"/>
            <w:shd w:val="clear" w:color="auto" w:fill="CCEEFF"/>
          </w:tcPr>
          <w:p>
            <w:pPr>
              <w:spacing w:after="0"/>
              <w:rPr>
                <w:sz w:val="19"/>
                <w:szCs w:val="19"/>
                <w:color w:val="auto"/>
              </w:rPr>
            </w:pPr>
          </w:p>
        </w:tc>
        <w:tc>
          <w:tcPr>
            <w:tcW w:w="10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460" w:type="dxa"/>
            <w:vAlign w:val="bottom"/>
          </w:tcPr>
          <w:p>
            <w:pPr>
              <w:ind w:left="20"/>
              <w:spacing w:after="0" w:line="144" w:lineRule="exact"/>
              <w:rPr>
                <w:sz w:val="20"/>
                <w:szCs w:val="20"/>
                <w:color w:val="auto"/>
              </w:rPr>
            </w:pPr>
            <w:r>
              <w:rPr>
                <w:rFonts w:ascii="Arial" w:cs="Arial" w:eastAsia="Arial" w:hAnsi="Arial"/>
                <w:sz w:val="14"/>
                <w:szCs w:val="14"/>
                <w:color w:val="auto"/>
                <w:w w:val="98"/>
              </w:rPr>
              <w:t>Item 2.</w:t>
            </w:r>
          </w:p>
        </w:tc>
        <w:tc>
          <w:tcPr>
            <w:tcW w:w="10600" w:type="dxa"/>
            <w:vAlign w:val="bottom"/>
          </w:tcPr>
          <w:p>
            <w:pPr>
              <w:ind w:left="20"/>
              <w:spacing w:after="0" w:line="144" w:lineRule="exact"/>
              <w:rPr>
                <w:sz w:val="20"/>
                <w:szCs w:val="20"/>
                <w:color w:val="auto"/>
              </w:rPr>
            </w:pPr>
            <w:r>
              <w:rPr>
                <w:rFonts w:ascii="Arial" w:cs="Arial" w:eastAsia="Arial" w:hAnsi="Arial"/>
                <w:sz w:val="14"/>
                <w:szCs w:val="14"/>
                <w:color w:val="auto"/>
              </w:rPr>
              <w:t>Unregistered Sales of Equity Securities and Use of Proceeds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0">
              <w:r>
                <w:rPr>
                  <w:rFonts w:ascii="Arial" w:cs="Arial" w:eastAsia="Arial" w:hAnsi="Arial"/>
                  <w:sz w:val="14"/>
                  <w:szCs w:val="14"/>
                  <w:color w:val="0000FF"/>
                  <w:w w:val="76"/>
                </w:rPr>
                <w:t>30</w:t>
              </w:r>
            </w:hyperlink>
          </w:p>
        </w:tc>
        <w:tc>
          <w:tcPr>
            <w:tcW w:w="20" w:type="dxa"/>
            <w:vAlign w:val="bottom"/>
          </w:tcPr>
          <w:p>
            <w:pPr>
              <w:spacing w:after="0"/>
              <w:rPr>
                <w:sz w:val="13"/>
                <w:szCs w:val="13"/>
                <w:color w:val="auto"/>
              </w:rPr>
            </w:pPr>
          </w:p>
        </w:tc>
      </w:tr>
      <w:tr>
        <w:trPr>
          <w:trHeight w:val="219"/>
        </w:trPr>
        <w:tc>
          <w:tcPr>
            <w:tcW w:w="460" w:type="dxa"/>
            <w:vAlign w:val="bottom"/>
            <w:shd w:val="clear" w:color="auto" w:fill="CCEEFF"/>
          </w:tcPr>
          <w:p>
            <w:pPr>
              <w:spacing w:after="0"/>
              <w:rPr>
                <w:sz w:val="19"/>
                <w:szCs w:val="19"/>
                <w:color w:val="auto"/>
              </w:rPr>
            </w:pPr>
          </w:p>
        </w:tc>
        <w:tc>
          <w:tcPr>
            <w:tcW w:w="10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460" w:type="dxa"/>
            <w:vAlign w:val="bottom"/>
          </w:tcPr>
          <w:p>
            <w:pPr>
              <w:ind w:left="20"/>
              <w:spacing w:after="0" w:line="144" w:lineRule="exact"/>
              <w:rPr>
                <w:sz w:val="20"/>
                <w:szCs w:val="20"/>
                <w:color w:val="auto"/>
              </w:rPr>
            </w:pPr>
            <w:r>
              <w:rPr>
                <w:rFonts w:ascii="Arial" w:cs="Arial" w:eastAsia="Arial" w:hAnsi="Arial"/>
                <w:sz w:val="14"/>
                <w:szCs w:val="14"/>
                <w:color w:val="auto"/>
                <w:w w:val="98"/>
              </w:rPr>
              <w:t>Item 6.</w:t>
            </w:r>
          </w:p>
        </w:tc>
        <w:tc>
          <w:tcPr>
            <w:tcW w:w="10600" w:type="dxa"/>
            <w:vAlign w:val="bottom"/>
          </w:tcPr>
          <w:p>
            <w:pPr>
              <w:ind w:left="140"/>
              <w:spacing w:after="0" w:line="144" w:lineRule="exact"/>
              <w:rPr>
                <w:sz w:val="20"/>
                <w:szCs w:val="20"/>
                <w:color w:val="auto"/>
              </w:rPr>
            </w:pPr>
            <w:r>
              <w:rPr>
                <w:rFonts w:ascii="Arial" w:cs="Arial" w:eastAsia="Arial" w:hAnsi="Arial"/>
                <w:sz w:val="14"/>
                <w:szCs w:val="14"/>
                <w:color w:val="auto"/>
              </w:rPr>
              <w:t>Exhibits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0">
              <w:r>
                <w:rPr>
                  <w:rFonts w:ascii="Arial" w:cs="Arial" w:eastAsia="Arial" w:hAnsi="Arial"/>
                  <w:sz w:val="14"/>
                  <w:szCs w:val="14"/>
                  <w:color w:val="0000FF"/>
                  <w:w w:val="76"/>
                </w:rPr>
                <w:t>31</w:t>
              </w:r>
            </w:hyperlink>
          </w:p>
        </w:tc>
        <w:tc>
          <w:tcPr>
            <w:tcW w:w="20" w:type="dxa"/>
            <w:vAlign w:val="bottom"/>
          </w:tcPr>
          <w:p>
            <w:pPr>
              <w:spacing w:after="0"/>
              <w:rPr>
                <w:sz w:val="13"/>
                <w:szCs w:val="13"/>
                <w:color w:val="auto"/>
              </w:rPr>
            </w:pPr>
          </w:p>
        </w:tc>
      </w:tr>
      <w:tr>
        <w:trPr>
          <w:trHeight w:val="219"/>
        </w:trPr>
        <w:tc>
          <w:tcPr>
            <w:tcW w:w="460" w:type="dxa"/>
            <w:vAlign w:val="bottom"/>
            <w:shd w:val="clear" w:color="auto" w:fill="CCEEFF"/>
          </w:tcPr>
          <w:p>
            <w:pPr>
              <w:spacing w:after="0"/>
              <w:rPr>
                <w:sz w:val="19"/>
                <w:szCs w:val="19"/>
                <w:color w:val="auto"/>
              </w:rPr>
            </w:pPr>
          </w:p>
        </w:tc>
        <w:tc>
          <w:tcPr>
            <w:tcW w:w="106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54"/>
        </w:trPr>
        <w:tc>
          <w:tcPr>
            <w:tcW w:w="460" w:type="dxa"/>
            <w:vAlign w:val="bottom"/>
          </w:tcPr>
          <w:p>
            <w:pPr>
              <w:spacing w:after="0"/>
              <w:rPr>
                <w:sz w:val="13"/>
                <w:szCs w:val="13"/>
                <w:color w:val="auto"/>
              </w:rPr>
            </w:pPr>
          </w:p>
        </w:tc>
        <w:tc>
          <w:tcPr>
            <w:tcW w:w="10600" w:type="dxa"/>
            <w:vAlign w:val="bottom"/>
          </w:tcPr>
          <w:p>
            <w:pPr>
              <w:ind w:left="300"/>
              <w:spacing w:after="0" w:line="144" w:lineRule="exact"/>
              <w:rPr>
                <w:sz w:val="20"/>
                <w:szCs w:val="20"/>
                <w:color w:val="auto"/>
              </w:rPr>
            </w:pPr>
            <w:r>
              <w:rPr>
                <w:rFonts w:ascii="Arial" w:cs="Arial" w:eastAsia="Arial" w:hAnsi="Arial"/>
                <w:sz w:val="14"/>
                <w:szCs w:val="14"/>
                <w:color w:val="auto"/>
              </w:rPr>
              <w:t>(a) Index of Exhibits</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0">
              <w:r>
                <w:rPr>
                  <w:rFonts w:ascii="Arial" w:cs="Arial" w:eastAsia="Arial" w:hAnsi="Arial"/>
                  <w:sz w:val="14"/>
                  <w:szCs w:val="14"/>
                  <w:color w:val="0000FF"/>
                  <w:w w:val="76"/>
                </w:rPr>
                <w:t>31</w:t>
              </w:r>
            </w:hyperlink>
          </w:p>
        </w:tc>
        <w:tc>
          <w:tcPr>
            <w:tcW w:w="20" w:type="dxa"/>
            <w:vAlign w:val="bottom"/>
          </w:tcPr>
          <w:p>
            <w:pPr>
              <w:spacing w:after="0"/>
              <w:rPr>
                <w:sz w:val="13"/>
                <w:szCs w:val="13"/>
                <w:color w:val="auto"/>
              </w:rPr>
            </w:pPr>
          </w:p>
        </w:tc>
      </w:tr>
      <w:tr>
        <w:trPr>
          <w:trHeight w:val="219"/>
        </w:trPr>
        <w:tc>
          <w:tcPr>
            <w:tcW w:w="11060" w:type="dxa"/>
            <w:vAlign w:val="bottom"/>
            <w:gridSpan w:val="2"/>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44"/>
        </w:trPr>
        <w:tc>
          <w:tcPr>
            <w:tcW w:w="1106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Signature Page</w:t>
            </w:r>
          </w:p>
        </w:tc>
        <w:tc>
          <w:tcPr>
            <w:tcW w:w="140" w:type="dxa"/>
            <w:vAlign w:val="bottom"/>
            <w:tcBorders>
              <w:bottom w:val="single" w:sz="8" w:color="0000FF"/>
            </w:tcBorders>
            <w:gridSpan w:val="2"/>
          </w:tcPr>
          <w:p>
            <w:pPr>
              <w:jc w:val="right"/>
              <w:spacing w:after="0" w:line="144" w:lineRule="exact"/>
              <w:rPr>
                <w:rFonts w:ascii="Arial" w:cs="Arial" w:eastAsia="Arial" w:hAnsi="Arial"/>
                <w:sz w:val="14"/>
                <w:szCs w:val="14"/>
                <w:color w:val="0000FF"/>
                <w:w w:val="76"/>
              </w:rPr>
            </w:pPr>
            <w:hyperlink w:anchor="page31">
              <w:r>
                <w:rPr>
                  <w:rFonts w:ascii="Arial" w:cs="Arial" w:eastAsia="Arial" w:hAnsi="Arial"/>
                  <w:sz w:val="14"/>
                  <w:szCs w:val="14"/>
                  <w:color w:val="0000FF"/>
                  <w:w w:val="76"/>
                </w:rPr>
                <w:t>32</w:t>
              </w:r>
            </w:hyperlink>
          </w:p>
        </w:tc>
        <w:tc>
          <w:tcPr>
            <w:tcW w:w="2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385" w:right="359" w:bottom="1440" w:gutter="0" w:footer="0" w:header="0"/>
        </w:sectPr>
      </w:pPr>
    </w:p>
    <w:bookmarkStart w:id="3" w:name="page4"/>
    <w:bookmarkEnd w:id="3"/>
    <w:p>
      <w:pPr>
        <w:ind w:left="4000"/>
        <w:spacing w:after="0"/>
        <w:rPr>
          <w:sz w:val="20"/>
          <w:szCs w:val="20"/>
          <w:color w:val="auto"/>
        </w:rPr>
      </w:pPr>
      <w:r>
        <w:rPr>
          <w:rFonts w:ascii="Arial" w:cs="Arial" w:eastAsia="Arial" w:hAnsi="Arial"/>
          <w:sz w:val="17"/>
          <w:szCs w:val="17"/>
          <w:b w:val="1"/>
          <w:bCs w:val="1"/>
          <w:color w:val="auto"/>
        </w:rPr>
        <w:t>PART I -- FINANCIAL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232" w:lineRule="exact"/>
        <w:rPr>
          <w:sz w:val="20"/>
          <w:szCs w:val="20"/>
          <w:color w:val="auto"/>
        </w:rPr>
      </w:pPr>
    </w:p>
    <w:p>
      <w:pPr>
        <w:jc w:val="center"/>
        <w:ind w:right="-940"/>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UNAUDITED CONSOLIDATED STATEMENTS OF OPERATIONS</w:t>
      </w:r>
    </w:p>
    <w:p>
      <w:pPr>
        <w:spacing w:after="0" w:line="3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 Thousands, Except Per Share Amounts)</w:t>
      </w:r>
    </w:p>
    <w:p>
      <w:pPr>
        <w:spacing w:after="0" w:line="319"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Three Months Ended</w:t>
      </w:r>
    </w:p>
    <w:p>
      <w:pPr>
        <w:jc w:val="center"/>
        <w:ind w:left="6060"/>
        <w:spacing w:after="0"/>
        <w:rPr>
          <w:sz w:val="20"/>
          <w:szCs w:val="20"/>
          <w:color w:val="auto"/>
        </w:rPr>
      </w:pPr>
      <w:r>
        <w:rPr>
          <w:rFonts w:ascii="Arial" w:cs="Arial" w:eastAsia="Arial" w:hAnsi="Arial"/>
          <w:sz w:val="14"/>
          <w:szCs w:val="14"/>
          <w:b w:val="1"/>
          <w:bCs w:val="1"/>
          <w:color w:val="auto"/>
        </w:rPr>
        <w:t>March 31,</w:t>
      </w:r>
    </w:p>
    <w:p>
      <w:pPr>
        <w:spacing w:after="0" w:line="5" w:lineRule="exact"/>
        <w:rPr>
          <w:sz w:val="20"/>
          <w:szCs w:val="20"/>
          <w:color w:val="auto"/>
        </w:rPr>
      </w:pPr>
    </w:p>
    <w:tbl>
      <w:tblPr>
        <w:tblLayout w:type="fixed"/>
        <w:tblInd w:w="1240" w:type="dxa"/>
        <w:tblCellMar>
          <w:top w:w="0" w:type="dxa"/>
          <w:left w:w="0" w:type="dxa"/>
          <w:bottom w:w="0" w:type="dxa"/>
          <w:right w:w="0" w:type="dxa"/>
        </w:tblCellMar>
      </w:tblPr>
      <w:tr>
        <w:trPr>
          <w:trHeight w:val="186"/>
        </w:trPr>
        <w:tc>
          <w:tcPr>
            <w:tcW w:w="606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2021</w:t>
            </w:r>
          </w:p>
        </w:tc>
      </w:tr>
      <w:tr>
        <w:trPr>
          <w:trHeight w:val="177"/>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6060" w:type="dxa"/>
            <w:vAlign w:val="bottom"/>
          </w:tcPr>
          <w:p>
            <w:pPr>
              <w:ind w:left="120"/>
              <w:spacing w:after="0"/>
              <w:rPr>
                <w:sz w:val="20"/>
                <w:szCs w:val="20"/>
                <w:color w:val="auto"/>
              </w:rPr>
            </w:pPr>
            <w:r>
              <w:rPr>
                <w:rFonts w:ascii="Arial" w:cs="Arial" w:eastAsia="Arial" w:hAnsi="Arial"/>
                <w:sz w:val="14"/>
                <w:szCs w:val="14"/>
                <w:color w:val="auto"/>
              </w:rPr>
              <w:t>Service and other</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159,570</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121,996</w:t>
            </w:r>
          </w:p>
        </w:tc>
      </w:tr>
      <w:tr>
        <w:trPr>
          <w:trHeight w:val="186"/>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Rental</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5,260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3,064</w:t>
            </w:r>
          </w:p>
        </w:tc>
      </w:tr>
      <w:tr>
        <w:trPr>
          <w:trHeight w:val="181"/>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Product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848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w:t>
            </w:r>
          </w:p>
        </w:tc>
      </w:tr>
      <w:tr>
        <w:trPr>
          <w:trHeight w:val="179"/>
        </w:trPr>
        <w:tc>
          <w:tcPr>
            <w:tcW w:w="60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165,678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125,430</w:t>
            </w:r>
          </w:p>
        </w:tc>
      </w:tr>
      <w:tr>
        <w:trPr>
          <w:trHeight w:val="161"/>
        </w:trPr>
        <w:tc>
          <w:tcPr>
            <w:tcW w:w="6060" w:type="dxa"/>
            <w:vAlign w:val="bottom"/>
          </w:tcPr>
          <w:p>
            <w:pPr>
              <w:spacing w:after="0" w:line="159" w:lineRule="exact"/>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86"/>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Service and other costs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120,850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96,462</w:t>
            </w:r>
          </w:p>
        </w:tc>
      </w:tr>
      <w:tr>
        <w:trPr>
          <w:trHeight w:val="181"/>
        </w:trPr>
        <w:tc>
          <w:tcPr>
            <w:tcW w:w="6060" w:type="dxa"/>
            <w:vAlign w:val="bottom"/>
          </w:tcPr>
          <w:p>
            <w:pPr>
              <w:ind w:left="120"/>
              <w:spacing w:after="0"/>
              <w:rPr>
                <w:sz w:val="20"/>
                <w:szCs w:val="20"/>
                <w:color w:val="auto"/>
              </w:rPr>
            </w:pPr>
            <w:r>
              <w:rPr>
                <w:rFonts w:ascii="Arial" w:cs="Arial" w:eastAsia="Arial" w:hAnsi="Arial"/>
                <w:sz w:val="14"/>
                <w:szCs w:val="14"/>
                <w:color w:val="auto"/>
              </w:rPr>
              <w:t>Rental costs</w:t>
            </w:r>
          </w:p>
        </w:tc>
        <w:tc>
          <w:tcPr>
            <w:tcW w:w="26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4,392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2,970</w:t>
            </w:r>
          </w:p>
        </w:tc>
      </w:tr>
      <w:tr>
        <w:trPr>
          <w:trHeight w:val="186"/>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Product costs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r>
      <w:tr>
        <w:trPr>
          <w:trHeight w:val="181"/>
        </w:trPr>
        <w:tc>
          <w:tcPr>
            <w:tcW w:w="606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15,213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14,181</w:t>
            </w:r>
          </w:p>
        </w:tc>
      </w:tr>
      <w:tr>
        <w:trPr>
          <w:trHeight w:val="186"/>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20,127</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21,269</w:t>
            </w:r>
          </w:p>
        </w:tc>
      </w:tr>
      <w:tr>
        <w:trPr>
          <w:trHeight w:val="181"/>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operating expense</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r>
      <w:tr>
        <w:trPr>
          <w:trHeight w:val="179"/>
        </w:trPr>
        <w:tc>
          <w:tcPr>
            <w:tcW w:w="606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161,441</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135,331</w:t>
            </w:r>
          </w:p>
        </w:tc>
      </w:tr>
      <w:tr>
        <w:trPr>
          <w:trHeight w:val="174"/>
        </w:trPr>
        <w:tc>
          <w:tcPr>
            <w:tcW w:w="6060" w:type="dxa"/>
            <w:vAlign w:val="bottom"/>
          </w:tcPr>
          <w:p>
            <w:pPr>
              <w:spacing w:after="0"/>
              <w:rPr>
                <w:sz w:val="20"/>
                <w:szCs w:val="20"/>
                <w:color w:val="auto"/>
              </w:rPr>
            </w:pPr>
            <w:r>
              <w:rPr>
                <w:rFonts w:ascii="Arial" w:cs="Arial" w:eastAsia="Arial" w:hAnsi="Arial"/>
                <w:sz w:val="14"/>
                <w:szCs w:val="14"/>
                <w:color w:val="auto"/>
              </w:rPr>
              <w:t>Operating income (loss)</w:t>
            </w:r>
          </w:p>
        </w:tc>
        <w:tc>
          <w:tcPr>
            <w:tcW w:w="26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4,237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(9,901)</w:t>
            </w:r>
          </w:p>
        </w:tc>
      </w:tr>
      <w:tr>
        <w:trPr>
          <w:trHeight w:val="212"/>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1"/>
        </w:trPr>
        <w:tc>
          <w:tcPr>
            <w:tcW w:w="606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(2,468)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(3,362)</w:t>
            </w:r>
          </w:p>
        </w:tc>
      </w:tr>
      <w:tr>
        <w:trPr>
          <w:trHeight w:val="186"/>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4,914</w:t>
            </w:r>
          </w:p>
        </w:tc>
      </w:tr>
      <w:tr>
        <w:trPr>
          <w:trHeight w:val="174"/>
        </w:trPr>
        <w:tc>
          <w:tcPr>
            <w:tcW w:w="6060" w:type="dxa"/>
            <w:vAlign w:val="bottom"/>
          </w:tcPr>
          <w:p>
            <w:pPr>
              <w:ind w:left="12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3,465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(8,349)</w:t>
            </w:r>
          </w:p>
        </w:tc>
      </w:tr>
      <w:tr>
        <w:trPr>
          <w:trHeight w:val="186"/>
        </w:trPr>
        <w:tc>
          <w:tcPr>
            <w:tcW w:w="606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r>
      <w:tr>
        <w:trPr>
          <w:trHeight w:val="174"/>
        </w:trPr>
        <w:tc>
          <w:tcPr>
            <w:tcW w:w="6060" w:type="dxa"/>
            <w:vAlign w:val="bottom"/>
          </w:tcPr>
          <w:p>
            <w:pPr>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(9,425)</w:t>
            </w:r>
          </w:p>
        </w:tc>
      </w:tr>
      <w:tr>
        <w:trPr>
          <w:trHeight w:val="186"/>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Net income attributable to noncontrolling interest</w:t>
            </w: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r>
      <w:tr>
        <w:trPr>
          <w:trHeight w:val="174"/>
        </w:trPr>
        <w:tc>
          <w:tcPr>
            <w:tcW w:w="606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26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(9,484)</w:t>
            </w:r>
          </w:p>
        </w:tc>
      </w:tr>
      <w:tr>
        <w:trPr>
          <w:trHeight w:val="183"/>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Less: Dividends attributable to Class A preferred shares</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79"/>
        </w:trPr>
        <w:tc>
          <w:tcPr>
            <w:tcW w:w="606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(9,962)</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6"/>
        </w:trPr>
        <w:tc>
          <w:tcPr>
            <w:tcW w:w="60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0"/>
        </w:trPr>
        <w:tc>
          <w:tcPr>
            <w:tcW w:w="6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3"/>
        </w:trPr>
        <w:tc>
          <w:tcPr>
            <w:tcW w:w="6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Per Share Data (see Note 6)</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6060" w:type="dxa"/>
            <w:vAlign w:val="bottom"/>
          </w:tcPr>
          <w:p>
            <w:pPr>
              <w:spacing w:after="0"/>
              <w:rPr>
                <w:sz w:val="20"/>
                <w:szCs w:val="20"/>
                <w:color w:val="auto"/>
              </w:rPr>
            </w:pPr>
            <w:r>
              <w:rPr>
                <w:rFonts w:ascii="Arial" w:cs="Arial" w:eastAsia="Arial" w:hAnsi="Arial"/>
                <w:sz w:val="14"/>
                <w:szCs w:val="14"/>
                <w:color w:val="auto"/>
              </w:rPr>
              <w:t>Basic net income (loss) per share attributable to Civeo Corporation common shareholders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(0.70)</w:t>
            </w:r>
          </w:p>
        </w:tc>
      </w:tr>
      <w:tr>
        <w:trPr>
          <w:trHeight w:val="212"/>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1"/>
        </w:trPr>
        <w:tc>
          <w:tcPr>
            <w:tcW w:w="6060" w:type="dxa"/>
            <w:vAlign w:val="bottom"/>
          </w:tcPr>
          <w:p>
            <w:pPr>
              <w:spacing w:after="0"/>
              <w:rPr>
                <w:sz w:val="20"/>
                <w:szCs w:val="20"/>
                <w:color w:val="auto"/>
              </w:rPr>
            </w:pPr>
            <w:r>
              <w:rPr>
                <w:rFonts w:ascii="Arial" w:cs="Arial" w:eastAsia="Arial" w:hAnsi="Arial"/>
                <w:sz w:val="14"/>
                <w:szCs w:val="14"/>
                <w:color w:val="auto"/>
              </w:rPr>
              <w:t>Diluted net income (loss) per share attributable to Civeo Corporation common shareholders</w:t>
            </w: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0.06</w:t>
            </w:r>
          </w:p>
        </w:tc>
        <w:tc>
          <w:tcPr>
            <w:tcW w:w="100" w:type="dxa"/>
            <w:vAlign w:val="bottom"/>
          </w:tcPr>
          <w:p>
            <w:pPr>
              <w:spacing w:after="0"/>
              <w:rPr>
                <w:sz w:val="15"/>
                <w:szCs w:val="15"/>
                <w:color w:val="auto"/>
              </w:rPr>
            </w:pPr>
          </w:p>
        </w:tc>
        <w:tc>
          <w:tcPr>
            <w:tcW w:w="260" w:type="dxa"/>
            <w:vAlign w:val="bottom"/>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(0.70)</w:t>
            </w:r>
          </w:p>
        </w:tc>
      </w:tr>
      <w:tr>
        <w:trPr>
          <w:trHeight w:val="212"/>
        </w:trPr>
        <w:tc>
          <w:tcPr>
            <w:tcW w:w="6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181"/>
        </w:trPr>
        <w:tc>
          <w:tcPr>
            <w:tcW w:w="6060" w:type="dxa"/>
            <w:vAlign w:val="bottom"/>
          </w:tcPr>
          <w:p>
            <w:pPr>
              <w:spacing w:after="0"/>
              <w:rPr>
                <w:sz w:val="20"/>
                <w:szCs w:val="20"/>
                <w:color w:val="auto"/>
              </w:rPr>
            </w:pPr>
            <w:r>
              <w:rPr>
                <w:rFonts w:ascii="Arial" w:cs="Arial" w:eastAsia="Arial" w:hAnsi="Arial"/>
                <w:sz w:val="14"/>
                <w:szCs w:val="14"/>
                <w:color w:val="auto"/>
              </w:rPr>
              <w:t>Weighted average number of common shares outstanding:</w:t>
            </w: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60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14,096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14,211</w:t>
            </w:r>
          </w:p>
        </w:tc>
      </w:tr>
      <w:tr>
        <w:trPr>
          <w:trHeight w:val="178"/>
        </w:trPr>
        <w:tc>
          <w:tcPr>
            <w:tcW w:w="606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14,219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14,211</w:t>
            </w:r>
          </w:p>
        </w:tc>
      </w:tr>
    </w:tbl>
    <w:p>
      <w:pPr>
        <w:spacing w:after="0" w:line="200" w:lineRule="exact"/>
        <w:rPr>
          <w:sz w:val="20"/>
          <w:szCs w:val="20"/>
          <w:color w:val="auto"/>
        </w:rPr>
      </w:pPr>
    </w:p>
    <w:p>
      <w:pPr>
        <w:spacing w:after="0" w:line="343" w:lineRule="exact"/>
        <w:rPr>
          <w:sz w:val="20"/>
          <w:szCs w:val="20"/>
          <w:color w:val="auto"/>
        </w:rPr>
      </w:pPr>
    </w:p>
    <w:p>
      <w:pPr>
        <w:ind w:left="296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70485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979"/>
          </w:cols>
          <w:pgMar w:left="480" w:top="1379" w:right="1440" w:bottom="1440" w:gutter="0" w:footer="0" w:header="0"/>
        </w:sectPr>
      </w:pPr>
    </w:p>
    <w:bookmarkStart w:id="4" w:name="page5"/>
    <w:bookmarkEnd w:id="4"/>
    <w:p>
      <w:pPr>
        <w:jc w:val="center"/>
        <w:ind w:right="-140"/>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UNAUDITED CONSOLIDATED STATEMENTS OF COMPREHENSIVE INCOME (LOSS)</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7"/>
          <w:szCs w:val="17"/>
          <w:b w:val="1"/>
          <w:bCs w:val="1"/>
          <w:color w:val="auto"/>
        </w:rPr>
        <w:t>(In Thousands)</w:t>
      </w:r>
    </w:p>
    <w:p>
      <w:pPr>
        <w:spacing w:after="0" w:line="319" w:lineRule="exact"/>
        <w:rPr>
          <w:sz w:val="20"/>
          <w:szCs w:val="20"/>
          <w:color w:val="auto"/>
        </w:rPr>
      </w:pPr>
    </w:p>
    <w:p>
      <w:pPr>
        <w:jc w:val="center"/>
        <w:ind w:left="5980"/>
        <w:spacing w:after="0"/>
        <w:rPr>
          <w:sz w:val="20"/>
          <w:szCs w:val="20"/>
          <w:color w:val="auto"/>
        </w:rPr>
      </w:pPr>
      <w:r>
        <w:rPr>
          <w:rFonts w:ascii="Arial" w:cs="Arial" w:eastAsia="Arial" w:hAnsi="Arial"/>
          <w:sz w:val="14"/>
          <w:szCs w:val="14"/>
          <w:b w:val="1"/>
          <w:bCs w:val="1"/>
          <w:color w:val="auto"/>
        </w:rPr>
        <w:t>Three Months Ended</w:t>
      </w:r>
    </w:p>
    <w:p>
      <w:pPr>
        <w:jc w:val="center"/>
        <w:ind w:left="5980"/>
        <w:spacing w:after="0"/>
        <w:rPr>
          <w:sz w:val="20"/>
          <w:szCs w:val="20"/>
          <w:color w:val="auto"/>
        </w:rPr>
      </w:pPr>
      <w:r>
        <w:rPr>
          <w:rFonts w:ascii="Arial" w:cs="Arial" w:eastAsia="Arial" w:hAnsi="Arial"/>
          <w:sz w:val="14"/>
          <w:szCs w:val="14"/>
          <w:b w:val="1"/>
          <w:bCs w:val="1"/>
          <w:color w:val="auto"/>
        </w:rPr>
        <w:t>March 31,</w:t>
      </w:r>
    </w:p>
    <w:p>
      <w:pPr>
        <w:spacing w:after="0" w:line="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2021</w:t>
            </w:r>
          </w:p>
        </w:tc>
      </w:tr>
      <w:tr>
        <w:trPr>
          <w:trHeight w:val="229"/>
        </w:trPr>
        <w:tc>
          <w:tcPr>
            <w:tcW w:w="6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181"/>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74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1,908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(9,425)</w:t>
            </w:r>
          </w:p>
        </w:tc>
      </w:tr>
      <w:tr>
        <w:trPr>
          <w:trHeight w:val="127"/>
        </w:trPr>
        <w:tc>
          <w:tcPr>
            <w:tcW w:w="6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1"/>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 currency translation adjustment, net of zero taxes</w:t>
            </w: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8,012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w:t>
            </w:r>
          </w:p>
        </w:tc>
      </w:tr>
      <w:tr>
        <w:trPr>
          <w:trHeight w:val="17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taxes</w:t>
            </w:r>
          </w:p>
        </w:tc>
        <w:tc>
          <w:tcPr>
            <w:tcW w:w="74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8,012</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(1,627)</w:t>
            </w:r>
          </w:p>
        </w:tc>
      </w:tr>
      <w:tr>
        <w:trPr>
          <w:trHeight w:val="127"/>
        </w:trPr>
        <w:tc>
          <w:tcPr>
            <w:tcW w:w="6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83"/>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9,920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(11,052)</w:t>
            </w:r>
          </w:p>
        </w:tc>
      </w:tr>
      <w:tr>
        <w:trPr>
          <w:trHeight w:val="181"/>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7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538</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r>
      <w:tr>
        <w:trPr>
          <w:trHeight w:val="204"/>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Civeo Corporation</w:t>
            </w:r>
          </w:p>
        </w:tc>
        <w:tc>
          <w:tcPr>
            <w:tcW w:w="74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9,382</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(11,101)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53975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9019"/>
          </w:cols>
          <w:pgMar w:left="1440" w:top="1379" w:right="1440" w:bottom="1440" w:gutter="0" w:footer="0" w:header="0"/>
        </w:sectPr>
      </w:pPr>
    </w:p>
    <w:bookmarkStart w:id="5" w:name="page6"/>
    <w:bookmarkEnd w:id="5"/>
    <w:p>
      <w:pPr>
        <w:jc w:val="center"/>
        <w:ind w:right="80"/>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(In Thousands, Excluding Share Amounts)</w:t>
      </w:r>
    </w:p>
    <w:p>
      <w:pPr>
        <w:sectPr>
          <w:pgSz w:w="11900" w:h="16838" w:orient="portrait"/>
          <w:cols w:equalWidth="0" w:num="1">
            <w:col w:w="11180"/>
          </w:cols>
          <w:pgMar w:left="480" w:top="137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assets: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Cash and cash equivalents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Accounts receivable, net</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Inventories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Prepaid expenses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Other current assets</w:t>
      </w:r>
    </w:p>
    <w:p>
      <w:pPr>
        <w:spacing w:after="0" w:line="2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Assets held for sale</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Total current assets</w:t>
      </w:r>
    </w:p>
    <w:p>
      <w:pPr>
        <w:spacing w:after="0" w:line="180" w:lineRule="exact"/>
        <w:rPr>
          <w:sz w:val="20"/>
          <w:szCs w:val="20"/>
          <w:color w:val="auto"/>
        </w:rPr>
      </w:pPr>
    </w:p>
    <w:p>
      <w:pPr>
        <w:ind w:left="180"/>
        <w:spacing w:after="0" w:line="273" w:lineRule="auto"/>
        <w:rPr>
          <w:sz w:val="20"/>
          <w:szCs w:val="20"/>
          <w:color w:val="auto"/>
        </w:rPr>
      </w:pPr>
      <w:r>
        <w:rPr>
          <w:rFonts w:ascii="Arial" w:cs="Arial" w:eastAsia="Arial" w:hAnsi="Arial"/>
          <w:sz w:val="14"/>
          <w:szCs w:val="14"/>
          <w:color w:val="auto"/>
        </w:rPr>
        <w:t>Property, plant and equipment, net Goodwill</w:t>
      </w:r>
    </w:p>
    <w:p>
      <w:pPr>
        <w:ind w:left="180"/>
        <w:spacing w:after="0"/>
        <w:rPr>
          <w:sz w:val="20"/>
          <w:szCs w:val="20"/>
          <w:color w:val="auto"/>
        </w:rPr>
      </w:pPr>
      <w:r>
        <w:rPr>
          <w:rFonts w:ascii="Arial" w:cs="Arial" w:eastAsia="Arial" w:hAnsi="Arial"/>
          <w:sz w:val="14"/>
          <w:szCs w:val="14"/>
          <w:color w:val="auto"/>
        </w:rPr>
        <w:t>Other intangible assets, net</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Operating lease right-of-use assets</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noncurrent assets</w:t>
      </w:r>
    </w:p>
    <w:p>
      <w:pPr>
        <w:spacing w:after="0" w:line="6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8"/>
        </w:trPr>
        <w:tc>
          <w:tcPr>
            <w:tcW w:w="3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Pr>
          <w:p>
            <w:pPr>
              <w:spacing w:after="0"/>
              <w:rPr>
                <w:sz w:val="16"/>
                <w:szCs w:val="16"/>
                <w:color w:val="auto"/>
              </w:rPr>
            </w:pPr>
          </w:p>
        </w:tc>
        <w:tc>
          <w:tcPr>
            <w:tcW w:w="1440" w:type="dxa"/>
            <w:vAlign w:val="bottom"/>
          </w:tcPr>
          <w:p>
            <w:pPr>
              <w:jc w:val="right"/>
              <w:ind w:right="150"/>
              <w:spacing w:after="0"/>
              <w:rPr>
                <w:sz w:val="20"/>
                <w:szCs w:val="20"/>
                <w:color w:val="auto"/>
              </w:rPr>
            </w:pPr>
            <w:r>
              <w:rPr>
                <w:rFonts w:ascii="Arial" w:cs="Arial" w:eastAsia="Arial" w:hAnsi="Arial"/>
                <w:sz w:val="14"/>
                <w:szCs w:val="14"/>
                <w:b w:val="1"/>
                <w:bCs w:val="1"/>
                <w:color w:val="auto"/>
                <w:w w:val="95"/>
              </w:rPr>
              <w:t>December 31, 2021</w:t>
            </w:r>
          </w:p>
        </w:tc>
      </w:tr>
      <w:tr>
        <w:trPr>
          <w:trHeight w:val="176"/>
        </w:trPr>
        <w:tc>
          <w:tcPr>
            <w:tcW w:w="39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90"/>
              <w:spacing w:after="0"/>
              <w:rPr>
                <w:sz w:val="20"/>
                <w:szCs w:val="20"/>
                <w:color w:val="auto"/>
              </w:rPr>
            </w:pPr>
            <w:r>
              <w:rPr>
                <w:rFonts w:ascii="Arial" w:cs="Arial" w:eastAsia="Arial" w:hAnsi="Arial"/>
                <w:sz w:val="14"/>
                <w:szCs w:val="14"/>
                <w:color w:val="auto"/>
              </w:rPr>
              <w:t>(Unaudited)</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r>
      <w:tr>
        <w:trPr>
          <w:trHeight w:val="178"/>
        </w:trPr>
        <w:tc>
          <w:tcPr>
            <w:tcW w:w="4320" w:type="dxa"/>
            <w:vAlign w:val="bottom"/>
            <w:gridSpan w:val="2"/>
          </w:tcPr>
          <w:p>
            <w:pPr>
              <w:jc w:val="right"/>
              <w:ind w:right="3730"/>
              <w:spacing w:after="0"/>
              <w:rPr>
                <w:sz w:val="20"/>
                <w:szCs w:val="20"/>
                <w:color w:val="auto"/>
              </w:rPr>
            </w:pPr>
            <w:r>
              <w:rPr>
                <w:rFonts w:ascii="Arial" w:cs="Arial" w:eastAsia="Arial" w:hAnsi="Arial"/>
                <w:sz w:val="14"/>
                <w:szCs w:val="14"/>
                <w:color w:val="auto"/>
                <w:w w:val="90"/>
              </w:rPr>
              <w:t>ASSETS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524"/>
        </w:trPr>
        <w:tc>
          <w:tcPr>
            <w:tcW w:w="4320" w:type="dxa"/>
            <w:vAlign w:val="bottom"/>
            <w:gridSpan w:val="2"/>
          </w:tcPr>
          <w:p>
            <w:pPr>
              <w:jc w:val="right"/>
              <w:ind w:right="50"/>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6,423</w:t>
            </w:r>
          </w:p>
        </w:tc>
        <w:tc>
          <w:tcPr>
            <w:tcW w:w="100" w:type="dxa"/>
            <w:vAlign w:val="bottom"/>
          </w:tcPr>
          <w:p>
            <w:pPr>
              <w:spacing w:after="0"/>
              <w:rPr>
                <w:sz w:val="24"/>
                <w:szCs w:val="24"/>
                <w:color w:val="auto"/>
              </w:rPr>
            </w:pPr>
          </w:p>
        </w:tc>
        <w:tc>
          <w:tcPr>
            <w:tcW w:w="3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6,282</w:t>
            </w:r>
          </w:p>
        </w:tc>
      </w:tr>
      <w:tr>
        <w:trPr>
          <w:trHeight w:val="183"/>
        </w:trPr>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124,484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114,859</w:t>
            </w:r>
          </w:p>
        </w:tc>
      </w:tr>
      <w:tr>
        <w:trPr>
          <w:trHeight w:val="183"/>
        </w:trPr>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7,271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6,468</w:t>
            </w:r>
          </w:p>
        </w:tc>
      </w:tr>
      <w:tr>
        <w:trPr>
          <w:trHeight w:val="183"/>
        </w:trPr>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4,900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6,876</w:t>
            </w:r>
          </w:p>
        </w:tc>
      </w:tr>
      <w:tr>
        <w:trPr>
          <w:trHeight w:val="183"/>
        </w:trPr>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7,969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10,946</w:t>
            </w:r>
          </w:p>
        </w:tc>
      </w:tr>
      <w:tr>
        <w:trPr>
          <w:trHeight w:val="189"/>
        </w:trPr>
        <w:tc>
          <w:tcPr>
            <w:tcW w:w="3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10,800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11,762</w:t>
            </w:r>
          </w:p>
        </w:tc>
      </w:tr>
      <w:tr>
        <w:trPr>
          <w:trHeight w:val="177"/>
        </w:trPr>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161,847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157,193</w:t>
            </w:r>
          </w:p>
        </w:tc>
      </w:tr>
      <w:tr>
        <w:trPr>
          <w:trHeight w:val="335"/>
        </w:trPr>
        <w:tc>
          <w:tcPr>
            <w:tcW w:w="3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386,022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389,996</w:t>
            </w:r>
          </w:p>
        </w:tc>
      </w:tr>
      <w:tr>
        <w:trPr>
          <w:trHeight w:val="183"/>
        </w:trPr>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8,468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8,204</w:t>
            </w:r>
          </w:p>
        </w:tc>
      </w:tr>
      <w:tr>
        <w:trPr>
          <w:trHeight w:val="183"/>
        </w:trPr>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93,542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93,642</w:t>
            </w:r>
          </w:p>
        </w:tc>
      </w:tr>
      <w:tr>
        <w:trPr>
          <w:trHeight w:val="183"/>
        </w:trPr>
        <w:tc>
          <w:tcPr>
            <w:tcW w:w="3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17,879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18,327</w:t>
            </w:r>
          </w:p>
        </w:tc>
      </w:tr>
      <w:tr>
        <w:trPr>
          <w:trHeight w:val="189"/>
        </w:trPr>
        <w:tc>
          <w:tcPr>
            <w:tcW w:w="3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5,372</w:t>
            </w:r>
          </w:p>
        </w:tc>
      </w:tr>
      <w:tr>
        <w:trPr>
          <w:trHeight w:val="179"/>
        </w:trPr>
        <w:tc>
          <w:tcPr>
            <w:tcW w:w="3960" w:type="dxa"/>
            <w:vAlign w:val="bottom"/>
          </w:tcPr>
          <w:p>
            <w:pPr>
              <w:spacing w:after="0"/>
              <w:rPr>
                <w:sz w:val="15"/>
                <w:szCs w:val="15"/>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673,094</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672,734</w:t>
            </w:r>
          </w:p>
        </w:tc>
      </w:tr>
      <w:tr>
        <w:trPr>
          <w:trHeight w:val="22"/>
        </w:trPr>
        <w:tc>
          <w:tcPr>
            <w:tcW w:w="3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-1995805</wp:posOffset>
            </wp:positionV>
            <wp:extent cx="7098030" cy="116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-1779270</wp:posOffset>
            </wp:positionV>
            <wp:extent cx="7098030" cy="116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-1546225</wp:posOffset>
            </wp:positionV>
            <wp:extent cx="7098030" cy="116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-1313815</wp:posOffset>
            </wp:positionV>
            <wp:extent cx="7098030" cy="116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-1080770</wp:posOffset>
            </wp:positionV>
            <wp:extent cx="7098030" cy="116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-839470</wp:posOffset>
            </wp:positionV>
            <wp:extent cx="7098030" cy="99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9969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-622935</wp:posOffset>
            </wp:positionV>
            <wp:extent cx="7098030" cy="116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-390525</wp:posOffset>
            </wp:positionV>
            <wp:extent cx="7098030" cy="116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16205"/>
                    </a:xfrm>
                    <a:prstGeom prst="rect">
                      <a:avLst/>
                    </a:prstGeom>
                    <a:noFill/>
                  </pic:spPr>
                </pic:pic>
              </a:graphicData>
            </a:graphic>
          </wp:anchor>
        </w:drawing>
        <w:drawing>
          <wp:anchor simplePos="0" relativeHeight="251657728" behindDoc="1" locked="0" layoutInCell="0" allowOverlap="1">
            <wp:simplePos x="0" y="0"/>
            <wp:positionH relativeFrom="column">
              <wp:posOffset>-1534795</wp:posOffset>
            </wp:positionH>
            <wp:positionV relativeFrom="paragraph">
              <wp:posOffset>-157480</wp:posOffset>
            </wp:positionV>
            <wp:extent cx="7098030" cy="141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14160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-98425</wp:posOffset>
            </wp:positionV>
            <wp:extent cx="7098030" cy="116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11620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2100" w:space="320"/>
            <w:col w:w="8760"/>
          </w:cols>
          <w:pgMar w:left="480" w:top="1379" w:right="2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liabilities:</w:t>
            </w:r>
          </w:p>
        </w:tc>
        <w:tc>
          <w:tcPr>
            <w:tcW w:w="6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680" w:type="dxa"/>
            <w:vAlign w:val="bottom"/>
          </w:tcPr>
          <w:p>
            <w:pPr>
              <w:jc w:val="right"/>
              <w:ind w:right="37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47,204</w:t>
            </w:r>
          </w:p>
        </w:tc>
        <w:tc>
          <w:tcPr>
            <w:tcW w:w="100" w:type="dxa"/>
            <w:vAlign w:val="bottom"/>
          </w:tcPr>
          <w:p>
            <w:pPr>
              <w:spacing w:after="0"/>
              <w:rPr>
                <w:sz w:val="15"/>
                <w:szCs w:val="15"/>
                <w:color w:val="auto"/>
              </w:rPr>
            </w:pPr>
          </w:p>
        </w:tc>
        <w:tc>
          <w:tcPr>
            <w:tcW w:w="700" w:type="dxa"/>
            <w:vAlign w:val="bottom"/>
          </w:tcPr>
          <w:p>
            <w:pPr>
              <w:jc w:val="right"/>
              <w:ind w:right="39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49,321</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Accrued liabilities</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22,797</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33,564</w:t>
            </w: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Income taxes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Current portion of long-term debt</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30,868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30,576</w:t>
            </w: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Deferred revenue</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13,608</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18,479</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current liabilities</w:t>
            </w:r>
          </w:p>
        </w:tc>
        <w:tc>
          <w:tcPr>
            <w:tcW w:w="6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4,441</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4,807</w:t>
            </w:r>
          </w:p>
        </w:tc>
        <w:tc>
          <w:tcPr>
            <w:tcW w:w="0" w:type="dxa"/>
            <w:vAlign w:val="bottom"/>
          </w:tcPr>
          <w:p>
            <w:pPr>
              <w:spacing w:after="0"/>
              <w:rPr>
                <w:sz w:val="1"/>
                <w:szCs w:val="1"/>
                <w:color w:val="auto"/>
              </w:rPr>
            </w:pPr>
          </w:p>
        </w:tc>
      </w:tr>
      <w:tr>
        <w:trPr>
          <w:trHeight w:val="174"/>
        </w:trPr>
        <w:tc>
          <w:tcPr>
            <w:tcW w:w="7560" w:type="dxa"/>
            <w:vAlign w:val="bottom"/>
          </w:tcPr>
          <w:p>
            <w:pPr>
              <w:ind w:left="500"/>
              <w:spacing w:after="0"/>
              <w:rPr>
                <w:sz w:val="20"/>
                <w:szCs w:val="20"/>
                <w:color w:val="auto"/>
              </w:rPr>
            </w:pPr>
            <w:r>
              <w:rPr>
                <w:rFonts w:ascii="Arial" w:cs="Arial" w:eastAsia="Arial" w:hAnsi="Arial"/>
                <w:sz w:val="14"/>
                <w:szCs w:val="14"/>
                <w:color w:val="auto"/>
              </w:rPr>
              <w:t>Total current liabilities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119,150</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136,918</w:t>
            </w:r>
          </w:p>
        </w:tc>
        <w:tc>
          <w:tcPr>
            <w:tcW w:w="0" w:type="dxa"/>
            <w:vAlign w:val="bottom"/>
          </w:tcPr>
          <w:p>
            <w:pPr>
              <w:spacing w:after="0"/>
              <w:rPr>
                <w:sz w:val="1"/>
                <w:szCs w:val="1"/>
                <w:color w:val="auto"/>
              </w:rPr>
            </w:pPr>
          </w:p>
        </w:tc>
      </w:tr>
      <w:tr>
        <w:trPr>
          <w:trHeight w:val="160"/>
        </w:trPr>
        <w:tc>
          <w:tcPr>
            <w:tcW w:w="75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180"/>
              <w:spacing w:after="0"/>
              <w:rPr>
                <w:sz w:val="20"/>
                <w:szCs w:val="20"/>
                <w:color w:val="auto"/>
              </w:rPr>
            </w:pPr>
            <w:r>
              <w:rPr>
                <w:rFonts w:ascii="Arial" w:cs="Arial" w:eastAsia="Arial" w:hAnsi="Arial"/>
                <w:sz w:val="14"/>
                <w:szCs w:val="14"/>
                <w:color w:val="auto"/>
              </w:rPr>
              <w:t>Long-term debt, less current maturities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145,037</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142,602</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Deferred income taxes</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w:t>
            </w:r>
          </w:p>
        </w:tc>
        <w:tc>
          <w:tcPr>
            <w:tcW w:w="0" w:type="dxa"/>
            <w:vAlign w:val="bottom"/>
          </w:tcPr>
          <w:p>
            <w:pPr>
              <w:spacing w:after="0"/>
              <w:rPr>
                <w:sz w:val="1"/>
                <w:szCs w:val="1"/>
                <w:color w:val="auto"/>
              </w:rPr>
            </w:pPr>
          </w:p>
        </w:tc>
      </w:tr>
      <w:tr>
        <w:trPr>
          <w:trHeight w:val="181"/>
        </w:trPr>
        <w:tc>
          <w:tcPr>
            <w:tcW w:w="7560" w:type="dxa"/>
            <w:vAlign w:val="bottom"/>
          </w:tcPr>
          <w:p>
            <w:pPr>
              <w:ind w:left="180"/>
              <w:spacing w:after="0"/>
              <w:rPr>
                <w:sz w:val="20"/>
                <w:szCs w:val="20"/>
                <w:color w:val="auto"/>
              </w:rPr>
            </w:pPr>
            <w:r>
              <w:rPr>
                <w:rFonts w:ascii="Arial" w:cs="Arial" w:eastAsia="Arial" w:hAnsi="Arial"/>
                <w:sz w:val="14"/>
                <w:szCs w:val="14"/>
                <w:color w:val="auto"/>
              </w:rPr>
              <w:t>Operating lease liabilities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14,911</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15,429</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noncurrent liabilities</w:t>
            </w:r>
          </w:p>
        </w:tc>
        <w:tc>
          <w:tcPr>
            <w:tcW w:w="6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18,531</w:t>
            </w:r>
          </w:p>
        </w:tc>
        <w:tc>
          <w:tcPr>
            <w:tcW w:w="100" w:type="dxa"/>
            <w:vAlign w:val="bottom"/>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13,778</w:t>
            </w:r>
          </w:p>
        </w:tc>
        <w:tc>
          <w:tcPr>
            <w:tcW w:w="0" w:type="dxa"/>
            <w:vAlign w:val="bottom"/>
          </w:tcPr>
          <w:p>
            <w:pPr>
              <w:spacing w:after="0"/>
              <w:rPr>
                <w:sz w:val="1"/>
                <w:szCs w:val="1"/>
                <w:color w:val="auto"/>
              </w:rPr>
            </w:pPr>
          </w:p>
        </w:tc>
      </w:tr>
      <w:tr>
        <w:trPr>
          <w:trHeight w:val="174"/>
        </w:trPr>
        <w:tc>
          <w:tcPr>
            <w:tcW w:w="7560" w:type="dxa"/>
            <w:vAlign w:val="bottom"/>
          </w:tcPr>
          <w:p>
            <w:pPr>
              <w:ind w:left="300"/>
              <w:spacing w:after="0"/>
              <w:rPr>
                <w:sz w:val="20"/>
                <w:szCs w:val="20"/>
                <w:color w:val="auto"/>
              </w:rPr>
            </w:pPr>
            <w:r>
              <w:rPr>
                <w:rFonts w:ascii="Arial" w:cs="Arial" w:eastAsia="Arial" w:hAnsi="Arial"/>
                <w:sz w:val="14"/>
                <w:szCs w:val="14"/>
                <w:color w:val="auto"/>
              </w:rPr>
              <w:t>Total liabilities</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300,123</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309,623</w:t>
            </w:r>
          </w:p>
        </w:tc>
        <w:tc>
          <w:tcPr>
            <w:tcW w:w="0" w:type="dxa"/>
            <w:vAlign w:val="bottom"/>
          </w:tcPr>
          <w:p>
            <w:pPr>
              <w:spacing w:after="0"/>
              <w:rPr>
                <w:sz w:val="1"/>
                <w:szCs w:val="1"/>
                <w:color w:val="auto"/>
              </w:rPr>
            </w:pPr>
          </w:p>
        </w:tc>
      </w:tr>
      <w:tr>
        <w:trPr>
          <w:trHeight w:val="160"/>
        </w:trPr>
        <w:tc>
          <w:tcPr>
            <w:tcW w:w="75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180"/>
              <w:spacing w:after="0"/>
              <w:rPr>
                <w:sz w:val="20"/>
                <w:szCs w:val="20"/>
                <w:color w:val="auto"/>
              </w:rPr>
            </w:pPr>
            <w:r>
              <w:rPr>
                <w:rFonts w:ascii="Arial" w:cs="Arial" w:eastAsia="Arial" w:hAnsi="Arial"/>
                <w:sz w:val="14"/>
                <w:szCs w:val="14"/>
                <w:color w:val="auto"/>
              </w:rPr>
              <w:t>Commitments and contingencies (Note 9)</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75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560" w:type="dxa"/>
            <w:vAlign w:val="bottom"/>
          </w:tcPr>
          <w:p>
            <w:pPr>
              <w:ind w:left="180"/>
              <w:spacing w:after="0"/>
              <w:rPr>
                <w:sz w:val="20"/>
                <w:szCs w:val="20"/>
                <w:color w:val="auto"/>
              </w:rPr>
            </w:pPr>
            <w:r>
              <w:rPr>
                <w:rFonts w:ascii="Arial" w:cs="Arial" w:eastAsia="Arial" w:hAnsi="Arial"/>
                <w:sz w:val="14"/>
                <w:szCs w:val="14"/>
                <w:color w:val="auto"/>
              </w:rPr>
              <w:t>Shareholders’ Equity:</w:t>
            </w:r>
          </w:p>
        </w:tc>
        <w:tc>
          <w:tcPr>
            <w:tcW w:w="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7560" w:type="dxa"/>
            <w:vAlign w:val="bottom"/>
            <w:shd w:val="clear" w:color="auto" w:fill="CCEEFF"/>
          </w:tcPr>
          <w:p>
            <w:pPr>
              <w:ind w:left="300"/>
              <w:spacing w:after="0" w:line="133" w:lineRule="exact"/>
              <w:rPr>
                <w:sz w:val="20"/>
                <w:szCs w:val="20"/>
                <w:color w:val="auto"/>
              </w:rPr>
            </w:pPr>
            <w:r>
              <w:rPr>
                <w:rFonts w:ascii="Arial" w:cs="Arial" w:eastAsia="Arial" w:hAnsi="Arial"/>
                <w:sz w:val="14"/>
                <w:szCs w:val="14"/>
                <w:color w:val="auto"/>
                <w:w w:val="88"/>
              </w:rPr>
              <w:t>Preferred shares (Class A Series 1, no par value; 50,000,000 shares authorized, 9,042 shares issued and outstanding, respectively;</w:t>
            </w:r>
          </w:p>
        </w:tc>
        <w:tc>
          <w:tcPr>
            <w:tcW w:w="68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62,428</w:t>
            </w: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61,941</w:t>
            </w: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aggregate liquidation preference of $97,925,880 and $97,438,687 as of March 31, 2022 and December 31, 2021)</w:t>
            </w:r>
          </w:p>
        </w:tc>
        <w:tc>
          <w:tcPr>
            <w:tcW w:w="6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560" w:type="dxa"/>
            <w:vAlign w:val="bottom"/>
          </w:tcPr>
          <w:p>
            <w:pPr>
              <w:ind w:left="300"/>
              <w:spacing w:after="0" w:line="131" w:lineRule="exact"/>
              <w:rPr>
                <w:sz w:val="20"/>
                <w:szCs w:val="20"/>
                <w:color w:val="auto"/>
              </w:rPr>
            </w:pPr>
            <w:r>
              <w:rPr>
                <w:rFonts w:ascii="Arial" w:cs="Arial" w:eastAsia="Arial" w:hAnsi="Arial"/>
                <w:sz w:val="14"/>
                <w:szCs w:val="14"/>
                <w:color w:val="auto"/>
                <w:w w:val="89"/>
              </w:rPr>
              <w:t>Common shares (no par value; 46,000,000 shares authorized, 14,552,341 shares and 14,431,819 shares issued, respectively, and</w:t>
            </w:r>
          </w:p>
        </w:tc>
        <w:tc>
          <w:tcPr>
            <w:tcW w:w="680" w:type="dxa"/>
            <w:vAlign w:val="bottom"/>
          </w:tcPr>
          <w:p>
            <w:pPr>
              <w:spacing w:after="0"/>
              <w:rPr>
                <w:sz w:val="11"/>
                <w:szCs w:val="11"/>
                <w:color w:val="auto"/>
              </w:rPr>
            </w:pP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7560" w:type="dxa"/>
            <w:vAlign w:val="bottom"/>
          </w:tcPr>
          <w:p>
            <w:pPr>
              <w:ind w:left="140"/>
              <w:spacing w:after="0"/>
              <w:rPr>
                <w:sz w:val="20"/>
                <w:szCs w:val="20"/>
                <w:color w:val="auto"/>
              </w:rPr>
            </w:pPr>
            <w:r>
              <w:rPr>
                <w:rFonts w:ascii="Arial" w:cs="Arial" w:eastAsia="Arial" w:hAnsi="Arial"/>
                <w:sz w:val="14"/>
                <w:szCs w:val="14"/>
                <w:color w:val="auto"/>
              </w:rPr>
              <w:t>14,185,666 shares and 14,111,221 shares outstanding, respectively)</w:t>
            </w:r>
          </w:p>
        </w:tc>
        <w:tc>
          <w:tcPr>
            <w:tcW w:w="6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Additional paid-in capital</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1,583,474</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1,582,442</w:t>
            </w:r>
          </w:p>
        </w:tc>
        <w:tc>
          <w:tcPr>
            <w:tcW w:w="0" w:type="dxa"/>
            <w:vAlign w:val="bottom"/>
          </w:tcPr>
          <w:p>
            <w:pPr>
              <w:spacing w:after="0"/>
              <w:rPr>
                <w:sz w:val="1"/>
                <w:szCs w:val="1"/>
                <w:color w:val="auto"/>
              </w:rPr>
            </w:pPr>
          </w:p>
        </w:tc>
      </w:tr>
      <w:tr>
        <w:trPr>
          <w:trHeight w:val="181"/>
        </w:trPr>
        <w:tc>
          <w:tcPr>
            <w:tcW w:w="7560" w:type="dxa"/>
            <w:vAlign w:val="bottom"/>
          </w:tcPr>
          <w:p>
            <w:pPr>
              <w:ind w:left="300"/>
              <w:spacing w:after="0"/>
              <w:rPr>
                <w:sz w:val="20"/>
                <w:szCs w:val="20"/>
                <w:color w:val="auto"/>
              </w:rPr>
            </w:pPr>
            <w:r>
              <w:rPr>
                <w:rFonts w:ascii="Arial" w:cs="Arial" w:eastAsia="Arial" w:hAnsi="Arial"/>
                <w:sz w:val="14"/>
                <w:szCs w:val="14"/>
                <w:color w:val="auto"/>
              </w:rPr>
              <w:t>Accumulated deficit</w:t>
            </w:r>
          </w:p>
        </w:tc>
        <w:tc>
          <w:tcPr>
            <w:tcW w:w="6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(912,037)</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(912,951)</w:t>
            </w:r>
          </w:p>
        </w:tc>
        <w:tc>
          <w:tcPr>
            <w:tcW w:w="0" w:type="dxa"/>
            <w:vAlign w:val="bottom"/>
          </w:tcPr>
          <w:p>
            <w:pPr>
              <w:spacing w:after="0"/>
              <w:rPr>
                <w:sz w:val="1"/>
                <w:szCs w:val="1"/>
                <w:color w:val="auto"/>
              </w:rPr>
            </w:pPr>
          </w:p>
        </w:tc>
      </w:tr>
      <w:tr>
        <w:trPr>
          <w:trHeight w:val="18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Common shares held in treasury at cost, 366,675 and 320,598 shares, respectively</w:t>
            </w:r>
          </w:p>
        </w:tc>
        <w:tc>
          <w:tcPr>
            <w:tcW w:w="6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(9,063)</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(8,050)</w:t>
            </w:r>
          </w:p>
        </w:tc>
        <w:tc>
          <w:tcPr>
            <w:tcW w:w="0" w:type="dxa"/>
            <w:vAlign w:val="bottom"/>
          </w:tcPr>
          <w:p>
            <w:pPr>
              <w:spacing w:after="0"/>
              <w:rPr>
                <w:sz w:val="1"/>
                <w:szCs w:val="1"/>
                <w:color w:val="auto"/>
              </w:rPr>
            </w:pPr>
          </w:p>
        </w:tc>
      </w:tr>
      <w:tr>
        <w:trPr>
          <w:trHeight w:val="181"/>
        </w:trPr>
        <w:tc>
          <w:tcPr>
            <w:tcW w:w="756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Accumulated other comprehensive loss</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(353,911)</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(361,883)</w:t>
            </w:r>
          </w:p>
        </w:tc>
        <w:tc>
          <w:tcPr>
            <w:tcW w:w="0" w:type="dxa"/>
            <w:vAlign w:val="bottom"/>
          </w:tcPr>
          <w:p>
            <w:pPr>
              <w:spacing w:after="0"/>
              <w:rPr>
                <w:sz w:val="1"/>
                <w:szCs w:val="1"/>
                <w:color w:val="auto"/>
              </w:rPr>
            </w:pPr>
          </w:p>
        </w:tc>
      </w:tr>
      <w:tr>
        <w:trPr>
          <w:trHeight w:val="179"/>
        </w:trPr>
        <w:tc>
          <w:tcPr>
            <w:tcW w:w="75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Civeo Corporation shareholders’ equity</w:t>
            </w:r>
          </w:p>
        </w:tc>
        <w:tc>
          <w:tcPr>
            <w:tcW w:w="6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370,891</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361,499</w:t>
            </w:r>
          </w:p>
        </w:tc>
        <w:tc>
          <w:tcPr>
            <w:tcW w:w="0" w:type="dxa"/>
            <w:vAlign w:val="bottom"/>
          </w:tcPr>
          <w:p>
            <w:pPr>
              <w:spacing w:after="0"/>
              <w:rPr>
                <w:sz w:val="1"/>
                <w:szCs w:val="1"/>
                <w:color w:val="auto"/>
              </w:rPr>
            </w:pPr>
          </w:p>
        </w:tc>
      </w:tr>
      <w:tr>
        <w:trPr>
          <w:trHeight w:val="174"/>
        </w:trPr>
        <w:tc>
          <w:tcPr>
            <w:tcW w:w="75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Noncontrolling interest</w:t>
            </w:r>
          </w:p>
        </w:tc>
        <w:tc>
          <w:tcPr>
            <w:tcW w:w="6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2,080</w:t>
            </w:r>
          </w:p>
        </w:tc>
        <w:tc>
          <w:tcPr>
            <w:tcW w:w="10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1,612</w:t>
            </w:r>
          </w:p>
        </w:tc>
        <w:tc>
          <w:tcPr>
            <w:tcW w:w="0" w:type="dxa"/>
            <w:vAlign w:val="bottom"/>
          </w:tcPr>
          <w:p>
            <w:pPr>
              <w:spacing w:after="0"/>
              <w:rPr>
                <w:sz w:val="1"/>
                <w:szCs w:val="1"/>
                <w:color w:val="auto"/>
              </w:rPr>
            </w:pPr>
          </w:p>
        </w:tc>
      </w:tr>
      <w:tr>
        <w:trPr>
          <w:trHeight w:val="176"/>
        </w:trPr>
        <w:tc>
          <w:tcPr>
            <w:tcW w:w="75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Total shareholders’ equity</w:t>
            </w:r>
          </w:p>
        </w:tc>
        <w:tc>
          <w:tcPr>
            <w:tcW w:w="6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372,971</w:t>
            </w:r>
          </w:p>
        </w:tc>
        <w:tc>
          <w:tcPr>
            <w:tcW w:w="10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363,111</w:t>
            </w:r>
          </w:p>
        </w:tc>
        <w:tc>
          <w:tcPr>
            <w:tcW w:w="0" w:type="dxa"/>
            <w:vAlign w:val="bottom"/>
          </w:tcPr>
          <w:p>
            <w:pPr>
              <w:spacing w:after="0"/>
              <w:rPr>
                <w:sz w:val="1"/>
                <w:szCs w:val="1"/>
                <w:color w:val="auto"/>
              </w:rPr>
            </w:pPr>
          </w:p>
        </w:tc>
      </w:tr>
      <w:tr>
        <w:trPr>
          <w:trHeight w:val="179"/>
        </w:trPr>
        <w:tc>
          <w:tcPr>
            <w:tcW w:w="7560" w:type="dxa"/>
            <w:vAlign w:val="bottom"/>
          </w:tcPr>
          <w:p>
            <w:pPr>
              <w:ind w:left="500"/>
              <w:spacing w:after="0"/>
              <w:rPr>
                <w:sz w:val="20"/>
                <w:szCs w:val="20"/>
                <w:color w:val="auto"/>
              </w:rPr>
            </w:pPr>
            <w:r>
              <w:rPr>
                <w:rFonts w:ascii="Arial" w:cs="Arial" w:eastAsia="Arial" w:hAnsi="Arial"/>
                <w:sz w:val="14"/>
                <w:szCs w:val="14"/>
                <w:color w:val="auto"/>
              </w:rPr>
              <w:t>Total liabilities and shareholders’ equity</w:t>
            </w:r>
          </w:p>
        </w:tc>
        <w:tc>
          <w:tcPr>
            <w:tcW w:w="6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673,094</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672,734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left="284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53975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480" w:top="1379" w:right="239" w:bottom="1440" w:gutter="0" w:footer="0" w:header="0"/>
          <w:type w:val="continuous"/>
        </w:sectPr>
      </w:pPr>
    </w:p>
    <w:bookmarkStart w:id="6" w:name="page7"/>
    <w:bookmarkEnd w:id="6"/>
    <w:p>
      <w:pPr>
        <w:jc w:val="center"/>
        <w:ind w:right="-23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UNAUDITED CONSOLIDATED STATEMENTS OF</w:t>
      </w:r>
    </w:p>
    <w:p>
      <w:pPr>
        <w:spacing w:after="0" w:line="3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CHANGES IN SHAREHOLDERS’ EQUITY</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(In Thousands)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rPr>
              <w:t>Attributable to Civeo</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3"/>
              </w:rPr>
              <w:t>Preferred</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3"/>
          </w:tcPr>
          <w:p>
            <w:pPr>
              <w:jc w:val="center"/>
              <w:ind w:right="300"/>
              <w:spacing w:after="0" w:line="118" w:lineRule="exact"/>
              <w:rPr>
                <w:sz w:val="20"/>
                <w:szCs w:val="20"/>
                <w:color w:val="auto"/>
              </w:rPr>
            </w:pPr>
            <w:r>
              <w:rPr>
                <w:rFonts w:ascii="Arial" w:cs="Arial" w:eastAsia="Arial" w:hAnsi="Arial"/>
                <w:sz w:val="12"/>
                <w:szCs w:val="12"/>
                <w:b w:val="1"/>
                <w:bCs w:val="1"/>
                <w:color w:val="auto"/>
                <w:w w:val="92"/>
              </w:rPr>
              <w:t>Common</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4"/>
              </w:rPr>
              <w:t>Shares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89"/>
              </w:rPr>
              <w:t>Shares</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26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2"/>
          </w:tcPr>
          <w:p>
            <w:pPr>
              <w:jc w:val="center"/>
              <w:ind w:right="240"/>
              <w:spacing w:after="0" w:line="105" w:lineRule="exact"/>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vMerge w:val="restart"/>
          </w:tcPr>
          <w:p>
            <w:pPr>
              <w:jc w:val="center"/>
              <w:ind w:right="52"/>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2"/>
              </w:rPr>
              <w:t>Accumulated</w:t>
            </w: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Treasury</w:t>
            </w: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3"/>
              </w:rPr>
              <w:t>Other</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1"/>
              </w:rPr>
              <w:t>Noncontrolling</w:t>
            </w:r>
          </w:p>
        </w:tc>
        <w:tc>
          <w:tcPr>
            <w:tcW w:w="12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2"/>
              </w:rPr>
              <w:t>Amount</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4"/>
            <w:vMerge w:val="restart"/>
          </w:tcPr>
          <w:p>
            <w:pPr>
              <w:jc w:val="center"/>
              <w:ind w:right="260"/>
              <w:spacing w:after="0"/>
              <w:rPr>
                <w:sz w:val="20"/>
                <w:szCs w:val="20"/>
                <w:color w:val="auto"/>
              </w:rPr>
            </w:pPr>
            <w:r>
              <w:rPr>
                <w:rFonts w:ascii="Arial" w:cs="Arial" w:eastAsia="Arial" w:hAnsi="Arial"/>
                <w:sz w:val="12"/>
                <w:szCs w:val="12"/>
                <w:b w:val="1"/>
                <w:bCs w:val="1"/>
                <w:color w:val="auto"/>
                <w:w w:val="94"/>
              </w:rPr>
              <w:t>Par Value</w:t>
            </w:r>
          </w:p>
        </w:tc>
        <w:tc>
          <w:tcPr>
            <w:tcW w:w="260" w:type="dxa"/>
            <w:vAlign w:val="bottom"/>
          </w:tcPr>
          <w:p>
            <w:pPr>
              <w:spacing w:after="0"/>
              <w:rPr>
                <w:sz w:val="10"/>
                <w:szCs w:val="10"/>
                <w:color w:val="auto"/>
              </w:rPr>
            </w:pPr>
          </w:p>
        </w:tc>
        <w:tc>
          <w:tcPr>
            <w:tcW w:w="780" w:type="dxa"/>
            <w:vAlign w:val="bottom"/>
            <w:gridSpan w:val="3"/>
          </w:tcPr>
          <w:p>
            <w:pPr>
              <w:jc w:val="center"/>
              <w:ind w:right="360"/>
              <w:spacing w:after="0" w:line="118" w:lineRule="exact"/>
              <w:rPr>
                <w:sz w:val="20"/>
                <w:szCs w:val="20"/>
                <w:color w:val="auto"/>
              </w:rPr>
            </w:pPr>
            <w:r>
              <w:rPr>
                <w:rFonts w:ascii="Arial" w:cs="Arial" w:eastAsia="Arial" w:hAnsi="Arial"/>
                <w:sz w:val="12"/>
                <w:szCs w:val="12"/>
                <w:b w:val="1"/>
                <w:bCs w:val="1"/>
                <w:color w:val="auto"/>
                <w:w w:val="94"/>
              </w:rPr>
              <w:t>Paid-in</w:t>
            </w:r>
          </w:p>
        </w:tc>
        <w:tc>
          <w:tcPr>
            <w:tcW w:w="1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Arial" w:cs="Arial" w:eastAsia="Arial" w:hAnsi="Arial"/>
                <w:sz w:val="12"/>
                <w:szCs w:val="12"/>
                <w:b w:val="1"/>
                <w:bCs w:val="1"/>
                <w:color w:val="auto"/>
                <w:w w:val="91"/>
              </w:rPr>
              <w:t>Comprehensive</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jc w:val="center"/>
              <w:ind w:right="52"/>
              <w:spacing w:after="0" w:line="118" w:lineRule="exact"/>
              <w:rPr>
                <w:sz w:val="20"/>
                <w:szCs w:val="20"/>
                <w:color w:val="auto"/>
              </w:rPr>
            </w:pPr>
            <w:r>
              <w:rPr>
                <w:rFonts w:ascii="Arial" w:cs="Arial" w:eastAsia="Arial" w:hAnsi="Arial"/>
                <w:sz w:val="12"/>
                <w:szCs w:val="12"/>
                <w:b w:val="1"/>
                <w:bCs w:val="1"/>
                <w:color w:val="auto"/>
                <w:w w:val="92"/>
              </w:rPr>
              <w:t>Shareholders’</w:t>
            </w:r>
          </w:p>
        </w:tc>
        <w:tc>
          <w:tcPr>
            <w:tcW w:w="0" w:type="dxa"/>
            <w:vAlign w:val="bottom"/>
          </w:tcPr>
          <w:p>
            <w:pPr>
              <w:spacing w:after="0"/>
              <w:rPr>
                <w:sz w:val="1"/>
                <w:szCs w:val="1"/>
                <w:color w:val="auto"/>
              </w:rPr>
            </w:pPr>
          </w:p>
        </w:tc>
      </w:tr>
      <w:tr>
        <w:trPr>
          <w:trHeight w:val="165"/>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center"/>
              <w:ind w:right="36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Deficit</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Income (Loss)</w:t>
            </w: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2"/>
              </w:rPr>
              <w:t>Interest</w:t>
            </w:r>
          </w:p>
        </w:tc>
        <w:tc>
          <w:tcPr>
            <w:tcW w:w="120" w:type="dxa"/>
            <w:vAlign w:val="bottom"/>
          </w:tcPr>
          <w:p>
            <w:pPr>
              <w:spacing w:after="0"/>
              <w:rPr>
                <w:sz w:val="14"/>
                <w:szCs w:val="14"/>
                <w:color w:val="auto"/>
              </w:rPr>
            </w:pPr>
          </w:p>
        </w:tc>
        <w:tc>
          <w:tcPr>
            <w:tcW w:w="940" w:type="dxa"/>
            <w:vAlign w:val="bottom"/>
          </w:tcPr>
          <w:p>
            <w:pPr>
              <w:jc w:val="center"/>
              <w:ind w:right="52"/>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2"/>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2020</w:t>
            </w:r>
          </w:p>
        </w:tc>
        <w:tc>
          <w:tcPr>
            <w:tcW w:w="1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60,016</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1,578,315</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(907,727)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4"/>
                <w:szCs w:val="14"/>
                <w:b w:val="1"/>
                <w:bCs w:val="1"/>
                <w:color w:val="auto"/>
                <w:w w:val="94"/>
              </w:rPr>
              <w:t>(6,930)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(348,989)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375,357</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(9,425)</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(1,627)</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3"/>
        </w:trPr>
        <w:tc>
          <w:tcPr>
            <w:tcW w:w="26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8"/>
              </w:rPr>
              <w:t>Dividends attributable to Class A preferred</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w w:val="94"/>
              </w:rPr>
              <w:t>(1,120)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4"/>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March 31, 2021</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60,494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1,579,342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(917,689)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b w:val="1"/>
                <w:bCs w:val="1"/>
                <w:color w:val="auto"/>
                <w:w w:val="94"/>
              </w:rPr>
              <w:t>(8,050)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(350,606)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648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364,139</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2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61,941</w:t>
            </w: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6"/>
              </w:rPr>
              <w:t>1,582,442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(912,951)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w w:val="94"/>
              </w:rPr>
              <w:t>(8,050)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(361,883)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363,111</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Currency translation adjustment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8,012</w:t>
            </w: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3"/>
        </w:trPr>
        <w:tc>
          <w:tcPr>
            <w:tcW w:w="264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8"/>
              </w:rPr>
              <w:t>Dividends attributable to Class A preferred</w:t>
            </w:r>
          </w:p>
        </w:tc>
        <w:tc>
          <w:tcPr>
            <w:tcW w:w="16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w:t>
            </w:r>
          </w:p>
        </w:tc>
        <w:tc>
          <w:tcPr>
            <w:tcW w:w="16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Common shares repurchased</w:t>
            </w:r>
          </w:p>
        </w:tc>
        <w:tc>
          <w:tcPr>
            <w:tcW w:w="16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ind w:left="220"/>
              <w:spacing w:after="0"/>
              <w:rPr>
                <w:sz w:val="20"/>
                <w:szCs w:val="20"/>
                <w:color w:val="auto"/>
              </w:rPr>
            </w:pPr>
            <w:r>
              <w:rPr>
                <w:rFonts w:ascii="Arial" w:cs="Arial" w:eastAsia="Arial" w:hAnsi="Arial"/>
                <w:sz w:val="14"/>
                <w:szCs w:val="14"/>
                <w:color w:val="auto"/>
                <w:w w:val="94"/>
              </w:rPr>
              <w:t>(1,013)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76"/>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62,428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1,583,474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(912,037)</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b w:val="1"/>
                <w:bCs w:val="1"/>
                <w:color w:val="auto"/>
                <w:w w:val="94"/>
              </w:rPr>
              <w:t>(9,063)</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(353,911)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2,080</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372,971</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vMerge w:val="restart"/>
          </w:tcPr>
          <w:p>
            <w:pPr>
              <w:jc w:val="center"/>
              <w:ind w:left="111"/>
              <w:spacing w:after="0"/>
              <w:rPr>
                <w:sz w:val="20"/>
                <w:szCs w:val="20"/>
                <w:color w:val="auto"/>
              </w:rPr>
            </w:pPr>
            <w:r>
              <w:rPr>
                <w:rFonts w:ascii="Arial" w:cs="Arial" w:eastAsia="Arial" w:hAnsi="Arial"/>
                <w:sz w:val="14"/>
                <w:szCs w:val="14"/>
                <w:b w:val="1"/>
                <w:bCs w:val="1"/>
                <w:color w:val="auto"/>
                <w:w w:val="89"/>
              </w:rPr>
              <w:t>Preferred</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3"/>
          </w:tcPr>
          <w:p>
            <w:pPr>
              <w:jc w:val="center"/>
              <w:ind w:left="170"/>
              <w:spacing w:after="0"/>
              <w:rPr>
                <w:sz w:val="20"/>
                <w:szCs w:val="20"/>
                <w:color w:val="auto"/>
              </w:rPr>
            </w:pPr>
            <w:r>
              <w:rPr>
                <w:rFonts w:ascii="Arial" w:cs="Arial" w:eastAsia="Arial" w:hAnsi="Arial"/>
                <w:sz w:val="14"/>
                <w:szCs w:val="14"/>
                <w:b w:val="1"/>
                <w:bCs w:val="1"/>
                <w:color w:val="auto"/>
                <w:w w:val="88"/>
              </w:rPr>
              <w:t>Common</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jc w:val="center"/>
              <w:ind w:left="190"/>
              <w:spacing w:after="0" w:line="131" w:lineRule="exact"/>
              <w:rPr>
                <w:sz w:val="20"/>
                <w:szCs w:val="20"/>
                <w:color w:val="auto"/>
              </w:rPr>
            </w:pPr>
            <w:r>
              <w:rPr>
                <w:rFonts w:ascii="Arial" w:cs="Arial" w:eastAsia="Arial" w:hAnsi="Arial"/>
                <w:sz w:val="14"/>
                <w:szCs w:val="14"/>
                <w:b w:val="1"/>
                <w:bCs w:val="1"/>
                <w:color w:val="auto"/>
                <w:w w:val="88"/>
              </w:rPr>
              <w:t>Shares (in</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6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center"/>
              <w:ind w:left="151"/>
              <w:spacing w:after="0"/>
              <w:rPr>
                <w:sz w:val="20"/>
                <w:szCs w:val="20"/>
                <w:color w:val="auto"/>
              </w:rPr>
            </w:pPr>
            <w:r>
              <w:rPr>
                <w:rFonts w:ascii="Arial" w:cs="Arial" w:eastAsia="Arial" w:hAnsi="Arial"/>
                <w:sz w:val="14"/>
                <w:szCs w:val="14"/>
                <w:b w:val="1"/>
                <w:bCs w:val="1"/>
                <w:color w:val="auto"/>
                <w:w w:val="85"/>
              </w:rPr>
              <w:t>Shares</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3"/>
          </w:tcPr>
          <w:p>
            <w:pPr>
              <w:jc w:val="center"/>
              <w:ind w:left="170"/>
              <w:spacing w:after="0"/>
              <w:rPr>
                <w:sz w:val="20"/>
                <w:szCs w:val="20"/>
                <w:color w:val="auto"/>
              </w:rPr>
            </w:pPr>
            <w:r>
              <w:rPr>
                <w:rFonts w:ascii="Arial" w:cs="Arial" w:eastAsia="Arial" w:hAnsi="Arial"/>
                <w:sz w:val="14"/>
                <w:szCs w:val="14"/>
                <w:b w:val="1"/>
                <w:bCs w:val="1"/>
                <w:color w:val="auto"/>
                <w:w w:val="87"/>
              </w:rPr>
              <w:t>thousands)</w:t>
            </w:r>
          </w:p>
        </w:tc>
        <w:tc>
          <w:tcPr>
            <w:tcW w:w="2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2021</w:t>
            </w:r>
          </w:p>
        </w:tc>
        <w:tc>
          <w:tcPr>
            <w:tcW w:w="16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9,042</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14,111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76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shares repurchased</w:t>
            </w:r>
          </w:p>
        </w:tc>
        <w:tc>
          <w:tcPr>
            <w:tcW w:w="160" w:type="dxa"/>
            <w:vAlign w:val="bottom"/>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64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2022</w:t>
            </w:r>
          </w:p>
        </w:tc>
        <w:tc>
          <w:tcPr>
            <w:tcW w:w="160" w:type="dxa"/>
            <w:vAlign w:val="bottom"/>
          </w:tcPr>
          <w:p>
            <w:pPr>
              <w:spacing w:after="0"/>
              <w:rPr>
                <w:sz w:val="15"/>
                <w:szCs w:val="15"/>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9,042</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14,186</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379" w:right="419" w:bottom="1440" w:gutter="0" w:footer="0" w:header="0"/>
        </w:sectPr>
      </w:pPr>
    </w:p>
    <w:bookmarkStart w:id="7" w:name="page8"/>
    <w:bookmarkEnd w:id="7"/>
    <w:p>
      <w:pPr>
        <w:jc w:val="center"/>
        <w:ind w:right="-43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UNAUDITED CONSOLIDATED STATEMENTS OF CASH FLOWS</w:t>
      </w:r>
    </w:p>
    <w:p>
      <w:pPr>
        <w:spacing w:after="0" w:line="32" w:lineRule="exact"/>
        <w:rPr>
          <w:sz w:val="20"/>
          <w:szCs w:val="20"/>
          <w:color w:val="auto"/>
        </w:rPr>
      </w:pPr>
    </w:p>
    <w:p>
      <w:pPr>
        <w:jc w:val="center"/>
        <w:ind w:right="-439"/>
        <w:spacing w:after="0"/>
        <w:rPr>
          <w:sz w:val="20"/>
          <w:szCs w:val="20"/>
          <w:color w:val="auto"/>
        </w:rPr>
      </w:pPr>
      <w:r>
        <w:rPr>
          <w:rFonts w:ascii="Arial" w:cs="Arial" w:eastAsia="Arial" w:hAnsi="Arial"/>
          <w:sz w:val="17"/>
          <w:szCs w:val="17"/>
          <w:b w:val="1"/>
          <w:bCs w:val="1"/>
          <w:color w:val="auto"/>
        </w:rPr>
        <w:t>(In Thousands)</w:t>
      </w:r>
    </w:p>
    <w:p>
      <w:pPr>
        <w:spacing w:after="0" w:line="319"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Three Months Ended</w:t>
      </w:r>
    </w:p>
    <w:p>
      <w:pPr>
        <w:jc w:val="center"/>
        <w:ind w:left="7720"/>
        <w:spacing w:after="0"/>
        <w:rPr>
          <w:sz w:val="20"/>
          <w:szCs w:val="20"/>
          <w:color w:val="auto"/>
        </w:rPr>
      </w:pPr>
      <w:r>
        <w:rPr>
          <w:rFonts w:ascii="Arial" w:cs="Arial" w:eastAsia="Arial" w:hAnsi="Arial"/>
          <w:sz w:val="14"/>
          <w:szCs w:val="14"/>
          <w:b w:val="1"/>
          <w:bCs w:val="1"/>
          <w:color w:val="auto"/>
        </w:rPr>
        <w:t>March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Borders>
              <w:bottom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r>
      <w:tr>
        <w:trPr>
          <w:trHeight w:val="177"/>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73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(9,425)</w:t>
            </w:r>
          </w:p>
        </w:tc>
      </w:tr>
      <w:tr>
        <w:trPr>
          <w:trHeight w:val="186"/>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20,127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21,269</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 expense</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1,041</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Non-cash compensation charge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1,032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1,027</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Gains on disposals of assets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(1,489)</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(1,902)</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Provision (benefit) for credit losses, net of recoveries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1,806</w:t>
            </w:r>
          </w:p>
        </w:tc>
      </w:tr>
      <w:tr>
        <w:trPr>
          <w:trHeight w:val="181"/>
        </w:trPr>
        <w:tc>
          <w:tcPr>
            <w:tcW w:w="8000" w:type="dxa"/>
            <w:vAlign w:val="bottom"/>
          </w:tcPr>
          <w:p>
            <w:pPr>
              <w:ind w:left="34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(526)</w:t>
            </w:r>
          </w:p>
        </w:tc>
      </w:tr>
      <w:tr>
        <w:trPr>
          <w:trHeight w:val="186"/>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 and accrued liabilities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(13,697)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(5,287)</w:t>
            </w:r>
          </w:p>
        </w:tc>
      </w:tr>
      <w:tr>
        <w:trPr>
          <w:trHeight w:val="181"/>
        </w:trPr>
        <w:tc>
          <w:tcPr>
            <w:tcW w:w="8000" w:type="dxa"/>
            <w:vAlign w:val="bottom"/>
          </w:tcPr>
          <w:p>
            <w:pPr>
              <w:ind w:left="340"/>
              <w:spacing w:after="0"/>
              <w:rPr>
                <w:sz w:val="20"/>
                <w:szCs w:val="20"/>
                <w:color w:val="auto"/>
              </w:rPr>
            </w:pPr>
            <w:r>
              <w:rPr>
                <w:rFonts w:ascii="Arial" w:cs="Arial" w:eastAsia="Arial" w:hAnsi="Arial"/>
                <w:sz w:val="14"/>
                <w:szCs w:val="14"/>
                <w:color w:val="auto"/>
              </w:rPr>
              <w:t>Taxes payable</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86"/>
        </w:trPr>
        <w:tc>
          <w:tcPr>
            <w:tcW w:w="80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and noncurrent assets and liabilities, net</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3,854</w:t>
            </w:r>
          </w:p>
        </w:tc>
      </w:tr>
      <w:tr>
        <w:trPr>
          <w:trHeight w:val="174"/>
        </w:trPr>
        <w:tc>
          <w:tcPr>
            <w:tcW w:w="8000" w:type="dxa"/>
            <w:vAlign w:val="bottom"/>
          </w:tcPr>
          <w:p>
            <w:pPr>
              <w:ind w:left="20"/>
              <w:spacing w:after="0"/>
              <w:rPr>
                <w:sz w:val="20"/>
                <w:szCs w:val="20"/>
                <w:color w:val="auto"/>
              </w:rPr>
            </w:pPr>
            <w:r>
              <w:rPr>
                <w:rFonts w:ascii="Arial" w:cs="Arial" w:eastAsia="Arial" w:hAnsi="Arial"/>
                <w:sz w:val="14"/>
                <w:szCs w:val="14"/>
                <w:color w:val="auto"/>
              </w:rPr>
              <w:t>Net cash flows provided by operating activities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12,817</w:t>
            </w:r>
          </w:p>
        </w:tc>
      </w:tr>
      <w:tr>
        <w:trPr>
          <w:trHeight w:val="107"/>
        </w:trPr>
        <w:tc>
          <w:tcPr>
            <w:tcW w:w="80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Capital expenditures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(3,372)</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Proceeds from disposition of property, plant and equipment</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2,364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6,651</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net</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4"/>
        </w:trPr>
        <w:tc>
          <w:tcPr>
            <w:tcW w:w="8000" w:type="dxa"/>
            <w:vAlign w:val="bottom"/>
          </w:tcPr>
          <w:p>
            <w:pPr>
              <w:ind w:left="340"/>
              <w:spacing w:after="0"/>
              <w:rPr>
                <w:sz w:val="20"/>
                <w:szCs w:val="20"/>
                <w:color w:val="auto"/>
              </w:rPr>
            </w:pPr>
            <w:r>
              <w:rPr>
                <w:rFonts w:ascii="Arial" w:cs="Arial" w:eastAsia="Arial" w:hAnsi="Arial"/>
                <w:sz w:val="14"/>
                <w:szCs w:val="14"/>
                <w:color w:val="auto"/>
              </w:rPr>
              <w:t>Net cash flows provided by (used in) investing activities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3,279</w:t>
            </w:r>
          </w:p>
        </w:tc>
      </w:tr>
      <w:tr>
        <w:trPr>
          <w:trHeight w:val="107"/>
        </w:trPr>
        <w:tc>
          <w:tcPr>
            <w:tcW w:w="80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Revolving credit borrowings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94,266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78,628</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Revolving credit repayments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1"/>
              </w:rPr>
              <w:t>(86,586)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(85,319)</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Term loan repayments</w:t>
            </w:r>
          </w:p>
        </w:tc>
        <w:tc>
          <w:tcPr>
            <w:tcW w:w="9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(8,872)</w:t>
            </w:r>
          </w:p>
        </w:tc>
      </w:tr>
      <w:tr>
        <w:trPr>
          <w:trHeight w:val="181"/>
        </w:trPr>
        <w:tc>
          <w:tcPr>
            <w:tcW w:w="8000" w:type="dxa"/>
            <w:vAlign w:val="bottom"/>
          </w:tcPr>
          <w:p>
            <w:pPr>
              <w:ind w:left="140"/>
              <w:spacing w:after="0"/>
              <w:rPr>
                <w:sz w:val="20"/>
                <w:szCs w:val="20"/>
                <w:color w:val="auto"/>
              </w:rPr>
            </w:pPr>
            <w:r>
              <w:rPr>
                <w:rFonts w:ascii="Arial" w:cs="Arial" w:eastAsia="Arial" w:hAnsi="Arial"/>
                <w:sz w:val="14"/>
                <w:szCs w:val="14"/>
                <w:color w:val="auto"/>
              </w:rPr>
              <w:t>Repurchases of common shares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Taxes paid on vested shares</w:t>
            </w:r>
          </w:p>
        </w:tc>
        <w:tc>
          <w:tcPr>
            <w:tcW w:w="9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r>
      <w:tr>
        <w:trPr>
          <w:trHeight w:val="174"/>
        </w:trPr>
        <w:tc>
          <w:tcPr>
            <w:tcW w:w="8000" w:type="dxa"/>
            <w:vAlign w:val="bottom"/>
          </w:tcPr>
          <w:p>
            <w:pPr>
              <w:ind w:left="340"/>
              <w:spacing w:after="0"/>
              <w:rPr>
                <w:sz w:val="20"/>
                <w:szCs w:val="20"/>
                <w:color w:val="auto"/>
              </w:rPr>
            </w:pPr>
            <w:r>
              <w:rPr>
                <w:rFonts w:ascii="Arial" w:cs="Arial" w:eastAsia="Arial" w:hAnsi="Arial"/>
                <w:sz w:val="14"/>
                <w:szCs w:val="14"/>
                <w:color w:val="auto"/>
              </w:rPr>
              <w:t>Net cash flows used in financing activities</w:t>
            </w:r>
          </w:p>
        </w:tc>
        <w:tc>
          <w:tcPr>
            <w:tcW w:w="9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(1,345)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(16,683)</w:t>
            </w:r>
          </w:p>
        </w:tc>
      </w:tr>
      <w:tr>
        <w:trPr>
          <w:trHeight w:val="107"/>
        </w:trPr>
        <w:tc>
          <w:tcPr>
            <w:tcW w:w="80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81"/>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179"/>
        </w:trPr>
        <w:tc>
          <w:tcPr>
            <w:tcW w:w="8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change in cash and cash equivalents</w:t>
            </w: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181"/>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9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6,282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6,155</w:t>
            </w:r>
          </w:p>
        </w:tc>
      </w:tr>
      <w:tr>
        <w:trPr>
          <w:trHeight w:val="87"/>
        </w:trPr>
        <w:tc>
          <w:tcPr>
            <w:tcW w:w="80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r>
      <w:tr>
        <w:trPr>
          <w:trHeight w:val="183"/>
        </w:trPr>
        <w:tc>
          <w:tcPr>
            <w:tcW w:w="800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900" w:type="dxa"/>
            <w:vAlign w:val="bottom"/>
            <w:tcBorders>
              <w:bottom w:val="single" w:sz="8" w:color="auto"/>
            </w:tcBorders>
          </w:tcPr>
          <w:p>
            <w:pPr>
              <w:jc w:val="right"/>
              <w:ind w:right="73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6,423</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5,455</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76"/>
        </w:trPr>
        <w:tc>
          <w:tcPr>
            <w:tcW w:w="80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81"/>
        </w:trPr>
        <w:tc>
          <w:tcPr>
            <w:tcW w:w="8000" w:type="dxa"/>
            <w:vAlign w:val="bottom"/>
          </w:tcPr>
          <w:p>
            <w:pPr>
              <w:ind w:left="20"/>
              <w:spacing w:after="0"/>
              <w:rPr>
                <w:sz w:val="20"/>
                <w:szCs w:val="20"/>
                <w:color w:val="auto"/>
              </w:rPr>
            </w:pPr>
            <w:r>
              <w:rPr>
                <w:rFonts w:ascii="Arial" w:cs="Arial" w:eastAsia="Arial" w:hAnsi="Arial"/>
                <w:sz w:val="14"/>
                <w:szCs w:val="14"/>
                <w:color w:val="auto"/>
              </w:rPr>
              <w:t>Non-cash financing activities:</w:t>
            </w:r>
          </w:p>
        </w:tc>
        <w:tc>
          <w:tcPr>
            <w:tcW w:w="9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6"/>
        </w:trPr>
        <w:tc>
          <w:tcPr>
            <w:tcW w:w="80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dividends paid-in-kind</w:t>
            </w:r>
          </w:p>
        </w:tc>
        <w:tc>
          <w:tcPr>
            <w:tcW w:w="900" w:type="dxa"/>
            <w:vAlign w:val="bottom"/>
            <w:shd w:val="clear" w:color="auto" w:fill="CCEEFF"/>
          </w:tcPr>
          <w:p>
            <w:pPr>
              <w:jc w:val="right"/>
              <w:ind w:right="73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w:t>
            </w:r>
          </w:p>
        </w:tc>
      </w:tr>
    </w:tbl>
    <w:p>
      <w:pPr>
        <w:spacing w:after="0" w:line="197" w:lineRule="exact"/>
        <w:rPr>
          <w:sz w:val="20"/>
          <w:szCs w:val="20"/>
          <w:color w:val="auto"/>
        </w:rPr>
      </w:pPr>
    </w:p>
    <w:p>
      <w:pPr>
        <w:ind w:left="312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60"/>
          </w:cols>
          <w:pgMar w:left="320" w:top="1379" w:right="619" w:bottom="1440" w:gutter="0" w:footer="0" w:header="0"/>
        </w:sectPr>
      </w:pPr>
    </w:p>
    <w:bookmarkStart w:id="8" w:name="page9"/>
    <w:bookmarkEnd w:id="8"/>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20" w:hanging="315"/>
        <w:spacing w:after="0"/>
        <w:tabs>
          <w:tab w:leader="none" w:pos="32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the Business</w:t>
      </w:r>
    </w:p>
    <w:p>
      <w:pPr>
        <w:spacing w:after="0" w:line="224"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color w:val="auto"/>
        </w:rPr>
        <w:t>We provide hospitality services to the natural resources industry in Canada, Australia and the U.S. We provide a full suite of hospitality services for our guests, including lodging, catering and food service, housekeeping and maintenance at accommodation facilities that we or our customers own. In many cases, we provide services that support the day-to-day operations of accommodation facilities, such as laundry, facility management and maintenance, water and wastewater treatment, power generation, communication systems, security and logistics. We also offer development activities for workforce accommodation facilities, including site selection, permitting, engineering and design, manufacturing management and site construction, along with providing hospitality services once the facility is constructed. We primarily operate in some of the world’s most active oil, metallurgical (met) coal, liquefied natural gas (LNG) and iron ore producing regions, and our customers include major and independent oil companies, mining companies, engineering companies and oilfield and mining service companies. We operate in three principal reportable business segments – Canada, Australia and the U.S.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2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Unless otherwise stated or the context otherwise indicates: (i) all references in these consolidated financial statements to “Civeo,” “us,” “our” or “we” refer to Civeo Corporation and its consolidated subsidiaries; and (ii) all references in this report to “dollars” or “$” are to U.S. dollars.</w:t>
      </w:r>
    </w:p>
    <w:p>
      <w:pPr>
        <w:spacing w:after="0" w:line="158" w:lineRule="exact"/>
        <w:rPr>
          <w:sz w:val="20"/>
          <w:szCs w:val="20"/>
          <w:color w:val="auto"/>
        </w:rPr>
      </w:pPr>
    </w:p>
    <w:p>
      <w:pPr>
        <w:jc w:val="both"/>
        <w:ind w:firstLine="472"/>
        <w:spacing w:after="0" w:line="283" w:lineRule="auto"/>
        <w:rPr>
          <w:sz w:val="20"/>
          <w:szCs w:val="20"/>
          <w:color w:val="auto"/>
        </w:rPr>
      </w:pPr>
      <w:r>
        <w:rPr>
          <w:rFonts w:ascii="Arial" w:cs="Arial" w:eastAsia="Arial" w:hAnsi="Arial"/>
          <w:sz w:val="16"/>
          <w:szCs w:val="16"/>
          <w:color w:val="auto"/>
        </w:rPr>
        <w:t>The accompanying unaudited consolidated financial statements of Civeo have been prepared pursuant to the rules and regulations of the Securities and Exchange Commission (the SEC) pertaining to interim financial information. Certain information in footnote disclosures normally included in financial statements prepared in accordance with Generally Accepted Accounting Principles (GAAP) has been condensed or omitted pursuant to those rules and regulations. The unaudited financial statements included in this report reflect all the adjustments, consisting of normal recurring adjustments, which Civeo considers necessary for a fair presentation of the results of operations for the interim periods covered and for the financial condition of Civeo at the date of the interim balance sheet. Results for the interim periods are not necessarily indicative of results for the full year.</w:t>
      </w:r>
    </w:p>
    <w:p>
      <w:pPr>
        <w:spacing w:after="0" w:line="165" w:lineRule="exact"/>
        <w:rPr>
          <w:sz w:val="20"/>
          <w:szCs w:val="20"/>
          <w:color w:val="auto"/>
        </w:rPr>
      </w:pPr>
    </w:p>
    <w:p>
      <w:pPr>
        <w:jc w:val="both"/>
        <w:ind w:firstLine="472"/>
        <w:spacing w:after="0" w:line="314" w:lineRule="auto"/>
        <w:rPr>
          <w:sz w:val="20"/>
          <w:szCs w:val="20"/>
          <w:color w:val="auto"/>
        </w:rPr>
      </w:pPr>
      <w:r>
        <w:rPr>
          <w:rFonts w:ascii="Arial" w:cs="Arial" w:eastAsia="Arial" w:hAnsi="Arial"/>
          <w:sz w:val="15"/>
          <w:szCs w:val="15"/>
          <w:color w:val="auto"/>
        </w:rPr>
        <w:t>The preparation of consolidated financial statements in conformity with GAAP requires the use of estimates and assumptions by management in determining the reported amounts of assets and liabilities and disclosures of contingent assets and liabilities at the date of the consolidated financial statements and the reported amounts of revenues and expenses during the reporting period. If the underlying estimates and assumptions upon which the financial statements are based change in future periods, actual amounts may differ from those included in the accompanying consolidated financial statements.</w:t>
      </w:r>
    </w:p>
    <w:p>
      <w:pPr>
        <w:spacing w:after="0" w:line="145"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The financial statements included in this report should be read in conjunction with our audited financial statements and accompanying notes included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6"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REVENUE</w:t>
      </w:r>
    </w:p>
    <w:p>
      <w:pPr>
        <w:spacing w:after="0" w:line="230" w:lineRule="exact"/>
        <w:rPr>
          <w:sz w:val="20"/>
          <w:szCs w:val="20"/>
          <w:color w:val="auto"/>
        </w:rPr>
      </w:pPr>
    </w:p>
    <w:p>
      <w:pPr>
        <w:ind w:right="340" w:firstLine="472"/>
        <w:spacing w:after="0" w:line="280" w:lineRule="auto"/>
        <w:rPr>
          <w:sz w:val="20"/>
          <w:szCs w:val="20"/>
          <w:color w:val="auto"/>
        </w:rPr>
      </w:pPr>
      <w:r>
        <w:rPr>
          <w:rFonts w:ascii="Arial" w:cs="Arial" w:eastAsia="Arial" w:hAnsi="Arial"/>
          <w:sz w:val="17"/>
          <w:szCs w:val="17"/>
          <w:color w:val="auto"/>
        </w:rPr>
        <w:t>The following table disaggregates our revenue by our three reportable segments: Canada, Australia and the U.S., and major categories for the periods indicated (in thousands):</w:t>
      </w:r>
    </w:p>
    <w:tbl>
      <w:tblPr>
        <w:tblLayout w:type="fixed"/>
        <w:tblInd w:w="1680"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60" w:type="dxa"/>
            <w:vAlign w:val="bottom"/>
            <w:gridSpan w:val="4"/>
          </w:tcPr>
          <w:p>
            <w:pPr>
              <w:jc w:val="right"/>
              <w:spacing w:after="0" w:line="159" w:lineRule="exact"/>
              <w:rPr>
                <w:sz w:val="20"/>
                <w:szCs w:val="20"/>
                <w:color w:val="auto"/>
              </w:rPr>
            </w:pPr>
            <w:r>
              <w:rPr>
                <w:rFonts w:ascii="Arial" w:cs="Arial" w:eastAsia="Arial" w:hAnsi="Arial"/>
                <w:sz w:val="16"/>
                <w:szCs w:val="16"/>
                <w:b w:val="1"/>
                <w:bCs w:val="1"/>
                <w:color w:val="auto"/>
              </w:rPr>
              <w:t>Three Months Ended</w:t>
            </w:r>
          </w:p>
        </w:tc>
        <w:tc>
          <w:tcPr>
            <w:tcW w:w="860" w:type="dxa"/>
            <w:vAlign w:val="bottom"/>
          </w:tcPr>
          <w:p>
            <w:pPr>
              <w:spacing w:after="0"/>
              <w:rPr>
                <w:sz w:val="13"/>
                <w:szCs w:val="13"/>
                <w:color w:val="auto"/>
              </w:rPr>
            </w:pPr>
          </w:p>
        </w:tc>
      </w:tr>
      <w:tr>
        <w:trPr>
          <w:trHeight w:val="207"/>
        </w:trPr>
        <w:tc>
          <w:tcPr>
            <w:tcW w:w="47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203"/>
        </w:trPr>
        <w:tc>
          <w:tcPr>
            <w:tcW w:w="47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w w:val="89"/>
              </w:rPr>
              <w:t>2021</w:t>
            </w:r>
          </w:p>
        </w:tc>
      </w:tr>
      <w:tr>
        <w:trPr>
          <w:trHeight w:val="205"/>
        </w:trPr>
        <w:tc>
          <w:tcPr>
            <w:tcW w:w="470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Canada</w:t>
            </w:r>
          </w:p>
        </w:tc>
        <w:tc>
          <w:tcPr>
            <w:tcW w:w="7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6"/>
        </w:trPr>
        <w:tc>
          <w:tcPr>
            <w:tcW w:w="4700" w:type="dxa"/>
            <w:vAlign w:val="bottom"/>
          </w:tcPr>
          <w:p>
            <w:pPr>
              <w:ind w:left="480"/>
              <w:spacing w:after="0"/>
              <w:rPr>
                <w:sz w:val="20"/>
                <w:szCs w:val="20"/>
                <w:color w:val="auto"/>
              </w:rPr>
            </w:pPr>
            <w:r>
              <w:rPr>
                <w:rFonts w:ascii="Arial" w:cs="Arial" w:eastAsia="Arial" w:hAnsi="Arial"/>
                <w:sz w:val="16"/>
                <w:szCs w:val="16"/>
                <w:color w:val="auto"/>
              </w:rPr>
              <w:t>Accommodation revenues</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67,194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46,530</w:t>
            </w:r>
          </w:p>
        </w:tc>
      </w:tr>
      <w:tr>
        <w:trPr>
          <w:trHeight w:val="213"/>
        </w:trPr>
        <w:tc>
          <w:tcPr>
            <w:tcW w:w="4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Mobile facility rental revenues</w:t>
            </w: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10,499</w:t>
            </w:r>
          </w:p>
        </w:tc>
      </w:tr>
      <w:tr>
        <w:trPr>
          <w:trHeight w:val="206"/>
        </w:trPr>
        <w:tc>
          <w:tcPr>
            <w:tcW w:w="47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Food service and other services revenues</w:t>
            </w: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4,856</w:t>
            </w:r>
          </w:p>
        </w:tc>
      </w:tr>
      <w:tr>
        <w:trPr>
          <w:trHeight w:val="206"/>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Canada revenues</w:t>
            </w:r>
          </w:p>
        </w:tc>
        <w:tc>
          <w:tcPr>
            <w:tcW w:w="7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95,952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61,885</w:t>
            </w:r>
          </w:p>
        </w:tc>
      </w:tr>
      <w:tr>
        <w:trPr>
          <w:trHeight w:val="105"/>
        </w:trPr>
        <w:tc>
          <w:tcPr>
            <w:tcW w:w="4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10"/>
        </w:trPr>
        <w:tc>
          <w:tcPr>
            <w:tcW w:w="470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Australia</w:t>
            </w: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6"/>
        </w:trPr>
        <w:tc>
          <w:tcPr>
            <w:tcW w:w="4700" w:type="dxa"/>
            <w:vAlign w:val="bottom"/>
          </w:tcPr>
          <w:p>
            <w:pPr>
              <w:ind w:left="480"/>
              <w:spacing w:after="0"/>
              <w:rPr>
                <w:sz w:val="20"/>
                <w:szCs w:val="20"/>
                <w:color w:val="auto"/>
              </w:rPr>
            </w:pPr>
            <w:r>
              <w:rPr>
                <w:rFonts w:ascii="Arial" w:cs="Arial" w:eastAsia="Arial" w:hAnsi="Arial"/>
                <w:sz w:val="16"/>
                <w:szCs w:val="16"/>
                <w:color w:val="auto"/>
              </w:rPr>
              <w:t>Accommodation revenues</w:t>
            </w:r>
          </w:p>
        </w:tc>
        <w:tc>
          <w:tcPr>
            <w:tcW w:w="76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37,599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33,675</w:t>
            </w:r>
          </w:p>
        </w:tc>
      </w:tr>
      <w:tr>
        <w:trPr>
          <w:trHeight w:val="213"/>
        </w:trPr>
        <w:tc>
          <w:tcPr>
            <w:tcW w:w="4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Food service and other services revenues</w:t>
            </w:r>
          </w:p>
        </w:tc>
        <w:tc>
          <w:tcPr>
            <w:tcW w:w="7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25,930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25,962</w:t>
            </w:r>
          </w:p>
        </w:tc>
      </w:tr>
      <w:tr>
        <w:trPr>
          <w:trHeight w:val="199"/>
        </w:trPr>
        <w:tc>
          <w:tcPr>
            <w:tcW w:w="4700" w:type="dxa"/>
            <w:vAlign w:val="bottom"/>
          </w:tcPr>
          <w:p>
            <w:pPr>
              <w:ind w:left="600"/>
              <w:spacing w:after="0"/>
              <w:rPr>
                <w:sz w:val="20"/>
                <w:szCs w:val="20"/>
                <w:color w:val="auto"/>
              </w:rPr>
            </w:pPr>
            <w:r>
              <w:rPr>
                <w:rFonts w:ascii="Arial" w:cs="Arial" w:eastAsia="Arial" w:hAnsi="Arial"/>
                <w:sz w:val="16"/>
                <w:szCs w:val="16"/>
                <w:color w:val="auto"/>
              </w:rPr>
              <w:t>Total Australia revenues</w:t>
            </w:r>
          </w:p>
        </w:tc>
        <w:tc>
          <w:tcPr>
            <w:tcW w:w="7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63,529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59,637</w:t>
            </w:r>
          </w:p>
        </w:tc>
      </w:tr>
      <w:tr>
        <w:trPr>
          <w:trHeight w:val="108"/>
        </w:trPr>
        <w:tc>
          <w:tcPr>
            <w:tcW w:w="47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r>
      <w:tr>
        <w:trPr>
          <w:trHeight w:val="207"/>
        </w:trPr>
        <w:tc>
          <w:tcPr>
            <w:tcW w:w="4700" w:type="dxa"/>
            <w:vAlign w:val="bottom"/>
          </w:tcPr>
          <w:p>
            <w:pPr>
              <w:ind w:left="480"/>
              <w:spacing w:after="0"/>
              <w:rPr>
                <w:sz w:val="20"/>
                <w:szCs w:val="20"/>
                <w:color w:val="auto"/>
              </w:rPr>
            </w:pPr>
            <w:r>
              <w:rPr>
                <w:rFonts w:ascii="Arial" w:cs="Arial" w:eastAsia="Arial" w:hAnsi="Arial"/>
                <w:sz w:val="16"/>
                <w:szCs w:val="16"/>
                <w:b w:val="1"/>
                <w:bCs w:val="1"/>
                <w:color w:val="auto"/>
              </w:rPr>
              <w:t>U.S.</w:t>
            </w:r>
          </w:p>
        </w:tc>
        <w:tc>
          <w:tcPr>
            <w:tcW w:w="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2"/>
        </w:trPr>
        <w:tc>
          <w:tcPr>
            <w:tcW w:w="4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Accommodation revenues</w:t>
            </w:r>
          </w:p>
        </w:tc>
        <w:tc>
          <w:tcPr>
            <w:tcW w:w="7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772</w:t>
            </w:r>
          </w:p>
        </w:tc>
      </w:tr>
      <w:tr>
        <w:trPr>
          <w:trHeight w:val="206"/>
        </w:trPr>
        <w:tc>
          <w:tcPr>
            <w:tcW w:w="4700" w:type="dxa"/>
            <w:vAlign w:val="bottom"/>
          </w:tcPr>
          <w:p>
            <w:pPr>
              <w:ind w:left="480"/>
              <w:spacing w:after="0"/>
              <w:rPr>
                <w:sz w:val="20"/>
                <w:szCs w:val="20"/>
                <w:color w:val="auto"/>
              </w:rPr>
            </w:pPr>
            <w:r>
              <w:rPr>
                <w:rFonts w:ascii="Arial" w:cs="Arial" w:eastAsia="Arial" w:hAnsi="Arial"/>
                <w:sz w:val="16"/>
                <w:szCs w:val="16"/>
                <w:color w:val="auto"/>
              </w:rPr>
              <w:t>Mobile facility rental revenues</w:t>
            </w:r>
          </w:p>
        </w:tc>
        <w:tc>
          <w:tcPr>
            <w:tcW w:w="7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5,266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3,067</w:t>
            </w:r>
          </w:p>
        </w:tc>
      </w:tr>
      <w:tr>
        <w:trPr>
          <w:trHeight w:val="213"/>
        </w:trPr>
        <w:tc>
          <w:tcPr>
            <w:tcW w:w="4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Manufacturing revenues</w:t>
            </w:r>
          </w:p>
        </w:tc>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r>
      <w:tr>
        <w:trPr>
          <w:trHeight w:val="206"/>
        </w:trPr>
        <w:tc>
          <w:tcPr>
            <w:tcW w:w="470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Food service and other services revenues</w:t>
            </w:r>
          </w:p>
        </w:tc>
        <w:tc>
          <w:tcPr>
            <w:tcW w:w="7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w:t>
            </w:r>
          </w:p>
        </w:tc>
      </w:tr>
      <w:tr>
        <w:trPr>
          <w:trHeight w:val="206"/>
        </w:trPr>
        <w:tc>
          <w:tcPr>
            <w:tcW w:w="470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 U.S. revenues</w:t>
            </w:r>
          </w:p>
        </w:tc>
        <w:tc>
          <w:tcPr>
            <w:tcW w:w="7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3,908</w:t>
            </w:r>
          </w:p>
        </w:tc>
      </w:tr>
      <w:tr>
        <w:trPr>
          <w:trHeight w:val="105"/>
        </w:trPr>
        <w:tc>
          <w:tcPr>
            <w:tcW w:w="4700" w:type="dxa"/>
            <w:vAlign w:val="bottom"/>
            <w:tcBorders>
              <w:bottom w:val="single" w:sz="8" w:color="CCEEFF"/>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r>
      <w:tr>
        <w:trPr>
          <w:trHeight w:val="228"/>
        </w:trPr>
        <w:tc>
          <w:tcPr>
            <w:tcW w:w="4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revenues</w:t>
            </w:r>
          </w:p>
        </w:tc>
        <w:tc>
          <w:tcPr>
            <w:tcW w:w="76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165,678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125,430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Our payment terms vary by the type and location of our customer and the products or services offered. The term between invoicing and when our performance obligations are satisfied is not significant. Payment terms are generally within 30 days and in most cases do not extend beyond 60 days. We do not have significant financing components or significant payment terms.</w:t>
      </w:r>
    </w:p>
    <w:p>
      <w:pPr>
        <w:spacing w:after="0" w:line="197" w:lineRule="exact"/>
        <w:rPr>
          <w:sz w:val="20"/>
          <w:szCs w:val="20"/>
          <w:color w:val="auto"/>
        </w:rPr>
      </w:pPr>
    </w:p>
    <w:p>
      <w:pPr>
        <w:jc w:val="both"/>
        <w:ind w:firstLine="472"/>
        <w:spacing w:after="0" w:line="272" w:lineRule="auto"/>
        <w:rPr>
          <w:sz w:val="20"/>
          <w:szCs w:val="20"/>
          <w:color w:val="auto"/>
        </w:rPr>
      </w:pPr>
      <w:r>
        <w:rPr>
          <w:rFonts w:ascii="Arial" w:cs="Arial" w:eastAsia="Arial" w:hAnsi="Arial"/>
          <w:sz w:val="17"/>
          <w:szCs w:val="17"/>
          <w:color w:val="auto"/>
        </w:rPr>
        <w:t>As of March 31, 2022, for contracts that are greater than one year, the table below discloses the estimated revenues related to performance obligations that are unsatisfied (or partially unsatisfied) and when we expect to recognize the revenue. The table only includes revenue expected to be recognized from contracts where the quantity of service is certain (in thousands):</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center"/>
              <w:ind w:right="41"/>
              <w:spacing w:after="0"/>
              <w:rPr>
                <w:sz w:val="20"/>
                <w:szCs w:val="20"/>
                <w:color w:val="auto"/>
              </w:rPr>
            </w:pPr>
            <w:r>
              <w:rPr>
                <w:rFonts w:ascii="Arial" w:cs="Arial" w:eastAsia="Arial" w:hAnsi="Arial"/>
                <w:sz w:val="16"/>
                <w:szCs w:val="16"/>
                <w:b w:val="1"/>
                <w:bCs w:val="1"/>
                <w:color w:val="auto"/>
                <w:w w:val="87"/>
              </w:rPr>
              <w:t>For the years ending December 31,</w:t>
            </w: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jc w:val="right"/>
              <w:ind w:right="301"/>
              <w:spacing w:after="0"/>
              <w:rPr>
                <w:sz w:val="20"/>
                <w:szCs w:val="20"/>
                <w:color w:val="auto"/>
              </w:rPr>
            </w:pPr>
            <w:r>
              <w:rPr>
                <w:rFonts w:ascii="Arial" w:cs="Arial" w:eastAsia="Arial" w:hAnsi="Arial"/>
                <w:sz w:val="16"/>
                <w:szCs w:val="16"/>
                <w:b w:val="1"/>
                <w:bCs w:val="1"/>
                <w:color w:val="auto"/>
              </w:rPr>
              <w:t>2023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jc w:val="right"/>
              <w:ind w:right="341"/>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Thereafter</w:t>
            </w:r>
          </w:p>
        </w:tc>
        <w:tc>
          <w:tcPr>
            <w:tcW w:w="740" w:type="dxa"/>
            <w:vAlign w:val="bottom"/>
          </w:tcPr>
          <w:p>
            <w:pPr>
              <w:spacing w:after="0"/>
              <w:rPr>
                <w:sz w:val="17"/>
                <w:szCs w:val="17"/>
                <w:color w:val="auto"/>
              </w:rPr>
            </w:pPr>
          </w:p>
        </w:tc>
        <w:tc>
          <w:tcPr>
            <w:tcW w:w="960" w:type="dxa"/>
            <w:vAlign w:val="bottom"/>
          </w:tcPr>
          <w:p>
            <w:pPr>
              <w:jc w:val="right"/>
              <w:ind w:right="36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43"/>
        </w:trPr>
        <w:tc>
          <w:tcPr>
            <w:tcW w:w="1900" w:type="dxa"/>
            <w:vAlign w:val="bottom"/>
            <w:tcBorders>
              <w:top w:val="single" w:sz="8" w:color="CCEEFF"/>
            </w:tcBorders>
            <w:shd w:val="clear" w:color="auto" w:fill="CCEEFF"/>
          </w:tcPr>
          <w:p>
            <w:pPr>
              <w:ind w:left="500"/>
              <w:spacing w:after="0" w:line="143" w:lineRule="exact"/>
              <w:rPr>
                <w:sz w:val="20"/>
                <w:szCs w:val="20"/>
                <w:color w:val="auto"/>
              </w:rPr>
            </w:pPr>
            <w:r>
              <w:rPr>
                <w:rFonts w:ascii="Arial" w:cs="Arial" w:eastAsia="Arial" w:hAnsi="Arial"/>
                <w:sz w:val="16"/>
                <w:szCs w:val="16"/>
                <w:color w:val="auto"/>
                <w:w w:val="91"/>
              </w:rPr>
              <w:t>Revenue expected to</w:t>
            </w:r>
          </w:p>
        </w:tc>
        <w:tc>
          <w:tcPr>
            <w:tcW w:w="7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0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color w:val="auto"/>
                <w:w w:val="98"/>
              </w:rPr>
              <w:t>be recognized as of March</w:t>
            </w:r>
          </w:p>
        </w:tc>
        <w:tc>
          <w:tcPr>
            <w:tcW w:w="7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116,850</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44,930</w:t>
            </w:r>
          </w:p>
        </w:tc>
        <w:tc>
          <w:tcPr>
            <w:tcW w:w="86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13,240</w:t>
            </w:r>
          </w:p>
        </w:tc>
        <w:tc>
          <w:tcPr>
            <w:tcW w:w="10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10,943</w:t>
            </w:r>
          </w:p>
        </w:tc>
        <w:tc>
          <w:tcPr>
            <w:tcW w:w="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185,963</w:t>
            </w:r>
          </w:p>
        </w:tc>
        <w:tc>
          <w:tcPr>
            <w:tcW w:w="0" w:type="dxa"/>
            <w:vAlign w:val="bottom"/>
          </w:tcPr>
          <w:p>
            <w:pPr>
              <w:spacing w:after="0"/>
              <w:rPr>
                <w:sz w:val="1"/>
                <w:szCs w:val="1"/>
                <w:color w:val="auto"/>
              </w:rPr>
            </w:pPr>
          </w:p>
        </w:tc>
      </w:tr>
      <w:tr>
        <w:trPr>
          <w:trHeight w:val="206"/>
        </w:trPr>
        <w:tc>
          <w:tcPr>
            <w:tcW w:w="1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31, 2022</w:t>
            </w:r>
          </w:p>
        </w:tc>
        <w:tc>
          <w:tcPr>
            <w:tcW w:w="7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860" w:type="dxa"/>
            <w:vAlign w:val="bottom"/>
            <w:gridSpan w:val="3"/>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We applied the practical expedient and do not disclose consideration for remaining performance obligations with an original expected duration of one year or less. In addition, we do not estimate revenues expected to be recognized related to unsatisfied performance obligations for contracts without minimum room commitments. The table above represents only a portion of our expected future consolidated revenues and it is not necessarily indicative of the expected trend in total revenues.</w:t>
      </w:r>
    </w:p>
    <w:p>
      <w:pPr>
        <w:spacing w:after="0" w:line="198" w:lineRule="exact"/>
        <w:rPr>
          <w:sz w:val="20"/>
          <w:szCs w:val="20"/>
          <w:color w:val="auto"/>
        </w:rPr>
      </w:pPr>
    </w:p>
    <w:p>
      <w:pPr>
        <w:ind w:left="320" w:hanging="315"/>
        <w:spacing w:after="0"/>
        <w:tabs>
          <w:tab w:leader="none" w:pos="3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financial instruments consist of cash and cash equivalents, receivables, payables and debt instruments. We believe that the carrying values of these instruments on the accompanying consolidated balance sheets approximate their fair values.</w:t>
      </w:r>
    </w:p>
    <w:p>
      <w:pPr>
        <w:spacing w:after="0" w:line="158"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As of March 31, 2022 and December 31, 2021, we believe the carrying value of our floating-rate debt outstanding under our term loans and revolving credit facilities approximates fair value because the terms include short-term interest rates and exclude penalties for prepayment. We estimated the fair value of our floating-rate term loan and revolving credit facilities using significant other observable inputs, representative of a Level 2 fair value measurement, including terms and credit spreads for these loans. In addition, the estimated fair value of our assets held for sale is based upon Level 2 fair value measurements, which include appraisals and previous negotiations with third parties.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61595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ind w:right="-17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41" w:lineRule="exact"/>
        <w:rPr>
          <w:sz w:val="20"/>
          <w:szCs w:val="20"/>
          <w:color w:val="auto"/>
        </w:rPr>
      </w:pPr>
    </w:p>
    <w:p>
      <w:pPr>
        <w:ind w:left="320" w:hanging="315"/>
        <w:spacing w:after="0"/>
        <w:tabs>
          <w:tab w:leader="none" w:pos="3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DETAILS OF SELECTED BALANCE SHEET ACCOUNTS</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Additional information regarding selected balance sheet accounts at March 31, 2022 and December 31, 2021 is presented below (in thousands):</w:t>
      </w:r>
    </w:p>
    <w:p>
      <w:pPr>
        <w:spacing w:after="0" w:line="365"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7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44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2"/>
              </w:rPr>
              <w:t>December 31, 2021</w:t>
            </w:r>
          </w:p>
        </w:tc>
      </w:tr>
      <w:tr>
        <w:trPr>
          <w:trHeight w:val="20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Accounts receivable, net:</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r>
      <w:tr>
        <w:trPr>
          <w:trHeight w:val="206"/>
        </w:trPr>
        <w:tc>
          <w:tcPr>
            <w:tcW w:w="7240" w:type="dxa"/>
            <w:vAlign w:val="bottom"/>
          </w:tcPr>
          <w:p>
            <w:pPr>
              <w:ind w:left="20"/>
              <w:spacing w:after="0"/>
              <w:rPr>
                <w:sz w:val="20"/>
                <w:szCs w:val="20"/>
                <w:color w:val="auto"/>
              </w:rPr>
            </w:pPr>
            <w:r>
              <w:rPr>
                <w:rFonts w:ascii="Arial" w:cs="Arial" w:eastAsia="Arial" w:hAnsi="Arial"/>
                <w:sz w:val="16"/>
                <w:szCs w:val="16"/>
                <w:color w:val="auto"/>
              </w:rPr>
              <w:t>Trade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76,766</w:t>
            </w:r>
          </w:p>
        </w:tc>
        <w:tc>
          <w:tcPr>
            <w:tcW w:w="100" w:type="dxa"/>
            <w:vAlign w:val="bottom"/>
          </w:tcPr>
          <w:p>
            <w:pPr>
              <w:spacing w:after="0"/>
              <w:rPr>
                <w:sz w:val="17"/>
                <w:szCs w:val="17"/>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75,740</w:t>
            </w:r>
          </w:p>
        </w:tc>
      </w:tr>
      <w:tr>
        <w:trPr>
          <w:trHeight w:val="21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Unbilled revenue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46,685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38,508</w:t>
            </w:r>
          </w:p>
        </w:tc>
      </w:tr>
      <w:tr>
        <w:trPr>
          <w:trHeight w:val="20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r>
      <w:tr>
        <w:trPr>
          <w:trHeight w:val="206"/>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accounts receivable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124,831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115,220</w:t>
            </w:r>
          </w:p>
        </w:tc>
      </w:tr>
      <w:tr>
        <w:trPr>
          <w:trHeight w:val="20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Allowance for credit losses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r>
      <w:tr>
        <w:trPr>
          <w:trHeight w:val="231"/>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124,484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114,859</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40" w:lineRule="exact"/>
        <w:rPr>
          <w:sz w:val="20"/>
          <w:szCs w:val="20"/>
          <w:color w:val="auto"/>
        </w:rPr>
      </w:pPr>
    </w:p>
    <w:tbl>
      <w:tblPr>
        <w:tblLayout w:type="fixed"/>
        <w:tblInd w:w="620" w:type="dxa"/>
        <w:tblCellMar>
          <w:top w:w="0" w:type="dxa"/>
          <w:left w:w="0" w:type="dxa"/>
          <w:bottom w:w="0" w:type="dxa"/>
          <w:right w:w="0" w:type="dxa"/>
        </w:tblCellMar>
      </w:tblPr>
      <w:tr>
        <w:trPr>
          <w:trHeight w:val="207"/>
        </w:trPr>
        <w:tc>
          <w:tcPr>
            <w:tcW w:w="6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31, 2022</w:t>
            </w:r>
          </w:p>
        </w:tc>
        <w:tc>
          <w:tcPr>
            <w:tcW w:w="15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December 31, 2021</w:t>
            </w:r>
          </w:p>
        </w:tc>
      </w:tr>
      <w:tr>
        <w:trPr>
          <w:trHeight w:val="206"/>
        </w:trPr>
        <w:tc>
          <w:tcPr>
            <w:tcW w:w="6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Inventories:</w:t>
            </w:r>
          </w:p>
        </w:tc>
        <w:tc>
          <w:tcPr>
            <w:tcW w:w="3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6"/>
        </w:trPr>
        <w:tc>
          <w:tcPr>
            <w:tcW w:w="6960" w:type="dxa"/>
            <w:vAlign w:val="bottom"/>
          </w:tcPr>
          <w:p>
            <w:pPr>
              <w:ind w:left="180"/>
              <w:spacing w:after="0"/>
              <w:rPr>
                <w:sz w:val="20"/>
                <w:szCs w:val="20"/>
                <w:color w:val="auto"/>
              </w:rPr>
            </w:pPr>
            <w:r>
              <w:rPr>
                <w:rFonts w:ascii="Arial" w:cs="Arial" w:eastAsia="Arial" w:hAnsi="Arial"/>
                <w:sz w:val="16"/>
                <w:szCs w:val="16"/>
                <w:color w:val="auto"/>
              </w:rPr>
              <w:t>Finished goods and purchased products</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5,894</w:t>
            </w:r>
          </w:p>
        </w:tc>
        <w:tc>
          <w:tcPr>
            <w:tcW w:w="100" w:type="dxa"/>
            <w:vAlign w:val="bottom"/>
          </w:tcPr>
          <w:p>
            <w:pPr>
              <w:spacing w:after="0"/>
              <w:rPr>
                <w:sz w:val="17"/>
                <w:szCs w:val="17"/>
                <w:color w:val="auto"/>
              </w:rPr>
            </w:pPr>
          </w:p>
        </w:tc>
        <w:tc>
          <w:tcPr>
            <w:tcW w:w="700" w:type="dxa"/>
            <w:vAlign w:val="bottom"/>
          </w:tcPr>
          <w:p>
            <w:pPr>
              <w:jc w:val="right"/>
              <w:ind w:right="36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5,346</w:t>
            </w:r>
          </w:p>
        </w:tc>
      </w:tr>
      <w:tr>
        <w:trPr>
          <w:trHeight w:val="213"/>
        </w:trPr>
        <w:tc>
          <w:tcPr>
            <w:tcW w:w="6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Work in process</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06"/>
        </w:trPr>
        <w:tc>
          <w:tcPr>
            <w:tcW w:w="69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Raw materials</w:t>
            </w: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1,208</w:t>
            </w:r>
          </w:p>
        </w:tc>
        <w:tc>
          <w:tcPr>
            <w:tcW w:w="1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w:t>
            </w:r>
          </w:p>
        </w:tc>
      </w:tr>
      <w:tr>
        <w:trPr>
          <w:trHeight w:val="231"/>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inventories</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7,271</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6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6,468</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27"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tcPr>
          <w:p>
            <w:pPr>
              <w:ind w:left="8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5860" w:type="dxa"/>
            <w:vAlign w:val="bottom"/>
          </w:tcPr>
          <w:p>
            <w:pPr>
              <w:spacing w:after="0"/>
              <w:rPr>
                <w:sz w:val="13"/>
                <w:szCs w:val="13"/>
                <w:color w:val="auto"/>
              </w:rPr>
            </w:pPr>
          </w:p>
        </w:tc>
        <w:tc>
          <w:tcPr>
            <w:tcW w:w="102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w w:val="90"/>
              </w:rPr>
              <w:t>Useful Life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March 31, 2022</w:t>
            </w:r>
          </w:p>
        </w:tc>
        <w:tc>
          <w:tcPr>
            <w:tcW w:w="1560" w:type="dxa"/>
            <w:vAlign w:val="bottom"/>
            <w:gridSpan w:val="2"/>
            <w:vMerge w:val="restart"/>
          </w:tcPr>
          <w:p>
            <w:pPr>
              <w:jc w:val="right"/>
              <w:ind w:right="1"/>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07"/>
        </w:trPr>
        <w:tc>
          <w:tcPr>
            <w:tcW w:w="5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6"/>
                <w:szCs w:val="16"/>
                <w:b w:val="1"/>
                <w:bCs w:val="1"/>
                <w:color w:val="auto"/>
                <w:w w:val="87"/>
              </w:rPr>
              <w:t>(in years)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8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b w:val="1"/>
                <w:bCs w:val="1"/>
                <w:color w:val="auto"/>
              </w:rPr>
              <w:t>Property, plant and equipment, net:</w:t>
            </w:r>
          </w:p>
        </w:tc>
        <w:tc>
          <w:tcPr>
            <w:tcW w:w="3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860" w:type="dxa"/>
            <w:vAlign w:val="bottom"/>
          </w:tcPr>
          <w:p>
            <w:pPr>
              <w:ind w:left="160"/>
              <w:spacing w:after="0"/>
              <w:rPr>
                <w:sz w:val="20"/>
                <w:szCs w:val="20"/>
                <w:color w:val="auto"/>
              </w:rPr>
            </w:pPr>
            <w:r>
              <w:rPr>
                <w:rFonts w:ascii="Arial" w:cs="Arial" w:eastAsia="Arial" w:hAnsi="Arial"/>
                <w:sz w:val="16"/>
                <w:szCs w:val="16"/>
                <w:color w:val="auto"/>
              </w:rPr>
              <w:t>Land</w:t>
            </w: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31,295</w:t>
            </w:r>
          </w:p>
        </w:tc>
        <w:tc>
          <w:tcPr>
            <w:tcW w:w="100" w:type="dxa"/>
            <w:vAlign w:val="bottom"/>
          </w:tcPr>
          <w:p>
            <w:pPr>
              <w:spacing w:after="0"/>
              <w:rPr>
                <w:sz w:val="17"/>
                <w:szCs w:val="17"/>
                <w:color w:val="auto"/>
              </w:rPr>
            </w:pPr>
          </w:p>
        </w:tc>
        <w:tc>
          <w:tcPr>
            <w:tcW w:w="52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30,556</w:t>
            </w:r>
          </w:p>
        </w:tc>
        <w:tc>
          <w:tcPr>
            <w:tcW w:w="0" w:type="dxa"/>
            <w:vAlign w:val="bottom"/>
          </w:tcPr>
          <w:p>
            <w:pPr>
              <w:spacing w:after="0"/>
              <w:rPr>
                <w:sz w:val="1"/>
                <w:szCs w:val="1"/>
                <w:color w:val="auto"/>
              </w:rPr>
            </w:pPr>
          </w:p>
        </w:tc>
      </w:tr>
      <w:tr>
        <w:trPr>
          <w:trHeight w:val="213"/>
        </w:trPr>
        <w:tc>
          <w:tcPr>
            <w:tcW w:w="5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Accommodations assets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1,681,299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1,657,577</w:t>
            </w:r>
          </w:p>
        </w:tc>
        <w:tc>
          <w:tcPr>
            <w:tcW w:w="0" w:type="dxa"/>
            <w:vAlign w:val="bottom"/>
          </w:tcPr>
          <w:p>
            <w:pPr>
              <w:spacing w:after="0"/>
              <w:rPr>
                <w:sz w:val="1"/>
                <w:szCs w:val="1"/>
                <w:color w:val="auto"/>
              </w:rPr>
            </w:pPr>
          </w:p>
        </w:tc>
      </w:tr>
      <w:tr>
        <w:trPr>
          <w:trHeight w:val="206"/>
        </w:trPr>
        <w:tc>
          <w:tcPr>
            <w:tcW w:w="5860" w:type="dxa"/>
            <w:vAlign w:val="bottom"/>
          </w:tcPr>
          <w:p>
            <w:pPr>
              <w:ind w:left="160"/>
              <w:spacing w:after="0"/>
              <w:rPr>
                <w:sz w:val="20"/>
                <w:szCs w:val="20"/>
                <w:color w:val="auto"/>
              </w:rPr>
            </w:pPr>
            <w:r>
              <w:rPr>
                <w:rFonts w:ascii="Arial" w:cs="Arial" w:eastAsia="Arial" w:hAnsi="Arial"/>
                <w:sz w:val="16"/>
                <w:szCs w:val="16"/>
                <w:color w:val="auto"/>
              </w:rPr>
              <w:t>Buildings and leasehold improvements</w:t>
            </w: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Pr>
          <w:p>
            <w:pPr>
              <w:ind w:left="4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24,704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24,335</w:t>
            </w:r>
          </w:p>
        </w:tc>
        <w:tc>
          <w:tcPr>
            <w:tcW w:w="0" w:type="dxa"/>
            <w:vAlign w:val="bottom"/>
          </w:tcPr>
          <w:p>
            <w:pPr>
              <w:spacing w:after="0"/>
              <w:rPr>
                <w:sz w:val="1"/>
                <w:szCs w:val="1"/>
                <w:color w:val="auto"/>
              </w:rPr>
            </w:pPr>
          </w:p>
        </w:tc>
      </w:tr>
      <w:tr>
        <w:trPr>
          <w:trHeight w:val="213"/>
        </w:trPr>
        <w:tc>
          <w:tcPr>
            <w:tcW w:w="5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Machinery and equipment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15,338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14,983</w:t>
            </w:r>
          </w:p>
        </w:tc>
        <w:tc>
          <w:tcPr>
            <w:tcW w:w="0" w:type="dxa"/>
            <w:vAlign w:val="bottom"/>
          </w:tcPr>
          <w:p>
            <w:pPr>
              <w:spacing w:after="0"/>
              <w:rPr>
                <w:sz w:val="1"/>
                <w:szCs w:val="1"/>
                <w:color w:val="auto"/>
              </w:rPr>
            </w:pPr>
          </w:p>
        </w:tc>
      </w:tr>
      <w:tr>
        <w:trPr>
          <w:trHeight w:val="206"/>
        </w:trPr>
        <w:tc>
          <w:tcPr>
            <w:tcW w:w="5860" w:type="dxa"/>
            <w:vAlign w:val="bottom"/>
          </w:tcPr>
          <w:p>
            <w:pPr>
              <w:ind w:left="16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jc w:val="right"/>
              <w:spacing w:after="0"/>
              <w:rPr>
                <w:sz w:val="20"/>
                <w:szCs w:val="20"/>
                <w:color w:val="auto"/>
              </w:rPr>
            </w:pPr>
            <w:r>
              <w:rPr>
                <w:rFonts w:ascii="Arial" w:cs="Arial" w:eastAsia="Arial" w:hAnsi="Arial"/>
                <w:sz w:val="16"/>
                <w:szCs w:val="16"/>
                <w:color w:val="auto"/>
              </w:rPr>
              <w:t>3</w:t>
            </w:r>
          </w:p>
        </w:tc>
        <w:tc>
          <w:tcPr>
            <w:tcW w:w="7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tcPr>
          <w:p>
            <w:pPr>
              <w:ind w:left="40"/>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1"/>
              <w:spacing w:after="0"/>
              <w:rPr>
                <w:sz w:val="20"/>
                <w:szCs w:val="20"/>
                <w:color w:val="auto"/>
              </w:rPr>
            </w:pPr>
            <w:r>
              <w:rPr>
                <w:rFonts w:ascii="Arial" w:cs="Arial" w:eastAsia="Arial" w:hAnsi="Arial"/>
                <w:sz w:val="16"/>
                <w:szCs w:val="16"/>
                <w:color w:val="auto"/>
              </w:rPr>
              <w:t>64,414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63,228</w:t>
            </w:r>
          </w:p>
        </w:tc>
        <w:tc>
          <w:tcPr>
            <w:tcW w:w="0" w:type="dxa"/>
            <w:vAlign w:val="bottom"/>
          </w:tcPr>
          <w:p>
            <w:pPr>
              <w:spacing w:after="0"/>
              <w:rPr>
                <w:sz w:val="1"/>
                <w:szCs w:val="1"/>
                <w:color w:val="auto"/>
              </w:rPr>
            </w:pPr>
          </w:p>
        </w:tc>
      </w:tr>
      <w:tr>
        <w:trPr>
          <w:trHeight w:val="213"/>
        </w:trPr>
        <w:tc>
          <w:tcPr>
            <w:tcW w:w="58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Vehicles</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15,207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14,578</w:t>
            </w:r>
          </w:p>
        </w:tc>
        <w:tc>
          <w:tcPr>
            <w:tcW w:w="0" w:type="dxa"/>
            <w:vAlign w:val="bottom"/>
          </w:tcPr>
          <w:p>
            <w:pPr>
              <w:spacing w:after="0"/>
              <w:rPr>
                <w:sz w:val="1"/>
                <w:szCs w:val="1"/>
                <w:color w:val="auto"/>
              </w:rPr>
            </w:pPr>
          </w:p>
        </w:tc>
      </w:tr>
      <w:tr>
        <w:trPr>
          <w:trHeight w:val="206"/>
        </w:trPr>
        <w:tc>
          <w:tcPr>
            <w:tcW w:w="5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Construction in progress</w:t>
            </w:r>
          </w:p>
        </w:tc>
        <w:tc>
          <w:tcPr>
            <w:tcW w:w="3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3,273</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2,063</w:t>
            </w:r>
          </w:p>
        </w:tc>
        <w:tc>
          <w:tcPr>
            <w:tcW w:w="0" w:type="dxa"/>
            <w:vAlign w:val="bottom"/>
          </w:tcPr>
          <w:p>
            <w:pPr>
              <w:spacing w:after="0"/>
              <w:rPr>
                <w:sz w:val="1"/>
                <w:szCs w:val="1"/>
                <w:color w:val="auto"/>
              </w:rPr>
            </w:pPr>
          </w:p>
        </w:tc>
      </w:tr>
      <w:tr>
        <w:trPr>
          <w:trHeight w:val="206"/>
        </w:trPr>
        <w:tc>
          <w:tcPr>
            <w:tcW w:w="5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property, plant and equipment</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1,835,530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1,807,320</w:t>
            </w:r>
          </w:p>
        </w:tc>
        <w:tc>
          <w:tcPr>
            <w:tcW w:w="0" w:type="dxa"/>
            <w:vAlign w:val="bottom"/>
          </w:tcPr>
          <w:p>
            <w:pPr>
              <w:spacing w:after="0"/>
              <w:rPr>
                <w:sz w:val="1"/>
                <w:szCs w:val="1"/>
                <w:color w:val="auto"/>
              </w:rPr>
            </w:pPr>
          </w:p>
        </w:tc>
      </w:tr>
      <w:tr>
        <w:trPr>
          <w:trHeight w:val="206"/>
        </w:trPr>
        <w:tc>
          <w:tcPr>
            <w:tcW w:w="58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(1,449,508)</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(1,417,324)</w:t>
            </w:r>
          </w:p>
        </w:tc>
        <w:tc>
          <w:tcPr>
            <w:tcW w:w="0" w:type="dxa"/>
            <w:vAlign w:val="bottom"/>
          </w:tcPr>
          <w:p>
            <w:pPr>
              <w:spacing w:after="0"/>
              <w:rPr>
                <w:sz w:val="1"/>
                <w:szCs w:val="1"/>
                <w:color w:val="auto"/>
              </w:rPr>
            </w:pPr>
          </w:p>
        </w:tc>
      </w:tr>
      <w:tr>
        <w:trPr>
          <w:trHeight w:val="231"/>
        </w:trPr>
        <w:tc>
          <w:tcPr>
            <w:tcW w:w="5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property, plant and equipment, net</w:t>
            </w:r>
          </w:p>
        </w:tc>
        <w:tc>
          <w:tcPr>
            <w:tcW w:w="3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386,022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389,996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3"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6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8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06"/>
        </w:trPr>
        <w:tc>
          <w:tcPr>
            <w:tcW w:w="63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Accrued liabilities:</w:t>
            </w:r>
          </w:p>
        </w:tc>
        <w:tc>
          <w:tcPr>
            <w:tcW w:w="6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06"/>
        </w:trPr>
        <w:tc>
          <w:tcPr>
            <w:tcW w:w="6360" w:type="dxa"/>
            <w:vAlign w:val="bottom"/>
          </w:tcPr>
          <w:p>
            <w:pPr>
              <w:ind w:left="480"/>
              <w:spacing w:after="0"/>
              <w:rPr>
                <w:sz w:val="20"/>
                <w:szCs w:val="20"/>
                <w:color w:val="auto"/>
              </w:rPr>
            </w:pPr>
            <w:r>
              <w:rPr>
                <w:rFonts w:ascii="Arial" w:cs="Arial" w:eastAsia="Arial" w:hAnsi="Arial"/>
                <w:sz w:val="16"/>
                <w:szCs w:val="16"/>
                <w:color w:val="auto"/>
              </w:rPr>
              <w:t>Accrued compensation</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18,446</w:t>
            </w:r>
          </w:p>
        </w:tc>
        <w:tc>
          <w:tcPr>
            <w:tcW w:w="100" w:type="dxa"/>
            <w:vAlign w:val="bottom"/>
          </w:tcPr>
          <w:p>
            <w:pPr>
              <w:spacing w:after="0"/>
              <w:rPr>
                <w:sz w:val="17"/>
                <w:szCs w:val="17"/>
                <w:color w:val="auto"/>
              </w:rPr>
            </w:pPr>
          </w:p>
        </w:tc>
        <w:tc>
          <w:tcPr>
            <w:tcW w:w="96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28,877</w:t>
            </w:r>
          </w:p>
        </w:tc>
      </w:tr>
      <w:tr>
        <w:trPr>
          <w:trHeight w:val="213"/>
        </w:trPr>
        <w:tc>
          <w:tcPr>
            <w:tcW w:w="63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taxes, other than income taxes</w:t>
            </w:r>
          </w:p>
        </w:tc>
        <w:tc>
          <w:tcPr>
            <w:tcW w:w="6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3,329</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2,944</w:t>
            </w:r>
          </w:p>
        </w:tc>
      </w:tr>
      <w:tr>
        <w:trPr>
          <w:trHeight w:val="206"/>
        </w:trPr>
        <w:tc>
          <w:tcPr>
            <w:tcW w:w="636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1,022</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w:t>
            </w:r>
          </w:p>
        </w:tc>
      </w:tr>
      <w:tr>
        <w:trPr>
          <w:trHeight w:val="231"/>
        </w:trPr>
        <w:tc>
          <w:tcPr>
            <w:tcW w:w="6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accrued liabilities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22,797</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33,564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320" w:hanging="315"/>
        <w:spacing w:after="0"/>
        <w:tabs>
          <w:tab w:leader="none" w:pos="3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ASSETS HELD FOR SALE</w:t>
      </w:r>
    </w:p>
    <w:p>
      <w:pPr>
        <w:spacing w:after="0" w:line="256" w:lineRule="exact"/>
        <w:rPr>
          <w:sz w:val="20"/>
          <w:szCs w:val="20"/>
          <w:color w:val="auto"/>
        </w:rPr>
      </w:pPr>
    </w:p>
    <w:p>
      <w:pPr>
        <w:ind w:firstLine="472"/>
        <w:spacing w:after="0" w:line="322" w:lineRule="auto"/>
        <w:rPr>
          <w:sz w:val="20"/>
          <w:szCs w:val="20"/>
          <w:color w:val="auto"/>
        </w:rPr>
      </w:pPr>
      <w:r>
        <w:rPr>
          <w:rFonts w:ascii="Arial" w:cs="Arial" w:eastAsia="Arial" w:hAnsi="Arial"/>
          <w:sz w:val="16"/>
          <w:szCs w:val="16"/>
          <w:color w:val="auto"/>
        </w:rPr>
        <w:t>As of March 31, 2022 and December 31, 2021, assets held for sale included certain assets in our U.S. business segment and various undeveloped land holdings in our Australia business segment. These assets were recorded at the estimated fair value less costs to sell, which exceeded their carry values.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following table summarizes the carrying amount as of March 31, 2022 and December 31, 2021 of the assets classified as held for sale (in thousands):</w:t>
      </w:r>
    </w:p>
    <w:p>
      <w:pPr>
        <w:spacing w:after="0" w:line="376"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7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4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91"/>
              </w:rPr>
              <w:t>December 31, 2021</w:t>
            </w:r>
          </w:p>
        </w:tc>
      </w:tr>
      <w:tr>
        <w:trPr>
          <w:trHeight w:val="206"/>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held for sale:</w:t>
            </w: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6"/>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10,800</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11,762</w:t>
            </w:r>
          </w:p>
        </w:tc>
      </w:tr>
      <w:tr>
        <w:trPr>
          <w:trHeight w:val="231"/>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 held for sale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10,800</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11,762</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320" w:hanging="315"/>
        <w:spacing w:after="0"/>
        <w:tabs>
          <w:tab w:leader="none" w:pos="3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256"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We calculate basic and diluted earnings per share by applying the two-class method because we have participating securities in the form of Class A preferred shares. Participating securities are allocated a proportional share of net income determined by dividing total weighted average participating securities by the sum of total weighted average common shares and participating securities. We also apply the treasury stock method with respect to certain share-based awards in the calculation of diluted earnings per share, if dilutive.</w:t>
      </w:r>
    </w:p>
    <w:p>
      <w:pPr>
        <w:spacing w:after="0" w:line="204"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7"/>
          <w:szCs w:val="17"/>
          <w:color w:val="auto"/>
        </w:rPr>
        <w:t>The calculation of earnings per share attributable to Civeo common shareholders is presented below for the periods indicated (in thousands, except per share amounts):</w:t>
      </w:r>
    </w:p>
    <w:p>
      <w:pPr>
        <w:spacing w:after="0" w:line="1" w:lineRule="exact"/>
        <w:rPr>
          <w:sz w:val="20"/>
          <w:szCs w:val="20"/>
          <w:color w:val="auto"/>
        </w:rPr>
      </w:pPr>
    </w:p>
    <w:tbl>
      <w:tblPr>
        <w:tblLayout w:type="fixed"/>
        <w:tblInd w:w="1780" w:type="dxa"/>
        <w:tblCellMar>
          <w:top w:w="0" w:type="dxa"/>
          <w:left w:w="0" w:type="dxa"/>
          <w:bottom w:w="0" w:type="dxa"/>
          <w:right w:w="0" w:type="dxa"/>
        </w:tblCellMar>
      </w:tblPr>
      <w:tr>
        <w:trPr>
          <w:trHeight w:val="207"/>
        </w:trPr>
        <w:tc>
          <w:tcPr>
            <w:tcW w:w="50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181"/>
              <w:spacing w:after="0"/>
              <w:rPr>
                <w:sz w:val="20"/>
                <w:szCs w:val="20"/>
                <w:color w:val="auto"/>
              </w:rPr>
            </w:pPr>
            <w:r>
              <w:rPr>
                <w:rFonts w:ascii="Arial" w:cs="Arial" w:eastAsia="Arial" w:hAnsi="Arial"/>
                <w:sz w:val="16"/>
                <w:szCs w:val="16"/>
                <w:b w:val="1"/>
                <w:bCs w:val="1"/>
                <w:color w:val="auto"/>
                <w:w w:val="93"/>
              </w:rPr>
              <w:t>Three Months Ended March 31,</w:t>
            </w:r>
          </w:p>
        </w:tc>
        <w:tc>
          <w:tcPr>
            <w:tcW w:w="0" w:type="dxa"/>
            <w:vAlign w:val="bottom"/>
          </w:tcPr>
          <w:p>
            <w:pPr>
              <w:spacing w:after="0"/>
              <w:rPr>
                <w:sz w:val="1"/>
                <w:szCs w:val="1"/>
                <w:color w:val="auto"/>
              </w:rPr>
            </w:pPr>
          </w:p>
        </w:tc>
      </w:tr>
      <w:tr>
        <w:trPr>
          <w:trHeight w:val="203"/>
        </w:trPr>
        <w:tc>
          <w:tcPr>
            <w:tcW w:w="5020" w:type="dxa"/>
            <w:vAlign w:val="bottom"/>
            <w:tcBorders>
              <w:bottom w:val="single" w:sz="8" w:color="CCEEFF"/>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2"/>
        </w:trPr>
        <w:tc>
          <w:tcPr>
            <w:tcW w:w="50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Numerator:</w:t>
            </w:r>
          </w:p>
        </w:tc>
        <w:tc>
          <w:tcPr>
            <w:tcW w:w="6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20" w:type="dxa"/>
            <w:vAlign w:val="bottom"/>
          </w:tcPr>
          <w:p>
            <w:pPr>
              <w:ind w:left="500"/>
              <w:spacing w:after="0"/>
              <w:rPr>
                <w:sz w:val="20"/>
                <w:szCs w:val="20"/>
                <w:color w:val="auto"/>
              </w:rPr>
            </w:pPr>
            <w:r>
              <w:rPr>
                <w:rFonts w:ascii="Arial" w:cs="Arial" w:eastAsia="Arial" w:hAnsi="Arial"/>
                <w:sz w:val="16"/>
                <w:szCs w:val="16"/>
                <w:color w:val="auto"/>
              </w:rPr>
              <w:t>Net income (loss) attributable to Civeo common shareholders</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17"/>
                <w:szCs w:val="17"/>
                <w:color w:val="auto"/>
              </w:rPr>
            </w:pPr>
          </w:p>
        </w:tc>
        <w:tc>
          <w:tcPr>
            <w:tcW w:w="7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(9,962)</w:t>
            </w: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Less: income allocated to participating securities</w:t>
            </w:r>
          </w:p>
        </w:tc>
        <w:tc>
          <w:tcPr>
            <w:tcW w:w="6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0"/>
        </w:trPr>
        <w:tc>
          <w:tcPr>
            <w:tcW w:w="5020" w:type="dxa"/>
            <w:vAlign w:val="bottom"/>
          </w:tcPr>
          <w:p>
            <w:pPr>
              <w:ind w:left="500"/>
              <w:spacing w:after="0" w:line="141" w:lineRule="exact"/>
              <w:rPr>
                <w:sz w:val="20"/>
                <w:szCs w:val="20"/>
                <w:color w:val="auto"/>
              </w:rPr>
            </w:pPr>
            <w:r>
              <w:rPr>
                <w:rFonts w:ascii="Arial" w:cs="Arial" w:eastAsia="Arial" w:hAnsi="Arial"/>
                <w:sz w:val="16"/>
                <w:szCs w:val="16"/>
                <w:color w:val="auto"/>
                <w:w w:val="96"/>
              </w:rPr>
              <w:t>Basic net income (loss) attributable to Civeo Corporation common</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785</w:t>
            </w:r>
          </w:p>
        </w:tc>
        <w:tc>
          <w:tcPr>
            <w:tcW w:w="120" w:type="dxa"/>
            <w:vAlign w:val="bottom"/>
          </w:tcPr>
          <w:p>
            <w:pPr>
              <w:spacing w:after="0"/>
              <w:rPr>
                <w:sz w:val="12"/>
                <w:szCs w:val="12"/>
                <w:color w:val="auto"/>
              </w:rPr>
            </w:pPr>
          </w:p>
        </w:tc>
        <w:tc>
          <w:tcPr>
            <w:tcW w:w="7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(9,962)</w:t>
            </w:r>
          </w:p>
        </w:tc>
        <w:tc>
          <w:tcPr>
            <w:tcW w:w="0" w:type="dxa"/>
            <w:vAlign w:val="bottom"/>
          </w:tcPr>
          <w:p>
            <w:pPr>
              <w:spacing w:after="0"/>
              <w:rPr>
                <w:sz w:val="1"/>
                <w:szCs w:val="1"/>
                <w:color w:val="auto"/>
              </w:rPr>
            </w:pPr>
          </w:p>
        </w:tc>
      </w:tr>
      <w:tr>
        <w:trPr>
          <w:trHeight w:val="203"/>
        </w:trPr>
        <w:tc>
          <w:tcPr>
            <w:tcW w:w="5020" w:type="dxa"/>
            <w:vAlign w:val="bottom"/>
          </w:tcPr>
          <w:p>
            <w:pPr>
              <w:ind w:left="20"/>
              <w:spacing w:after="0"/>
              <w:rPr>
                <w:sz w:val="20"/>
                <w:szCs w:val="20"/>
                <w:color w:val="auto"/>
              </w:rPr>
            </w:pPr>
            <w:r>
              <w:rPr>
                <w:rFonts w:ascii="Arial" w:cs="Arial" w:eastAsia="Arial" w:hAnsi="Arial"/>
                <w:sz w:val="16"/>
                <w:szCs w:val="16"/>
                <w:color w:val="auto"/>
              </w:rPr>
              <w:t>shareholders</w:t>
            </w:r>
          </w:p>
        </w:tc>
        <w:tc>
          <w:tcPr>
            <w:tcW w:w="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Add: undistributed income attributable to participating securities</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0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w w:val="99"/>
              </w:rPr>
              <w:t>Less: undistributed income reallocated to participating securities</w:t>
            </w: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4"/>
        </w:trPr>
        <w:tc>
          <w:tcPr>
            <w:tcW w:w="5020" w:type="dxa"/>
            <w:vAlign w:val="bottom"/>
            <w:shd w:val="clear" w:color="auto" w:fill="CCEEFF"/>
          </w:tcPr>
          <w:p>
            <w:pPr>
              <w:ind w:left="500"/>
              <w:spacing w:after="0" w:line="144" w:lineRule="exact"/>
              <w:rPr>
                <w:sz w:val="20"/>
                <w:szCs w:val="20"/>
                <w:color w:val="auto"/>
              </w:rPr>
            </w:pPr>
            <w:r>
              <w:rPr>
                <w:rFonts w:ascii="Arial" w:cs="Arial" w:eastAsia="Arial" w:hAnsi="Arial"/>
                <w:sz w:val="16"/>
                <w:szCs w:val="16"/>
                <w:color w:val="auto"/>
                <w:w w:val="94"/>
              </w:rPr>
              <w:t>Diluted net income (loss) attributable to Civeo Corporation common</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786</w:t>
            </w: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(9,962)</w:t>
            </w:r>
          </w:p>
        </w:tc>
        <w:tc>
          <w:tcPr>
            <w:tcW w:w="0" w:type="dxa"/>
            <w:vAlign w:val="bottom"/>
          </w:tcPr>
          <w:p>
            <w:pPr>
              <w:spacing w:after="0"/>
              <w:rPr>
                <w:sz w:val="1"/>
                <w:szCs w:val="1"/>
                <w:color w:val="auto"/>
              </w:rPr>
            </w:pPr>
          </w:p>
        </w:tc>
      </w:tr>
      <w:tr>
        <w:trPr>
          <w:trHeight w:val="200"/>
        </w:trPr>
        <w:tc>
          <w:tcPr>
            <w:tcW w:w="502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shareholders</w:t>
            </w: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
        </w:trPr>
        <w:tc>
          <w:tcPr>
            <w:tcW w:w="502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500"/>
              <w:spacing w:after="0"/>
              <w:rPr>
                <w:sz w:val="20"/>
                <w:szCs w:val="20"/>
                <w:color w:val="auto"/>
              </w:rPr>
            </w:pPr>
            <w:r>
              <w:rPr>
                <w:rFonts w:ascii="Arial" w:cs="Arial" w:eastAsia="Arial" w:hAnsi="Arial"/>
                <w:sz w:val="16"/>
                <w:szCs w:val="16"/>
                <w:b w:val="1"/>
                <w:bCs w:val="1"/>
                <w:color w:val="auto"/>
              </w:rPr>
              <w:t>Denominator:</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20" w:type="dxa"/>
            <w:vAlign w:val="bottom"/>
          </w:tcPr>
          <w:p>
            <w:pPr>
              <w:ind w:left="500"/>
              <w:spacing w:after="0"/>
              <w:rPr>
                <w:sz w:val="20"/>
                <w:szCs w:val="20"/>
                <w:color w:val="auto"/>
              </w:rPr>
            </w:pPr>
            <w:r>
              <w:rPr>
                <w:rFonts w:ascii="Arial" w:cs="Arial" w:eastAsia="Arial" w:hAnsi="Arial"/>
                <w:sz w:val="16"/>
                <w:szCs w:val="16"/>
                <w:color w:val="auto"/>
              </w:rPr>
              <w:t>Weighted average shares outstanding - basic</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14,096</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14,211</w:t>
            </w:r>
          </w:p>
        </w:tc>
        <w:tc>
          <w:tcPr>
            <w:tcW w:w="0" w:type="dxa"/>
            <w:vAlign w:val="bottom"/>
          </w:tcPr>
          <w:p>
            <w:pPr>
              <w:spacing w:after="0"/>
              <w:rPr>
                <w:sz w:val="1"/>
                <w:szCs w:val="1"/>
                <w:color w:val="auto"/>
              </w:rPr>
            </w:pPr>
          </w:p>
        </w:tc>
      </w:tr>
      <w:tr>
        <w:trPr>
          <w:trHeight w:val="210"/>
        </w:trPr>
        <w:tc>
          <w:tcPr>
            <w:tcW w:w="5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Dilutive shares - share-based awards</w:t>
            </w:r>
          </w:p>
        </w:tc>
        <w:tc>
          <w:tcPr>
            <w:tcW w:w="6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020" w:type="dxa"/>
            <w:vAlign w:val="bottom"/>
          </w:tcPr>
          <w:p>
            <w:pPr>
              <w:ind w:left="500"/>
              <w:spacing w:after="0"/>
              <w:rPr>
                <w:sz w:val="20"/>
                <w:szCs w:val="20"/>
                <w:color w:val="auto"/>
              </w:rPr>
            </w:pPr>
            <w:r>
              <w:rPr>
                <w:rFonts w:ascii="Arial" w:cs="Arial" w:eastAsia="Arial" w:hAnsi="Arial"/>
                <w:sz w:val="16"/>
                <w:szCs w:val="16"/>
                <w:color w:val="auto"/>
              </w:rPr>
              <w:t>Weighted average shares outstanding - diluted</w:t>
            </w:r>
          </w:p>
        </w:tc>
        <w:tc>
          <w:tcPr>
            <w:tcW w:w="6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14,219</w:t>
            </w:r>
          </w:p>
        </w:tc>
        <w:tc>
          <w:tcPr>
            <w:tcW w:w="12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14,211</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50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5020" w:type="dxa"/>
            <w:vAlign w:val="bottom"/>
          </w:tcPr>
          <w:p>
            <w:pPr>
              <w:ind w:left="500"/>
              <w:spacing w:after="0" w:line="161" w:lineRule="exact"/>
              <w:rPr>
                <w:sz w:val="20"/>
                <w:szCs w:val="20"/>
                <w:color w:val="auto"/>
              </w:rPr>
            </w:pPr>
            <w:r>
              <w:rPr>
                <w:rFonts w:ascii="Arial" w:cs="Arial" w:eastAsia="Arial" w:hAnsi="Arial"/>
                <w:sz w:val="16"/>
                <w:szCs w:val="16"/>
                <w:color w:val="auto"/>
                <w:w w:val="95"/>
              </w:rPr>
              <w:t>Basic net income (loss) per share attributable to Civeo Corporation</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3"/>
                <w:szCs w:val="13"/>
                <w:color w:val="auto"/>
              </w:rPr>
            </w:pPr>
          </w:p>
        </w:tc>
        <w:tc>
          <w:tcPr>
            <w:tcW w:w="7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6"/>
        </w:trPr>
        <w:tc>
          <w:tcPr>
            <w:tcW w:w="5020" w:type="dxa"/>
            <w:vAlign w:val="bottom"/>
          </w:tcPr>
          <w:p>
            <w:pPr>
              <w:ind w:left="20"/>
              <w:spacing w:after="0" w:line="207" w:lineRule="exact"/>
              <w:rPr>
                <w:sz w:val="20"/>
                <w:szCs w:val="20"/>
                <w:color w:val="auto"/>
              </w:rPr>
            </w:pPr>
            <w:r>
              <w:rPr>
                <w:rFonts w:ascii="Arial" w:cs="Arial" w:eastAsia="Arial" w:hAnsi="Arial"/>
                <w:sz w:val="16"/>
                <w:szCs w:val="16"/>
                <w:color w:val="auto"/>
              </w:rPr>
              <w:t xml:space="preserve">common shareholders </w:t>
            </w:r>
            <w:r>
              <w:rPr>
                <w:rFonts w:ascii="Arial" w:cs="Arial" w:eastAsia="Arial" w:hAnsi="Arial"/>
                <w:sz w:val="20"/>
                <w:szCs w:val="20"/>
                <w:color w:val="auto"/>
                <w:vertAlign w:val="superscript"/>
              </w:rPr>
              <w:t>(1)</w:t>
            </w:r>
          </w:p>
        </w:tc>
        <w:tc>
          <w:tcPr>
            <w:tcW w:w="6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50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5020" w:type="dxa"/>
            <w:vAlign w:val="bottom"/>
          </w:tcPr>
          <w:p>
            <w:pPr>
              <w:ind w:left="500"/>
              <w:spacing w:after="0" w:line="161" w:lineRule="exact"/>
              <w:rPr>
                <w:sz w:val="20"/>
                <w:szCs w:val="20"/>
                <w:color w:val="auto"/>
              </w:rPr>
            </w:pPr>
            <w:r>
              <w:rPr>
                <w:rFonts w:ascii="Arial" w:cs="Arial" w:eastAsia="Arial" w:hAnsi="Arial"/>
                <w:sz w:val="16"/>
                <w:szCs w:val="16"/>
                <w:color w:val="auto"/>
                <w:w w:val="93"/>
              </w:rPr>
              <w:t>Diluted net income (loss) per share attributable to Civeo Corporation</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3"/>
                <w:szCs w:val="13"/>
                <w:color w:val="auto"/>
              </w:rPr>
            </w:pPr>
          </w:p>
        </w:tc>
        <w:tc>
          <w:tcPr>
            <w:tcW w:w="700" w:type="dxa"/>
            <w:vAlign w:val="bottom"/>
            <w:vMerge w:val="restart"/>
          </w:tcPr>
          <w:p>
            <w:pPr>
              <w:jc w:val="right"/>
              <w:ind w:right="61"/>
              <w:spacing w:after="0"/>
              <w:rPr>
                <w:sz w:val="20"/>
                <w:szCs w:val="20"/>
                <w:color w:val="auto"/>
              </w:rPr>
            </w:pPr>
            <w:r>
              <w:rPr>
                <w:rFonts w:ascii="Arial" w:cs="Arial" w:eastAsia="Arial" w:hAnsi="Arial"/>
                <w:sz w:val="16"/>
                <w:szCs w:val="16"/>
                <w:color w:val="auto"/>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68"/>
        </w:trPr>
        <w:tc>
          <w:tcPr>
            <w:tcW w:w="5020" w:type="dxa"/>
            <w:vAlign w:val="bottom"/>
          </w:tcPr>
          <w:p>
            <w:pPr>
              <w:ind w:left="20"/>
              <w:spacing w:after="0"/>
              <w:rPr>
                <w:sz w:val="20"/>
                <w:szCs w:val="20"/>
                <w:color w:val="auto"/>
              </w:rPr>
            </w:pPr>
            <w:r>
              <w:rPr>
                <w:rFonts w:ascii="Arial" w:cs="Arial" w:eastAsia="Arial" w:hAnsi="Arial"/>
                <w:sz w:val="16"/>
                <w:szCs w:val="16"/>
                <w:color w:val="auto"/>
              </w:rPr>
              <w:t xml:space="preserve">common shareholders </w:t>
            </w:r>
            <w:r>
              <w:rPr>
                <w:rFonts w:ascii="Arial" w:cs="Arial" w:eastAsia="Arial" w:hAnsi="Arial"/>
                <w:sz w:val="20"/>
                <w:szCs w:val="20"/>
                <w:color w:val="auto"/>
                <w:vertAlign w:val="superscript"/>
              </w:rPr>
              <w:t>(1)</w:t>
            </w:r>
          </w:p>
        </w:tc>
        <w:tc>
          <w:tcPr>
            <w:tcW w:w="64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8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tbl>
      <w:tblPr>
        <w:tblLayout w:type="fixed"/>
        <w:tblInd w:w="320" w:type="dxa"/>
        <w:tblCellMar>
          <w:top w:w="0" w:type="dxa"/>
          <w:left w:w="0" w:type="dxa"/>
          <w:bottom w:w="0" w:type="dxa"/>
          <w:right w:w="0" w:type="dxa"/>
        </w:tblCellMar>
      </w:tblPr>
      <w:tr>
        <w:trPr>
          <w:trHeight w:val="132"/>
        </w:trPr>
        <w:tc>
          <w:tcPr>
            <w:tcW w:w="200" w:type="dxa"/>
            <w:vAlign w:val="bottom"/>
          </w:tcPr>
          <w:p>
            <w:pPr>
              <w:jc w:val="right"/>
              <w:ind w:right="29"/>
              <w:spacing w:after="0"/>
              <w:rPr>
                <w:sz w:val="20"/>
                <w:szCs w:val="20"/>
                <w:color w:val="auto"/>
              </w:rPr>
            </w:pPr>
            <w:r>
              <w:rPr>
                <w:rFonts w:ascii="Arial" w:cs="Arial" w:eastAsia="Arial" w:hAnsi="Arial"/>
                <w:sz w:val="10"/>
                <w:szCs w:val="10"/>
                <w:color w:val="auto"/>
                <w:w w:val="81"/>
              </w:rPr>
              <w:t>(1)</w:t>
            </w:r>
          </w:p>
        </w:tc>
        <w:tc>
          <w:tcPr>
            <w:tcW w:w="3180" w:type="dxa"/>
            <w:vAlign w:val="bottom"/>
            <w:vMerge w:val="restart"/>
          </w:tcPr>
          <w:p>
            <w:pPr>
              <w:ind w:left="100"/>
              <w:spacing w:after="0"/>
              <w:rPr>
                <w:sz w:val="20"/>
                <w:szCs w:val="20"/>
                <w:color w:val="auto"/>
              </w:rPr>
            </w:pPr>
            <w:r>
              <w:rPr>
                <w:rFonts w:ascii="Arial" w:cs="Arial" w:eastAsia="Arial" w:hAnsi="Arial"/>
                <w:sz w:val="16"/>
                <w:szCs w:val="16"/>
                <w:color w:val="auto"/>
                <w:w w:val="89"/>
              </w:rPr>
              <w:t>Computations may reflect rounding adjustments.</w:t>
            </w:r>
          </w:p>
        </w:tc>
        <w:tc>
          <w:tcPr>
            <w:tcW w:w="0" w:type="dxa"/>
            <w:vAlign w:val="bottom"/>
          </w:tcPr>
          <w:p>
            <w:pPr>
              <w:spacing w:after="0"/>
              <w:rPr>
                <w:sz w:val="1"/>
                <w:szCs w:val="1"/>
                <w:color w:val="auto"/>
              </w:rPr>
            </w:pPr>
          </w:p>
        </w:tc>
      </w:tr>
      <w:tr>
        <w:trPr>
          <w:trHeight w:val="68"/>
        </w:trPr>
        <w:tc>
          <w:tcPr>
            <w:tcW w:w="200" w:type="dxa"/>
            <w:vAlign w:val="bottom"/>
          </w:tcPr>
          <w:p>
            <w:pPr>
              <w:spacing w:after="0"/>
              <w:rPr>
                <w:sz w:val="5"/>
                <w:szCs w:val="5"/>
                <w:color w:val="auto"/>
              </w:rPr>
            </w:pPr>
          </w:p>
        </w:tc>
        <w:tc>
          <w:tcPr>
            <w:tcW w:w="3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For the three months ended March 31, 2022, we excluded 0.1 million share-based awards from the computation of diluted earnings per share because their effect was anti-dilutive. When an entity has a net loss from continuing operations, it is prohibited from including potential common shares in the computation of diluted per share amounts. As a result of the net loss for the three months ended March 31, 2021, we excluded from the computation of diluted loss per share 0.2 million share based awards since the effect would have been anti-dilutive. Additionally, for the three months ended March 31, 2022 and 2021, we excluded from the computation the impact of converting the Preferred Shares into 2.5 million and 2.4 million common shares, respectively, since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6" w:lineRule="exact"/>
        <w:rPr>
          <w:sz w:val="20"/>
          <w:szCs w:val="20"/>
          <w:color w:val="auto"/>
        </w:rPr>
      </w:pPr>
    </w:p>
    <w:p>
      <w:pPr>
        <w:ind w:left="320" w:hanging="315"/>
        <w:spacing w:after="0"/>
        <w:tabs>
          <w:tab w:leader="none" w:pos="3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March 31, 2022 and December 31, 2021, long-term debt consisted of the following (in thousands):</w:t>
      </w:r>
    </w:p>
    <w:p>
      <w:pPr>
        <w:spacing w:after="0" w:line="353"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7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4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w w:val="91"/>
              </w:rPr>
              <w:t>December 31, 2021</w:t>
            </w:r>
          </w:p>
        </w:tc>
        <w:tc>
          <w:tcPr>
            <w:tcW w:w="0" w:type="dxa"/>
            <w:vAlign w:val="bottom"/>
          </w:tcPr>
          <w:p>
            <w:pPr>
              <w:spacing w:after="0"/>
              <w:rPr>
                <w:sz w:val="1"/>
                <w:szCs w:val="1"/>
                <w:color w:val="auto"/>
              </w:rPr>
            </w:pPr>
          </w:p>
        </w:tc>
      </w:tr>
      <w:tr>
        <w:trPr>
          <w:trHeight w:val="206"/>
        </w:trPr>
        <w:tc>
          <w:tcPr>
            <w:tcW w:w="7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Canadian term loan; weighted average interest rate of 3.9% for the three month period ended March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56,021</w:t>
            </w: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63,104</w:t>
            </w: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3"/>
              </w:rPr>
              <w:t>U.S. revolving credit facility; weighted average interest rate of 5.5% for the three month period ended March 31, 2022</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3"/>
              </w:rPr>
              <w:t>Canadian revolving credit facility; weighted average interest rate of 4.1% for the three month period ended March 31,</w:t>
            </w: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113,643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111,300</w:t>
            </w:r>
          </w:p>
        </w:tc>
        <w:tc>
          <w:tcPr>
            <w:tcW w:w="0" w:type="dxa"/>
            <w:vAlign w:val="bottom"/>
          </w:tcPr>
          <w:p>
            <w:pPr>
              <w:spacing w:after="0"/>
              <w:rPr>
                <w:sz w:val="1"/>
                <w:szCs w:val="1"/>
                <w:color w:val="auto"/>
              </w:rPr>
            </w:pPr>
          </w:p>
        </w:tc>
      </w:tr>
      <w:tr>
        <w:trPr>
          <w:trHeight w:val="206"/>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7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7780" w:type="dxa"/>
            <w:vAlign w:val="bottom"/>
            <w:shd w:val="clear" w:color="auto" w:fill="CCEEFF"/>
          </w:tcPr>
          <w:p>
            <w:pPr>
              <w:ind w:left="20"/>
              <w:spacing w:after="0" w:line="161" w:lineRule="exact"/>
              <w:rPr>
                <w:sz w:val="20"/>
                <w:szCs w:val="20"/>
                <w:color w:val="auto"/>
              </w:rPr>
            </w:pPr>
            <w:r>
              <w:rPr>
                <w:rFonts w:ascii="Arial" w:cs="Arial" w:eastAsia="Arial" w:hAnsi="Arial"/>
                <w:sz w:val="16"/>
                <w:szCs w:val="16"/>
                <w:color w:val="auto"/>
                <w:w w:val="93"/>
              </w:rPr>
              <w:t>Australian revolving credit facility; weighted average interest rate of 3.2% for the three month period ended March 31,</w:t>
            </w:r>
          </w:p>
        </w:tc>
        <w:tc>
          <w:tcPr>
            <w:tcW w:w="12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8,243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0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177,907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175,130</w:t>
            </w:r>
          </w:p>
        </w:tc>
        <w:tc>
          <w:tcPr>
            <w:tcW w:w="0" w:type="dxa"/>
            <w:vAlign w:val="bottom"/>
          </w:tcPr>
          <w:p>
            <w:pPr>
              <w:spacing w:after="0"/>
              <w:rPr>
                <w:sz w:val="1"/>
                <w:szCs w:val="1"/>
                <w:color w:val="auto"/>
              </w:rPr>
            </w:pPr>
          </w:p>
        </w:tc>
      </w:tr>
      <w:tr>
        <w:trPr>
          <w:trHeight w:val="213"/>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Unamortized debt issuance costs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2,002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1,952</w:t>
            </w:r>
          </w:p>
        </w:tc>
        <w:tc>
          <w:tcPr>
            <w:tcW w:w="0" w:type="dxa"/>
            <w:vAlign w:val="bottom"/>
          </w:tcPr>
          <w:p>
            <w:pPr>
              <w:spacing w:after="0"/>
              <w:rPr>
                <w:sz w:val="1"/>
                <w:szCs w:val="1"/>
                <w:color w:val="auto"/>
              </w:rPr>
            </w:pPr>
          </w:p>
        </w:tc>
      </w:tr>
      <w:tr>
        <w:trPr>
          <w:trHeight w:val="199"/>
        </w:trPr>
        <w:tc>
          <w:tcPr>
            <w:tcW w:w="7780" w:type="dxa"/>
            <w:vAlign w:val="bottom"/>
          </w:tcPr>
          <w:p>
            <w:pPr>
              <w:ind w:left="120"/>
              <w:spacing w:after="0"/>
              <w:rPr>
                <w:sz w:val="20"/>
                <w:szCs w:val="20"/>
                <w:color w:val="auto"/>
              </w:rPr>
            </w:pPr>
            <w:r>
              <w:rPr>
                <w:rFonts w:ascii="Arial" w:cs="Arial" w:eastAsia="Arial" w:hAnsi="Arial"/>
                <w:sz w:val="16"/>
                <w:szCs w:val="16"/>
                <w:color w:val="auto"/>
              </w:rPr>
              <w:t>Total debt</w:t>
            </w:r>
          </w:p>
        </w:tc>
        <w:tc>
          <w:tcPr>
            <w:tcW w:w="12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175,905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173,178</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 including unamortized debt issuance costs, net</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30,868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30,576</w:t>
            </w:r>
          </w:p>
        </w:tc>
        <w:tc>
          <w:tcPr>
            <w:tcW w:w="0" w:type="dxa"/>
            <w:vAlign w:val="bottom"/>
          </w:tcPr>
          <w:p>
            <w:pPr>
              <w:spacing w:after="0"/>
              <w:rPr>
                <w:sz w:val="1"/>
                <w:szCs w:val="1"/>
                <w:color w:val="auto"/>
              </w:rPr>
            </w:pPr>
          </w:p>
        </w:tc>
      </w:tr>
      <w:tr>
        <w:trPr>
          <w:trHeight w:val="206"/>
        </w:trPr>
        <w:tc>
          <w:tcPr>
            <w:tcW w:w="7780" w:type="dxa"/>
            <w:vAlign w:val="bottom"/>
          </w:tcPr>
          <w:p>
            <w:pPr>
              <w:ind w:left="120"/>
              <w:spacing w:after="0"/>
              <w:rPr>
                <w:sz w:val="20"/>
                <w:szCs w:val="20"/>
                <w:color w:val="auto"/>
              </w:rPr>
            </w:pPr>
            <w:r>
              <w:rPr>
                <w:rFonts w:ascii="Arial" w:cs="Arial" w:eastAsia="Arial" w:hAnsi="Arial"/>
                <w:sz w:val="16"/>
                <w:szCs w:val="16"/>
                <w:color w:val="auto"/>
              </w:rPr>
              <w:t>Long-term debt, less current maturities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145,037</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142,602</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Agreement</w:t>
      </w:r>
    </w:p>
    <w:p>
      <w:pPr>
        <w:spacing w:after="0" w:line="25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As of March 31, 2022,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73"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6"/>
          <w:szCs w:val="16"/>
          <w:color w:val="auto"/>
        </w:rPr>
        <w:t>U.S. dollar amounts outstanding under the facilities provided by the Credit Agreement bear interest at a variable rate equal to the London Inter-Bank Offered Rate (LIBOR) plus a margin of 3.00% to 4.00%, or a base rate plus 2.00% to 3.00%, in each case based on a ratio of our total net debt to Consolidated EBITDA (as defined in the Credit Agreement). Canadian dollar amounts outstanding bear interest at a variable rate equal to a Bankers’ Acceptance Discount Rate (as defined in the Credit Agreement) based on the Canadian Dollar Offered Rate (CDOR) plus a margin of 3.00% to 4.00%, or a Canadian Prime rate plus a margin of 2.00% to 3.00%, in each case based on a ratio of our total debt to Consolidated EBITDA. Australian dollar amounts outstanding under the Credit Agreement bear interest at a variable rate equal to the Bank Bill Swap Bid Rate plus a margin of 3.00% to 4.00%, based on a ratio of our total net debt to Consolidated EBITDA. The future transitions from LIBOR and CDOR as interest rate benchmarks are addressed in the Credit Agreement and at such time the transition from (i) LIBOR takes place, an alternate benchmark will be established based on the first alternative of the following, plus a benchmark replacement adjustment, Term SOFR, Daily Simple SOFR and an alternative benchmark selected by the administrative agent and the applicable borrowers giving due consideration to any selection or recommendation by a government body or any evolving or then-prevailing market convention for determining a benchmark rate as a replacement for the then-current Benchmark for U.S. dollar-denominated syndicated credit facilities at such time or (ii) CDOR takes place, we will endeavor with the administrative agent to establish an alternate rate of interest to CDOR that gives due consideration to any evolving or then existing convention for similar Canadian Dollar denominated syndicated credit facilities for the replacement of CDOR.</w:t>
      </w:r>
    </w:p>
    <w:p>
      <w:pPr>
        <w:spacing w:after="0" w:line="69"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The Credit Agreement contains customary affirmative and negative covenants that, among other things, limit or restrict: (i) indebtedness, liens and fundamental changes; (ii) asset sales; (iii) acquisitions of margin stock; (iv) specified acquisitions; (v) certain restrictive agreements; (vi) transactions with affiliates; and (vii) investments and other restricted payments, including dividends and other distributions. In addition, we must maintain a minimum interest coverage ratio, defined as the ratio of Consolidated EBITDA to consolidated interest expense, of at least 3.00 to 1.00 and our maximum net leverage ratio, defined as the ratio of total net debt to Consolidated EBITDA, of no greater than 3.25 to 1.00 for the quarter ended March 31, 2022 and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31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3.00 to 1.00 for each quarter thereafter. Following a qualified offering of indebtedness, we will be required to maintain a maximum leverage ratio of no greater than 3.50 to 1.00 and a maximum senior secured ratio less than 2.00 to 1.00. Each of the factors considered in the calculations of these ratios are defined in the Credit Agreement. EBITDA and consolidated interest, as defined, exclude goodwill and asset impairments, debt discount amortization, amortization of intangibles and other non-cash charges. We were in compliance with our covenants as of March 31, 2022.</w:t>
      </w:r>
    </w:p>
    <w:p>
      <w:pPr>
        <w:spacing w:after="0" w:line="73"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Borrowings under the Credit Agreement are secured by a pledge of substantially all of our assets and the assets of our subsidiaries subject to customary exceptions. The obligations under the Credit Agreement are guaranteed by our significant subsidiaries. As of March 31, 2022, we had seven lenders that were parties to the Credit Agreement, with total commitments (including both revolving commitments and term commitments) ranging from $22.5 million to $52.0 million. As of March 31, 2022, we had outstanding letters of credit of $0.3 million under the U.S. facility, zero under the Australian facility and $1.2 million under the Canadian facility. We also had outstanding bank guarantees of A$0.8 million under the Australian facility.</w:t>
      </w:r>
    </w:p>
    <w:p>
      <w:pPr>
        <w:spacing w:after="0" w:line="94" w:lineRule="exact"/>
        <w:rPr>
          <w:sz w:val="20"/>
          <w:szCs w:val="20"/>
          <w:color w:val="auto"/>
        </w:rPr>
      </w:pPr>
    </w:p>
    <w:p>
      <w:pPr>
        <w:ind w:left="320" w:hanging="315"/>
        <w:spacing w:after="0"/>
        <w:tabs>
          <w:tab w:leader="none" w:pos="3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5"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operations are conducted through various subsidiaries in a number of countries throughout the world. We have provided for income taxes based upon the tax laws and rates in the countries in which operations are conducted and income is earned.</w:t>
      </w:r>
    </w:p>
    <w:p>
      <w:pPr>
        <w:spacing w:after="0" w:line="53"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We operate in three jurisdictions, Canada, Australia and the U.S., where statutory tax rates range from 15% to 30%. Our effective tax rate will vary from period to period based on changes in earnings mix between these different jurisdictions.</w:t>
      </w:r>
    </w:p>
    <w:p>
      <w:pPr>
        <w:spacing w:after="0" w:line="53" w:lineRule="exact"/>
        <w:rPr>
          <w:sz w:val="20"/>
          <w:szCs w:val="20"/>
          <w:color w:val="auto"/>
        </w:rPr>
      </w:pPr>
    </w:p>
    <w:p>
      <w:pPr>
        <w:jc w:val="both"/>
        <w:ind w:firstLine="472"/>
        <w:spacing w:after="0" w:line="272" w:lineRule="auto"/>
        <w:rPr>
          <w:sz w:val="20"/>
          <w:szCs w:val="20"/>
          <w:color w:val="auto"/>
        </w:rPr>
      </w:pPr>
      <w:r>
        <w:rPr>
          <w:rFonts w:ascii="Arial" w:cs="Arial" w:eastAsia="Arial" w:hAnsi="Arial"/>
          <w:sz w:val="16"/>
          <w:szCs w:val="16"/>
          <w:color w:val="auto"/>
        </w:rPr>
        <w:t>We compute our quarterly taxes under the effective tax rate method by applying an anticipated annual effective rate to our year-to-date income, except for significant unusual or extraordinary transactions. Income taxes for any significant and unusual or extraordinary transactions are computed and recorded in the period in which the specific transaction occurs. As of March 31, 2022 and 2021, Canada and the U.S. were considered loss jurisdictions for tax accounting purposes and were removed from the annual effective tax rate computation for purposes of computing the interim tax provision.</w:t>
      </w:r>
    </w:p>
    <w:p>
      <w:pPr>
        <w:spacing w:after="0" w:line="188" w:lineRule="exact"/>
        <w:rPr>
          <w:sz w:val="20"/>
          <w:szCs w:val="20"/>
          <w:color w:val="auto"/>
        </w:rPr>
      </w:pPr>
    </w:p>
    <w:p>
      <w:pPr>
        <w:jc w:val="both"/>
        <w:ind w:firstLine="472"/>
        <w:spacing w:after="0" w:line="251" w:lineRule="auto"/>
        <w:rPr>
          <w:sz w:val="20"/>
          <w:szCs w:val="20"/>
          <w:color w:val="auto"/>
        </w:rPr>
      </w:pPr>
      <w:r>
        <w:rPr>
          <w:rFonts w:ascii="Arial" w:cs="Arial" w:eastAsia="Arial" w:hAnsi="Arial"/>
          <w:sz w:val="17"/>
          <w:szCs w:val="17"/>
          <w:color w:val="auto"/>
        </w:rPr>
        <w:t>Our income tax expense for the three months ended March 31, 2022 totaled $1.6 million, or 44.9% of pretax income, compared to tax expense of $1.1 million, or (12.9)% of pretax loss, for the three months ended March 31, 2021. Our effective tax rate for both the three months ended March 31, 2022 and 2021 was impacted by considering Canada and the U.S. loss jurisdictions that were removed from the annual effective tax rate computation for purposes of computing the interim tax provision.</w:t>
      </w:r>
    </w:p>
    <w:p>
      <w:pPr>
        <w:spacing w:after="0" w:line="198"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w:t>
      </w:r>
    </w:p>
    <w:p>
      <w:pPr>
        <w:spacing w:after="0" w:line="230"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warranty and product liability claims as a result of our products or operations. Although we can give no assurance about the outcome of pending legal and administrative proceedings and the effect such outcomes may have on us, management believes that any ultimate liability resulting from the outcome of such proceedings, to the extent not otherwise provided for or covered by insurance, will not have a material adverse effect on our consolidated financial position, results of operations or liquidity.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ACCUMULATED OTHER COMPREHENSIVE LOSS</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color w:val="auto"/>
        </w:rPr>
        <w:t>Our accumulated other comprehensive loss decreased $8.0 million from $361.9 million at December 31, 2021 to $353.9 million at March 31, 2022, as a result of foreign currency exchange rate fluctuations. Changes in other comprehensive loss during the first three months of 2022 were primarily driven by the Australian dollar and Canadian dollar increasing in value compared to the U.S. dollar. Excluding intercompany balances, our Canadian dollar and Australian dollar functional currency net assets totaled approximately C$200 million and A$251 million, respectively, at March 31, 2022.</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SHARE REPURCHASE PROGRAM</w:t>
      </w:r>
    </w:p>
    <w:p>
      <w:pPr>
        <w:spacing w:after="0" w:line="230" w:lineRule="exact"/>
        <w:rPr>
          <w:sz w:val="20"/>
          <w:szCs w:val="20"/>
          <w:color w:val="auto"/>
        </w:rPr>
      </w:pPr>
    </w:p>
    <w:p>
      <w:pPr>
        <w:jc w:val="both"/>
        <w:ind w:firstLine="472"/>
        <w:spacing w:after="0" w:line="314" w:lineRule="auto"/>
        <w:rPr>
          <w:sz w:val="20"/>
          <w:szCs w:val="20"/>
          <w:color w:val="auto"/>
        </w:rPr>
      </w:pPr>
      <w:r>
        <w:rPr>
          <w:rFonts w:ascii="Arial" w:cs="Arial" w:eastAsia="Arial" w:hAnsi="Arial"/>
          <w:sz w:val="15"/>
          <w:szCs w:val="15"/>
          <w:color w:val="auto"/>
        </w:rPr>
        <w:t>In August 2021, our Board of Directors (Board) authorized a common share repurchase program to repurchase up to 5.0% of our total common shares which are issued and outstanding, or approximately 715,000 common shares, over a twelve month period. The common share repurchase program commenced in September 2021 and will terminate no later than twelve months from date of commencement. The repurchase authorization allows repurchases from time to time in open market transactions, including pursuant to trading plans adopted in accordance with Rule 10b5-1 of the Securities Exchange Act of 1934.</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159"/>
        <w:spacing w:after="0"/>
        <w:rPr>
          <w:sz w:val="20"/>
          <w:szCs w:val="20"/>
          <w:color w:val="auto"/>
        </w:rPr>
      </w:pPr>
      <w:r>
        <w:rPr>
          <w:rFonts w:ascii="Arial" w:cs="Arial" w:eastAsia="Arial" w:hAnsi="Arial"/>
          <w:sz w:val="17"/>
          <w:szCs w:val="17"/>
          <w:b w:val="1"/>
          <w:bCs w:val="1"/>
          <w:color w:val="auto"/>
        </w:rPr>
        <w:t>CIVEO CORPORATION</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(Continued)</w:t>
      </w:r>
    </w:p>
    <w:p>
      <w:pPr>
        <w:spacing w:after="0" w:line="200" w:lineRule="exact"/>
        <w:rPr>
          <w:sz w:val="20"/>
          <w:szCs w:val="20"/>
          <w:color w:val="auto"/>
        </w:rPr>
      </w:pPr>
    </w:p>
    <w:p>
      <w:pPr>
        <w:spacing w:after="0" w:line="247"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We intend to fund repurchases through cash on hand and cash generated from operations. Pursuant to our common share repurchase program, during the three months ended March 31, 2022, we repurchased an aggregate of 500 of our common shares outstanding at a weighted average price of $18.47 per share, for a total of approximately $9.2 thousand. The common shares repurchased under the program are cancelled in the periods they are acquired and the payment is accounted for as an increase to accumulated deficit in our Unaudited Consolidated Statements of Changes in Shareholders’ Equity in the period the payment is made.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SHARE-BASED COMPENSATION</w:t>
      </w:r>
    </w:p>
    <w:p>
      <w:pPr>
        <w:spacing w:after="0" w:line="230"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Certain key employees and non-employee directors participate in the Amended and Restated 2014 Equity Participation Plan of Civeo Corporation (the Civeo Plan). The Civeo Plan authorizes our Board and the Compensation Committee of our Board to approve grants of options, awards of restricted shares, performance awards, phantom share awards and dividend equivalents, awards of deferred shares, and share payments to our employees and non-employee directors. No more than 2.4 million Civeo common shares are authorized to be issued under the Civeo Plan.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Outstanding Awards</w:t>
      </w:r>
    </w:p>
    <w:p>
      <w:pPr>
        <w:spacing w:after="0" w:line="224"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b w:val="1"/>
          <w:bCs w:val="1"/>
          <w:i w:val="1"/>
          <w:iCs w:val="1"/>
          <w:color w:val="auto"/>
        </w:rPr>
        <w:t xml:space="preserve">Restricted Share Awards / Restricted Share Units / Deferred Share Awards. </w:t>
      </w:r>
      <w:r>
        <w:rPr>
          <w:rFonts w:ascii="Arial" w:cs="Arial" w:eastAsia="Arial" w:hAnsi="Arial"/>
          <w:sz w:val="17"/>
          <w:szCs w:val="17"/>
          <w:color w:val="auto"/>
        </w:rPr>
        <w:t>Compensation expense associated with restricted share awards, restricted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units and deferred share awards recognized in the three months ended March 31, 2022 and 2021 totaled $0.4 million and $0.5 million, respectively. The total fair value of restricted share awards, restricted share units and deferred share awards that vested during the three months ended March 31, 2022 and 2021 was $0.6 million and $1.5 million, respectively.</w:t>
      </w:r>
    </w:p>
    <w:p>
      <w:pPr>
        <w:spacing w:after="0" w:line="178"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At March 31, 2022, unrecognized compensation cost related to restricted share awards, restricted share units and deferred share awards was $0.1 million, which is expected to be recognized over a weighted average period of 0.1 years.</w:t>
      </w:r>
    </w:p>
    <w:p>
      <w:pPr>
        <w:spacing w:after="0" w:line="158"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b w:val="1"/>
          <w:bCs w:val="1"/>
          <w:i w:val="1"/>
          <w:iCs w:val="1"/>
          <w:color w:val="auto"/>
        </w:rPr>
        <w:t xml:space="preserve">Phantom Share Awards. </w:t>
      </w:r>
      <w:r>
        <w:rPr>
          <w:rFonts w:ascii="Arial" w:cs="Arial" w:eastAsia="Arial" w:hAnsi="Arial"/>
          <w:sz w:val="17"/>
          <w:szCs w:val="17"/>
          <w:color w:val="auto"/>
        </w:rPr>
        <w:t>On February 25, 2022, we granted 255,034 phantom share awards under the Civeo Plan, which vest in three equal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installments beginning on February 25, 2023. We also granted 77,574 phantom share awards under the Canadian Long-Term Incentive Plan, which vest in three equal annual installments beginning on February 25, 2023. Phantom share awards are settled in cash upon vesting.</w:t>
      </w:r>
    </w:p>
    <w:p>
      <w:pPr>
        <w:spacing w:after="0" w:line="197"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During the three months ended March 31, 2022 and 2021, we recognized compensation expense associated with phantom shares totaling $2.4 million and $1.4 million, respectively. At March 31, 2022, unrecognized compensation cost related to phantom shares was $15.3 million, as remeasured at March 31, 2022, which is expected to be recognized over a weighted average period of 2.2 years.</w:t>
      </w:r>
    </w:p>
    <w:p>
      <w:pPr>
        <w:spacing w:after="0" w:line="171"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b w:val="1"/>
          <w:bCs w:val="1"/>
          <w:i w:val="1"/>
          <w:iCs w:val="1"/>
          <w:color w:val="auto"/>
        </w:rPr>
        <w:t xml:space="preserve">Performance Awards. </w:t>
      </w:r>
      <w:r>
        <w:rPr>
          <w:rFonts w:ascii="Arial" w:cs="Arial" w:eastAsia="Arial" w:hAnsi="Arial"/>
          <w:sz w:val="17"/>
          <w:szCs w:val="17"/>
          <w:color w:val="auto"/>
        </w:rPr>
        <w:t>On February 25, 2022, we granted 122,555 performance awards under the Civeo Plan, which cliff vest in three years on February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2025 subject to attainment of applicable performance criteria. These awards will be earned in amounts between 0% and 200% of the participant’s target performance share award, based on (1) the payout percentage associated with Civeo’s relative total shareholder return rank among a peer group that includes 17 other companies and (2) the payout percentage associated with Civeo's cumulative operating cash flow over the performance period relative to a preset target. The portion of the performance awards tied to cumulative operating cash flow includes a performance-based vesting requirement. The fair value of these awards is based on the closing market price of our common shares on the date of grant. We evaluate the probability of achieving the performance criteria throughout the performance period and will adjust share-based compensation expense based on the number of shares expected to vest based on our estimate of the most probable performance outcome. The ultimate payout of the cumulative operating cash flow component of the award can vary from 0% to 100% based on actual results.</w:t>
      </w:r>
    </w:p>
    <w:p>
      <w:pPr>
        <w:spacing w:after="0" w:line="209"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During the three months ended March 31, 2022 and 2021, we recognized compensation expense associated with performance awards totaling $0.6 million and $0.5 million, respectively. The total fair value of performance share awards that vested during the three months ended March 31, 2022 and 2021 was $2.4 million and $1.9 million, respectively. At March 31, 2022, unrecognized compensation cost related to performance shares was $6.4 million, which is expected to be recognized over a weighted average period of 2.5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800"/>
        <w:spacing w:after="0"/>
        <w:rPr>
          <w:sz w:val="20"/>
          <w:szCs w:val="20"/>
          <w:color w:val="auto"/>
        </w:rPr>
      </w:pPr>
      <w:r>
        <w:rPr>
          <w:rFonts w:ascii="Arial" w:cs="Arial" w:eastAsia="Arial" w:hAnsi="Arial"/>
          <w:sz w:val="17"/>
          <w:szCs w:val="17"/>
          <w:b w:val="1"/>
          <w:bCs w:val="1"/>
          <w:color w:val="auto"/>
        </w:rPr>
        <w:t>CIVEO CORPORATION</w:t>
      </w:r>
    </w:p>
    <w:p>
      <w:pPr>
        <w:spacing w:after="0" w:line="119" w:lineRule="exact"/>
        <w:rPr>
          <w:sz w:val="20"/>
          <w:szCs w:val="20"/>
          <w:color w:val="auto"/>
        </w:rPr>
      </w:pPr>
    </w:p>
    <w:p>
      <w:pPr>
        <w:ind w:left="3980"/>
        <w:spacing w:after="0"/>
        <w:rPr>
          <w:sz w:val="20"/>
          <w:szCs w:val="20"/>
          <w:color w:val="auto"/>
        </w:rPr>
      </w:pPr>
      <w:r>
        <w:rPr>
          <w:rFonts w:ascii="Arial" w:cs="Arial" w:eastAsia="Arial" w:hAnsi="Arial"/>
          <w:sz w:val="17"/>
          <w:szCs w:val="17"/>
          <w:b w:val="1"/>
          <w:bCs w:val="1"/>
          <w:color w:val="auto"/>
        </w:rPr>
        <w:t>NOTES TO UNAUDITED CONSOLIDATED</w:t>
      </w:r>
    </w:p>
    <w:p>
      <w:pPr>
        <w:spacing w:after="0" w:line="3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FINANCIAL STATEMENTS</w:t>
      </w:r>
    </w:p>
    <w:p>
      <w:pPr>
        <w:spacing w:after="0" w:line="1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(Continued)</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SEGMENT AND RELATED INFORMATION</w:t>
      </w:r>
    </w:p>
    <w:p>
      <w:pPr>
        <w:spacing w:after="0" w:line="230" w:lineRule="exact"/>
        <w:rPr>
          <w:sz w:val="20"/>
          <w:szCs w:val="20"/>
          <w:color w:val="auto"/>
        </w:rPr>
      </w:pPr>
    </w:p>
    <w:p>
      <w:pPr>
        <w:ind w:firstLine="472"/>
        <w:spacing w:after="0" w:line="322" w:lineRule="auto"/>
        <w:rPr>
          <w:sz w:val="20"/>
          <w:szCs w:val="20"/>
          <w:color w:val="auto"/>
        </w:rPr>
      </w:pPr>
      <w:r>
        <w:rPr>
          <w:rFonts w:ascii="Arial" w:cs="Arial" w:eastAsia="Arial" w:hAnsi="Arial"/>
          <w:sz w:val="16"/>
          <w:szCs w:val="16"/>
          <w:color w:val="auto"/>
        </w:rPr>
        <w:t>In accordance with current accounting standards regarding disclosures about segments of an enterprise and related information, we have identified the following reportable segments: Canada, Australia and the U.S., which represent our strategic focus on hospitality services and workforce accommodations.</w:t>
      </w:r>
    </w:p>
    <w:p>
      <w:pPr>
        <w:spacing w:after="0" w:line="135" w:lineRule="exact"/>
        <w:rPr>
          <w:sz w:val="20"/>
          <w:szCs w:val="20"/>
          <w:color w:val="auto"/>
        </w:rPr>
      </w:pPr>
    </w:p>
    <w:p>
      <w:pPr>
        <w:ind w:firstLine="472"/>
        <w:spacing w:after="0" w:line="289" w:lineRule="auto"/>
        <w:rPr>
          <w:sz w:val="20"/>
          <w:szCs w:val="20"/>
          <w:color w:val="auto"/>
        </w:rPr>
      </w:pPr>
      <w:r>
        <w:rPr>
          <w:rFonts w:ascii="Arial" w:cs="Arial" w:eastAsia="Arial" w:hAnsi="Arial"/>
          <w:sz w:val="17"/>
          <w:szCs w:val="17"/>
          <w:color w:val="auto"/>
        </w:rPr>
        <w:t>Financial information by business segment for each of the three months ended March 31, 2022 and 2021 is summarized in the following table (in thousands):</w:t>
      </w: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6"/>
                <w:szCs w:val="16"/>
                <w:b w:val="1"/>
                <w:bCs w:val="1"/>
                <w:color w:val="auto"/>
                <w:w w:val="88"/>
              </w:rPr>
              <w:t>Total</w:t>
            </w: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Depreciation</w:t>
            </w: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Operating</w:t>
            </w:r>
          </w:p>
        </w:tc>
        <w:tc>
          <w:tcPr>
            <w:tcW w:w="200" w:type="dxa"/>
            <w:vAlign w:val="bottom"/>
          </w:tcPr>
          <w:p>
            <w:pPr>
              <w:spacing w:after="0"/>
              <w:rPr>
                <w:sz w:val="16"/>
                <w:szCs w:val="16"/>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Capital</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1"/>
              </w:rPr>
              <w:t>and</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w w:val="85"/>
              </w:rPr>
              <w:t>income</w:t>
            </w:r>
          </w:p>
        </w:tc>
        <w:tc>
          <w:tcPr>
            <w:tcW w:w="2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restart"/>
          </w:tcPr>
          <w:p>
            <w:pPr>
              <w:jc w:val="right"/>
              <w:ind w:right="241"/>
              <w:spacing w:after="0"/>
              <w:rPr>
                <w:sz w:val="20"/>
                <w:szCs w:val="20"/>
                <w:color w:val="auto"/>
              </w:rPr>
            </w:pPr>
            <w:r>
              <w:rPr>
                <w:rFonts w:ascii="Arial" w:cs="Arial" w:eastAsia="Arial" w:hAnsi="Arial"/>
                <w:sz w:val="16"/>
                <w:szCs w:val="16"/>
                <w:b w:val="1"/>
                <w:bCs w:val="1"/>
                <w:color w:val="auto"/>
                <w:w w:val="95"/>
              </w:rPr>
              <w:t>Total assets</w:t>
            </w:r>
          </w:p>
        </w:tc>
        <w:tc>
          <w:tcPr>
            <w:tcW w:w="0" w:type="dxa"/>
            <w:vAlign w:val="bottom"/>
          </w:tcPr>
          <w:p>
            <w:pPr>
              <w:spacing w:after="0"/>
              <w:rPr>
                <w:sz w:val="1"/>
                <w:szCs w:val="1"/>
                <w:color w:val="auto"/>
              </w:rPr>
            </w:pPr>
          </w:p>
        </w:tc>
      </w:tr>
      <w:tr>
        <w:trPr>
          <w:trHeight w:val="207"/>
        </w:trPr>
        <w:tc>
          <w:tcPr>
            <w:tcW w:w="2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2"/>
              </w:rPr>
              <w:t>revenues</w:t>
            </w: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amortization</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4"/>
              </w:rPr>
              <w:t>(loss)</w:t>
            </w:r>
          </w:p>
        </w:tc>
        <w:tc>
          <w:tcPr>
            <w:tcW w:w="20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expenditures</w:t>
            </w:r>
          </w:p>
        </w:tc>
        <w:tc>
          <w:tcPr>
            <w:tcW w:w="22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320" w:type="dxa"/>
            <w:vAlign w:val="bottom"/>
            <w:tcBorders>
              <w:top w:val="single" w:sz="8" w:color="CCEEFF"/>
            </w:tcBorders>
            <w:shd w:val="clear" w:color="auto" w:fill="CCEEFF"/>
          </w:tcPr>
          <w:p>
            <w:pPr>
              <w:ind w:left="20"/>
              <w:spacing w:after="0" w:line="140" w:lineRule="exact"/>
              <w:rPr>
                <w:sz w:val="20"/>
                <w:szCs w:val="20"/>
                <w:color w:val="auto"/>
              </w:rPr>
            </w:pPr>
            <w:r>
              <w:rPr>
                <w:rFonts w:ascii="Arial" w:cs="Arial" w:eastAsia="Arial" w:hAnsi="Arial"/>
                <w:sz w:val="16"/>
                <w:szCs w:val="16"/>
                <w:b w:val="1"/>
                <w:bCs w:val="1"/>
                <w:color w:val="auto"/>
                <w:w w:val="96"/>
              </w:rPr>
              <w:t>Three months ended March 31,</w:t>
            </w:r>
          </w:p>
        </w:tc>
        <w:tc>
          <w:tcPr>
            <w:tcW w:w="2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2022</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95,952</w:t>
            </w:r>
          </w:p>
        </w:tc>
        <w:tc>
          <w:tcPr>
            <w:tcW w:w="1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11,597</w:t>
            </w:r>
          </w:p>
        </w:tc>
        <w:tc>
          <w:tcPr>
            <w:tcW w:w="100" w:type="dxa"/>
            <w:vAlign w:val="bottom"/>
          </w:tcPr>
          <w:p>
            <w:pPr>
              <w:spacing w:after="0"/>
              <w:rPr>
                <w:sz w:val="17"/>
                <w:szCs w:val="17"/>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641"/>
              <w:spacing w:after="0"/>
              <w:rPr>
                <w:sz w:val="20"/>
                <w:szCs w:val="20"/>
                <w:color w:val="auto"/>
              </w:rPr>
            </w:pPr>
            <w:r>
              <w:rPr>
                <w:rFonts w:ascii="Arial" w:cs="Arial" w:eastAsia="Arial" w:hAnsi="Arial"/>
                <w:sz w:val="16"/>
                <w:szCs w:val="16"/>
                <w:color w:val="auto"/>
                <w:w w:val="89"/>
              </w:rPr>
              <w:t>4,038</w:t>
            </w:r>
          </w:p>
        </w:tc>
        <w:tc>
          <w:tcPr>
            <w:tcW w:w="100" w:type="dxa"/>
            <w:vAlign w:val="bottom"/>
          </w:tcPr>
          <w:p>
            <w:pPr>
              <w:spacing w:after="0"/>
              <w:rPr>
                <w:sz w:val="17"/>
                <w:szCs w:val="17"/>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773,257</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63,529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7,957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641"/>
              <w:spacing w:after="0"/>
              <w:rPr>
                <w:sz w:val="20"/>
                <w:szCs w:val="20"/>
                <w:color w:val="auto"/>
              </w:rPr>
            </w:pPr>
            <w:r>
              <w:rPr>
                <w:rFonts w:ascii="Arial" w:cs="Arial" w:eastAsia="Arial" w:hAnsi="Arial"/>
                <w:sz w:val="16"/>
                <w:szCs w:val="16"/>
                <w:color w:val="auto"/>
                <w:w w:val="89"/>
              </w:rPr>
              <w:t>6,135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226,680</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U.S.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left="621"/>
              <w:spacing w:after="0"/>
              <w:rPr>
                <w:sz w:val="20"/>
                <w:szCs w:val="20"/>
                <w:color w:val="auto"/>
              </w:rPr>
            </w:pPr>
            <w:r>
              <w:rPr>
                <w:rFonts w:ascii="Arial" w:cs="Arial" w:eastAsia="Arial" w:hAnsi="Arial"/>
                <w:sz w:val="16"/>
                <w:szCs w:val="16"/>
                <w:color w:val="auto"/>
                <w:w w:val="90"/>
              </w:rPr>
              <w:t>(1,609)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24,156</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621"/>
              <w:spacing w:after="0"/>
              <w:rPr>
                <w:sz w:val="20"/>
                <w:szCs w:val="20"/>
                <w:color w:val="auto"/>
              </w:rPr>
            </w:pPr>
            <w:r>
              <w:rPr>
                <w:rFonts w:ascii="Arial" w:cs="Arial" w:eastAsia="Arial" w:hAnsi="Arial"/>
                <w:sz w:val="16"/>
                <w:szCs w:val="16"/>
                <w:color w:val="auto"/>
                <w:w w:val="90"/>
              </w:rPr>
              <w:t>(4,327)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(350,999)</w:t>
            </w:r>
          </w:p>
        </w:tc>
        <w:tc>
          <w:tcPr>
            <w:tcW w:w="0" w:type="dxa"/>
            <w:vAlign w:val="bottom"/>
          </w:tcPr>
          <w:p>
            <w:pPr>
              <w:spacing w:after="0"/>
              <w:rPr>
                <w:sz w:val="1"/>
                <w:szCs w:val="1"/>
                <w:color w:val="auto"/>
              </w:rPr>
            </w:pPr>
          </w:p>
        </w:tc>
      </w:tr>
      <w:tr>
        <w:trPr>
          <w:trHeight w:val="206"/>
        </w:trPr>
        <w:tc>
          <w:tcPr>
            <w:tcW w:w="2320" w:type="dxa"/>
            <w:vAlign w:val="bottom"/>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165,678</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20,127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center"/>
              <w:ind w:left="641"/>
              <w:spacing w:after="0"/>
              <w:rPr>
                <w:sz w:val="20"/>
                <w:szCs w:val="20"/>
                <w:color w:val="auto"/>
              </w:rPr>
            </w:pPr>
            <w:r>
              <w:rPr>
                <w:rFonts w:ascii="Arial" w:cs="Arial" w:eastAsia="Arial" w:hAnsi="Arial"/>
                <w:sz w:val="16"/>
                <w:szCs w:val="16"/>
                <w:color w:val="auto"/>
                <w:w w:val="89"/>
              </w:rPr>
              <w:t>4,237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673,094</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
        </w:trPr>
        <w:tc>
          <w:tcPr>
            <w:tcW w:w="23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320" w:type="dxa"/>
            <w:vAlign w:val="bottom"/>
          </w:tcPr>
          <w:p>
            <w:pPr>
              <w:ind w:left="20"/>
              <w:spacing w:after="0" w:line="158" w:lineRule="exact"/>
              <w:rPr>
                <w:sz w:val="20"/>
                <w:szCs w:val="20"/>
                <w:color w:val="auto"/>
              </w:rPr>
            </w:pPr>
            <w:r>
              <w:rPr>
                <w:rFonts w:ascii="Arial" w:cs="Arial" w:eastAsia="Arial" w:hAnsi="Arial"/>
                <w:sz w:val="16"/>
                <w:szCs w:val="16"/>
                <w:b w:val="1"/>
                <w:bCs w:val="1"/>
                <w:color w:val="auto"/>
                <w:w w:val="96"/>
              </w:rPr>
              <w:t>Three months ended March 31,</w:t>
            </w: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2320" w:type="dxa"/>
            <w:vAlign w:val="bottom"/>
          </w:tcPr>
          <w:p>
            <w:pPr>
              <w:ind w:left="20"/>
              <w:spacing w:after="0"/>
              <w:rPr>
                <w:sz w:val="20"/>
                <w:szCs w:val="20"/>
                <w:color w:val="auto"/>
              </w:rPr>
            </w:pPr>
            <w:r>
              <w:rPr>
                <w:rFonts w:ascii="Arial" w:cs="Arial" w:eastAsia="Arial" w:hAnsi="Arial"/>
                <w:sz w:val="16"/>
                <w:szCs w:val="16"/>
                <w:b w:val="1"/>
                <w:bCs w:val="1"/>
                <w:color w:val="auto"/>
              </w:rPr>
              <w:t>2021</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Canada</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12,087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center"/>
              <w:ind w:left="621"/>
              <w:spacing w:after="0"/>
              <w:rPr>
                <w:sz w:val="20"/>
                <w:szCs w:val="20"/>
                <w:color w:val="auto"/>
              </w:rPr>
            </w:pPr>
            <w:r>
              <w:rPr>
                <w:rFonts w:ascii="Arial" w:cs="Arial" w:eastAsia="Arial" w:hAnsi="Arial"/>
                <w:sz w:val="16"/>
                <w:szCs w:val="16"/>
                <w:color w:val="auto"/>
                <w:w w:val="90"/>
              </w:rPr>
              <w:t>(7,659)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721,841</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Australia</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59,637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8,459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left="641"/>
              <w:spacing w:after="0"/>
              <w:rPr>
                <w:sz w:val="20"/>
                <w:szCs w:val="20"/>
                <w:color w:val="auto"/>
              </w:rPr>
            </w:pPr>
            <w:r>
              <w:rPr>
                <w:rFonts w:ascii="Arial" w:cs="Arial" w:eastAsia="Arial" w:hAnsi="Arial"/>
                <w:sz w:val="16"/>
                <w:szCs w:val="16"/>
                <w:color w:val="auto"/>
                <w:w w:val="89"/>
              </w:rPr>
              <w:t>3,307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265,111</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566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621"/>
              <w:spacing w:after="0"/>
              <w:rPr>
                <w:sz w:val="20"/>
                <w:szCs w:val="20"/>
                <w:color w:val="auto"/>
              </w:rPr>
            </w:pPr>
            <w:r>
              <w:rPr>
                <w:rFonts w:ascii="Arial" w:cs="Arial" w:eastAsia="Arial" w:hAnsi="Arial"/>
                <w:sz w:val="16"/>
                <w:szCs w:val="16"/>
                <w:color w:val="auto"/>
                <w:w w:val="90"/>
              </w:rPr>
              <w:t>(2,598)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27,869</w:t>
            </w:r>
          </w:p>
        </w:tc>
        <w:tc>
          <w:tcPr>
            <w:tcW w:w="0" w:type="dxa"/>
            <w:vAlign w:val="bottom"/>
          </w:tcPr>
          <w:p>
            <w:pPr>
              <w:spacing w:after="0"/>
              <w:rPr>
                <w:sz w:val="1"/>
                <w:szCs w:val="1"/>
                <w:color w:val="auto"/>
              </w:rPr>
            </w:pPr>
          </w:p>
        </w:tc>
      </w:tr>
      <w:tr>
        <w:trPr>
          <w:trHeight w:val="206"/>
        </w:trPr>
        <w:tc>
          <w:tcPr>
            <w:tcW w:w="2320" w:type="dxa"/>
            <w:vAlign w:val="bottom"/>
          </w:tcPr>
          <w:p>
            <w:pPr>
              <w:ind w:left="20"/>
              <w:spacing w:after="0"/>
              <w:rPr>
                <w:sz w:val="20"/>
                <w:szCs w:val="20"/>
                <w:color w:val="auto"/>
              </w:rPr>
            </w:pPr>
            <w:r>
              <w:rPr>
                <w:rFonts w:ascii="Arial" w:cs="Arial" w:eastAsia="Arial" w:hAnsi="Arial"/>
                <w:sz w:val="16"/>
                <w:szCs w:val="16"/>
                <w:color w:val="auto"/>
              </w:rPr>
              <w:t>Corporate and eliminations</w:t>
            </w: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60" w:type="dxa"/>
            <w:vAlign w:val="bottom"/>
          </w:tcPr>
          <w:p>
            <w:pPr>
              <w:jc w:val="right"/>
              <w:ind w:right="1"/>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center"/>
              <w:ind w:left="621"/>
              <w:spacing w:after="0"/>
              <w:rPr>
                <w:sz w:val="20"/>
                <w:szCs w:val="20"/>
                <w:color w:val="auto"/>
              </w:rPr>
            </w:pPr>
            <w:r>
              <w:rPr>
                <w:rFonts w:ascii="Arial" w:cs="Arial" w:eastAsia="Arial" w:hAnsi="Arial"/>
                <w:sz w:val="16"/>
                <w:szCs w:val="16"/>
                <w:color w:val="auto"/>
                <w:w w:val="90"/>
              </w:rPr>
              <w:t>(2,951)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(304,643)</w:t>
            </w:r>
          </w:p>
        </w:tc>
        <w:tc>
          <w:tcPr>
            <w:tcW w:w="0" w:type="dxa"/>
            <w:vAlign w:val="bottom"/>
          </w:tcPr>
          <w:p>
            <w:pPr>
              <w:spacing w:after="0"/>
              <w:rPr>
                <w:sz w:val="1"/>
                <w:szCs w:val="1"/>
                <w:color w:val="auto"/>
              </w:rPr>
            </w:pPr>
          </w:p>
        </w:tc>
      </w:tr>
      <w:tr>
        <w:trPr>
          <w:trHeight w:val="231"/>
        </w:trPr>
        <w:tc>
          <w:tcPr>
            <w:tcW w:w="23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21,269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center"/>
              <w:ind w:left="621"/>
              <w:spacing w:after="0"/>
              <w:rPr>
                <w:sz w:val="20"/>
                <w:szCs w:val="20"/>
                <w:color w:val="auto"/>
              </w:rPr>
            </w:pPr>
            <w:r>
              <w:rPr>
                <w:rFonts w:ascii="Arial" w:cs="Arial" w:eastAsia="Arial" w:hAnsi="Arial"/>
                <w:sz w:val="16"/>
                <w:szCs w:val="16"/>
                <w:color w:val="auto"/>
                <w:w w:val="90"/>
              </w:rPr>
              <w:t>(9,901)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710,178</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3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i w:val="1"/>
          <w:iCs w:val="1"/>
          <w:color w:val="auto"/>
        </w:rPr>
        <w:t>This quarterly report on Form 10-Q contains certain “forward-looking statements” within the meaning of Section 27A of the Securities Act of 1933 and Section 21E of the Securities Exchange Act of 1934 (the Exchange Act). The Private Securities Litigation Reform Act of 1995 provides safe harbor provisions for forward-looking information. The forward-looking statements can be identified by the use of forward-looking terminology including “may,” “expect,” “anticipate,” “estimate,” “continue,” “believe” or other similar words. The forward-looking statements in this report include, but are not limited to, the statements in “Management’s Discussion and Analysis of Financial Condition and Results of Operations” relating to our expectations about the macroeconomic environment and industry conditions, including the impact of COVID-19 and the response thereto and the volatility in the price of and demand for commodities, as well as our expectations about capital expenditures in 2022 and beliefs with respect to liquidity needs. Actual results could differ materially from those projected in the forward-looking statements as a result of a number of important factors. For a discussion of known material factors that could affect our results, please refer to “Risk Factors,” “Cautionary Statement Regarding Forward-Looking Statements,” and “Management’s Discussion and Analysis of Financial Condition and Results of Operations” included in our Annual Report on Form 10-K for the year ended December 31, 2021 and our subsequent SEC filings. Should one or more of these risks or uncertainties materialize, or should the assumptions prove incorrect, actual results may differ materially from those expected, estimated or projected. Our management believes these forward-looking statements are reasonable. However, you should not place undue reliance on these forward-looking statements, which are based only on our current expectations and are not guarantees of future performance. All subsequent written and oral forward-looking statements attributable to us or to persons acting on our behalf are expressly qualified in their entirety by the foregoing. Forward-looking statements speak only as of the date they are made, and we undertake no obligation to publicly update or revise any of them in light of new information, future events or otherwise, except to the extent required by applicable law.</w:t>
      </w:r>
    </w:p>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In addition, in certain places in this quarterly report, we refer to reports published by third parties that purport to describe trends or developments in the energy industry. We do so for the convenience of our shareholders and in an effort to provide information available in the market that will assist our investors in a better understanding of the market environment in which we operate. However, we specifically disclaim any responsibility for the accuracy and completeness of such information and undertake no obligation to update such information.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37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You should read the following discussion and analysis together with our consolidated financial statements and the notes to those statements included elsewhere in this quarterly report on Form 10-Q.</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Macroeconomic Environment</w:t>
      </w:r>
    </w:p>
    <w:p>
      <w:pPr>
        <w:spacing w:after="0" w:line="138" w:lineRule="exact"/>
        <w:rPr>
          <w:sz w:val="20"/>
          <w:szCs w:val="20"/>
          <w:color w:val="auto"/>
        </w:rPr>
      </w:pPr>
    </w:p>
    <w:p>
      <w:pPr>
        <w:jc w:val="both"/>
        <w:ind w:firstLine="472"/>
        <w:spacing w:after="0" w:line="229" w:lineRule="auto"/>
        <w:rPr>
          <w:sz w:val="20"/>
          <w:szCs w:val="20"/>
          <w:color w:val="auto"/>
        </w:rPr>
      </w:pPr>
      <w:r>
        <w:rPr>
          <w:rFonts w:ascii="Arial" w:cs="Arial" w:eastAsia="Arial" w:hAnsi="Arial"/>
          <w:sz w:val="17"/>
          <w:szCs w:val="17"/>
          <w:color w:val="auto"/>
        </w:rPr>
        <w:t>We provide hospitality services to the natural resources industry in Canada, Australia and the U.S. Demand for our services can be attributed to two phases of our customers’ projects: (1) the development or construction phase; and (2) the operations or production phase. Historically, initial demand for our hospitality services has been driven by our customers’ capital spending programs related to the construction and development of natural resource projects and associated infrastructure, as well as the exploration for oil and natural gas. Long-term demand for our services has been driven by natural resource production, maintenance and operation of those facilities as well as expansion of those sites. In general, industry capital spending programs are based on the outlook for commodity prices, economic growth, global commodity supply/demand, estimates of resource production and shareholder expectations. As a result, demand for our hospitality services is largely sensitive to expected commodity prices, principally related to oil, metallurgical (met) coal, liquefied natural gas (LNG) and iron ore. Other factors that can affect our business and financial results include the general global economic environment and regulatory changes in Canada, Australia, the U.S. and other markets, including governmental measures introduced to fight climate change or to help slow the spread or mitigate the impact of COVID-19.</w:t>
      </w:r>
    </w:p>
    <w:p>
      <w:pPr>
        <w:spacing w:after="0" w:line="113" w:lineRule="exact"/>
        <w:rPr>
          <w:sz w:val="20"/>
          <w:szCs w:val="20"/>
          <w:color w:val="auto"/>
        </w:rPr>
      </w:pPr>
    </w:p>
    <w:p>
      <w:pPr>
        <w:jc w:val="both"/>
        <w:ind w:firstLine="472"/>
        <w:spacing w:after="0" w:line="232" w:lineRule="auto"/>
        <w:rPr>
          <w:sz w:val="20"/>
          <w:szCs w:val="20"/>
          <w:color w:val="auto"/>
        </w:rPr>
      </w:pPr>
      <w:r>
        <w:rPr>
          <w:rFonts w:ascii="Arial" w:cs="Arial" w:eastAsia="Arial" w:hAnsi="Arial"/>
          <w:sz w:val="17"/>
          <w:szCs w:val="17"/>
          <w:color w:val="auto"/>
        </w:rPr>
        <w:t>Our business is predominantly located in northern Alberta, Canada; British Columbia, Canada; Queensland, Australia; and Western Australia. We derive most of our business from natural resource companies who are developing and producing oil sands, met coal, LNG and iron ore resources and, to a lesser extent, other hydrocarbon and mineral resources. In the first quarter of 2022, approximately 63% of our revenue is generated by our lodges in Canada and our villages in Australia. Where traditional accommodations and infrastructure are insufficient, inaccessible or cost ineffective, our lodge and village facilities provide comprehensive hospitality services similar to those found in an urban hotel. We typically contract our facilities to our customers on a fee-per-person-per- day basis that covers lodging and meals and is based on the duration of customer needs,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which can range from several weeks to several years. The remainder of our revenue is generated by our hospitality services at customer-owned locations in Canada and Australia, mobile assets in Canada and the U.S and our lodges in the U.S.</w:t>
      </w:r>
    </w:p>
    <w:p>
      <w:pPr>
        <w:spacing w:after="0" w:line="105"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Generally, our core Canadian oil sands and Australian mining customers make significant, upfront capital investments to develop their prospects, which have estimated reserve lives ranging from ten years to in excess of 30 years. Consequently, these investments are primarily dependent on those customers’ long-term views of commodity demand and prices.</w:t>
      </w:r>
    </w:p>
    <w:p>
      <w:pPr>
        <w:spacing w:after="0" w:line="106"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The spread of COVID-19 and the response thereto have negatively impacted the global economy. The actions taken by governments and the private-sector to mitigate the spread of COVID-19 and the risk of infection, including government-imposed or voluntary social distancing and quarantining, reduced travel and remote work policies, evolved with the introduction of vaccination efforts in 2021, and may continue to evolve as the surfacing of virus variants has added a degree of uncertainty to the continuing global impact. Since the COVID-19 pandemic began, we have been impacted by increased staff costs as a result of hospitality labor shortages in Australia. This labor shortage has been exacerbated by significantly reduced migration in and around Australia affecting labor availability, which has subsequently led to an increased reliance on more expensive temporary labor resources. We continue to closely monitor the COVID-19 situation and have taken measures to help ensure the health and well-being of our employees, guests and contractors, including screening of individuals that enter our facilities, social distancing practices, enhanced cleaning and deep sanitization, the suspension of nonessential employee travel and implementation of work-from-home policies, where applicable.</w:t>
      </w:r>
    </w:p>
    <w:p>
      <w:pPr>
        <w:spacing w:after="0" w:line="104"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In part due to the impact of COVID-19 on the global economy, increasing inflationary pressures are being experienced worldwide. These price increases could negatively impact our labor and food costs, as well as consumable costs such as fuel. The Company is managing inflation risk with service scope changes and contractual protections.</w:t>
      </w:r>
    </w:p>
    <w:p>
      <w:pPr>
        <w:spacing w:after="0" w:line="106"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color w:val="auto"/>
        </w:rPr>
        <w:t>Global oil prices dropped to historically low levels in March and April 2020 due to severely reduced global oil demand, high global crude inventory levels, uncertainty around timing and slope of worldwide economic recovery after COVID-19 related economic shut-downs and effectiveness of production cuts by major oil producing countries, such as Saudi Arabia, Russia and the U.S. Since this trough in early 2020, global oil prices increased later in 2020 and throughout 2021 primarily due to improved global oil demand and lagging global oil supply due to oil production discipline from publicly traded oil producers and OPEC+ countries. These supply/demand dynamics have continued into early 2022 and have been exacerbated by the recent conflict between Russia and Ukraine and related sanctions on Russia, which decreased global fossil fuel supply even further. This has led to a significant increase in global oil prices to above $100 per barrel. Several governments, including the U.S. government under the Biden administration, have begun to release oil from the government controlled strategic reserves in the hopes of stemming high oil prices and the related impacts on higher heating fuels and gasoline.</w:t>
      </w:r>
    </w:p>
    <w:p>
      <w:pPr>
        <w:spacing w:after="0" w:line="103"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i w:val="1"/>
          <w:iCs w:val="1"/>
          <w:color w:val="auto"/>
        </w:rPr>
        <w:t xml:space="preserve">Alberta, Canada. </w:t>
      </w:r>
      <w:r>
        <w:rPr>
          <w:rFonts w:ascii="Arial" w:cs="Arial" w:eastAsia="Arial" w:hAnsi="Arial"/>
          <w:sz w:val="17"/>
          <w:szCs w:val="17"/>
          <w:color w:val="auto"/>
        </w:rPr>
        <w:t>In Canada, Western Canadian Select (WCS) crude is the benchmark price for our oil sands customers. Pricing for WCS is driven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several factors, including the underlying price for West Texas Intermediate (WTI) crude, the availability of transportation infrastructure (consisting of pipelines and crude by railcar) and governmental regulation. Historically, WCS has traded at a discount to WTI, creating a “WCS Differential,” due to transportation costs and capacity restrictions to move Canadian heavy oil production to refineries, primarily along the U.S. Gulf Coast. The WCS Differential has varied depending on the extent of transportation capacity availability.</w:t>
      </w:r>
    </w:p>
    <w:p>
      <w:pPr>
        <w:spacing w:after="0" w:line="10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Certain expansionary oil pipeline projects have the potential to both drive incremental demand for mobile assets and to improve take-away capacity for Canadian oil sands producers over the longer term. The Enbridge Line 3 replacement project was completed at the end of 2021 and the Trans Mountain Pipeline (TMX) is currently under construction and approximately 50% complete. The Canadian federal government acquired the TMX pipeline in 2018, approved the expansion of the project and is currently working through a revised construction timeline to adjust for recent delays related to legal challenges, the COVID-19 pandemic, flooding along certain sections of the pipeline corridor and seasonal wildfires. As a result, the TMX pipeline construction has been delayed, and there is a risk that there are more delays to come. Recent legal issues between the Canadian government and First Nation groups have been resolved for the time being and construction has resumed.</w:t>
      </w:r>
    </w:p>
    <w:p>
      <w:pPr>
        <w:spacing w:after="0" w:line="117"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WCS prices in the first quarter of 2022 averaged $82.04 per barrel compared to an average of $46.28 in the first quarter of 2021. The WCS Differential decreased from $14.12 per barrel at the end of the fourth quarter of 2021 to $10.78 at the end of the first quarter of 2022. As of April 25, 2022, the WTI price was $99.54 and the WCS price was $86.62, resulting in a WCS Differential of $12.92.</w:t>
      </w:r>
    </w:p>
    <w:p>
      <w:pPr>
        <w:spacing w:after="0" w:line="106"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Together with the initial spread of COVID-19, depressed price levels of both WTI and WCS materially impacted 2020 maintenance and production spending and activity by Canadian operators and, therefore, demand for our hospitality services. Customers began increasing production activity in the fourth quarter of 2020, throughout 2021 and into the first three months of 2022. While oil prices have recently increased to multi-year highs, there is continued uncertainty around commodity price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220"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levels, including the impact of COVID-19 and regulatory complications on such prices, which could cause our Canadian oil sands and pipeline customers to reduce production, delay expansionary and maintenance spending and defer additional investments in their oil sands assets.</w:t>
      </w:r>
    </w:p>
    <w:p>
      <w:pPr>
        <w:spacing w:after="0" w:line="92"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b w:val="1"/>
          <w:bCs w:val="1"/>
          <w:i w:val="1"/>
          <w:iCs w:val="1"/>
          <w:color w:val="auto"/>
        </w:rPr>
        <w:t xml:space="preserve">British Columbia, Canada. </w:t>
      </w:r>
      <w:r>
        <w:rPr>
          <w:rFonts w:ascii="Arial" w:cs="Arial" w:eastAsia="Arial" w:hAnsi="Arial"/>
          <w:sz w:val="16"/>
          <w:szCs w:val="16"/>
          <w:color w:val="auto"/>
        </w:rPr>
        <w:t>Our Sitka Lodge supports the LNG Canada project and related pipeline projects (see discussion below). From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macroeconomic standpoint, LNG demand continued to grow despite the spread of COVID-19, reinforcing the need for the global LNG industry to expand access to natural gas. Evolving government energy policies around the world have amplified support for cleaner energy supply, creating more opportunities for natural gas and LNG. The conflict between Russia and Ukraine has further highlighted the need for secure natural gas supply globally, particularly in Europe. Accordingly, additional investment in LNG supply will be needed to meet the resulting expected long-term LNG demand growth.</w:t>
      </w:r>
    </w:p>
    <w:p>
      <w:pPr>
        <w:spacing w:after="0" w:line="100"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color w:val="auto"/>
        </w:rPr>
        <w:t>Currently, Western Canada does not have any operational LNG export facilities. LNG Canada (LNGC), a joint venture among Shell Canada Energy, an affiliate of Royal Dutch Shell plc (40 percent), and affiliates of PETRONAS, through its wholly-owned entity, North Montney LNG Limited Partnership (25 percent), PetroChina (15 percent), Mitsubishi Corporation (15 percent) and Korea Gas Corporation (5 percent), is currently constructing a liquefaction and export facility in Kitimat, British Columbia (Kitimat LNG Facility). British Columbia LNG activity and related pipeline projects are a material driver of activity for our Sitka Lodge, as well as for our mobile assets, which are contracted to serve several portions of the related pipeline construction activity. The actual timing of when revenue is realized from the Coastal GasLink (CGL) pipeline and Sitka Lodge contracts could be impacted by any delays in the construction of the Kitimat LNG Facility or the pipeline, such as protest blockades or COVID-19. Our current expectation is that our contracted commitments associated with the CGL pipeline project will be completed in the second half of 2022 or early 2023.</w:t>
      </w:r>
    </w:p>
    <w:p>
      <w:pPr>
        <w:spacing w:after="0" w:line="90"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In late March 2020, LNGC announced steps being taken to reduce the spread of COVID-19, including reduction of the workforce at the project site to essential personnel only. In late December 2020, British Columbia’s public health officer issued a health order limiting workforce size at all large industrial projects across the province, including LNGC. These actions resulted in reduced occupancy at our Sitka Lodge beginning in the second quarter of 2020. British Columbia's public health order was phased out in the second quarter of 2021. It was replaced with less restrictive requirements focused on monitoring, allowing workforces to return to their optimal sizes, which increased occupancy at our Sitka Lodge in the second half of 2021 and into 2022.</w:t>
      </w:r>
    </w:p>
    <w:p>
      <w:pPr>
        <w:spacing w:after="0" w:line="100"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In Australia, 82% of our rooms are located in the Bowen Basin of Queensland, Australia and primarily serve met coal mines in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region. Met coal pricing and production growth in the Bowen Basin region is predominantly influenced by the levels of global steel production, which decreased by 6.8% during the first three months of 2022 compared to the same period of 2021 but remained at high levels. As of April 25, 2022, met coal spot prices were $480 per metric tonne. Long-term demand for steel is expected to be driven by global infrastructure spending and increased steel consumption per capita in developing economies, such as China and India, whose current consumption per capita is a fraction of developed countries.</w:t>
      </w:r>
    </w:p>
    <w:p>
      <w:pPr>
        <w:spacing w:after="0" w:line="10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The Chinese embargo on Australian coal continues, without any resolution foreseeable in the near term. However, Australian met coal producers have found new markets, including India and Europe, for their premium product. This led to a rebalancing of the market globally in 2021, with China relying on domestic production along with increased met coal imports from the U.S., Canada and Mongolia. With the backdrop of continuing strong steel demand and met coal supply constraints, the spot price for met coal surged to record highs through the second half of 2021 into early 2022. While met coal prices have receded from their all-time highs, they still remain over $400 per tonne. Analysts expect elevated met coal prices to persist in the short-term but to moderate and decline further over the medium term if supply and demand issues are resolved. If the trade impasse with China remains unresolved and the Ukraine conflict continues, there remains a possibility of further volatility in the short to medium term.</w:t>
      </w:r>
    </w:p>
    <w:p>
      <w:pPr>
        <w:spacing w:after="0" w:line="20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Civeo's activity in Western Australia is driven primarily by iron ore production, which is a key steel-making ingredient. Iron ore prices experienced strong support through the first half of 2021, with prices reaching in excess of $200 US per metric tonne by mid year due to high demand for steel used for infrastructure and increased manufacturing activity in China. Through the second half of 2021, with forced cuts in Chinese steel production along with weaker demand, prices retreated. As of April 25, 2022, iron ore spot prices were $126.38 per metric tonne, which reflects a sustained improvement in prices early in 2022 with tighter supply and strong demand. Higher iron production is expected to continue through 2022 and along with constrained supply, analysts are forecasting an average iron ore price of $135-$150 per metric tonne for 2022. Despite some constraint in supply, Australian iron ore exports in 2022 are forecast to exceed both 2020 and 2021 volumes.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220"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b w:val="1"/>
          <w:bCs w:val="1"/>
          <w:i w:val="1"/>
          <w:iCs w:val="1"/>
          <w:color w:val="auto"/>
        </w:rPr>
        <w:t xml:space="preserve">U.S. </w:t>
      </w:r>
      <w:r>
        <w:rPr>
          <w:rFonts w:ascii="Arial" w:cs="Arial" w:eastAsia="Arial" w:hAnsi="Arial"/>
          <w:sz w:val="17"/>
          <w:szCs w:val="17"/>
          <w:color w:val="auto"/>
        </w:rPr>
        <w:t>Our U.S. business supports oil shale drilling and completion activity and is primarily tied to WTI oil prices in the U.S. shale formations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Permian Basin, the Mid-Continent, the Bakken and the Rockies. In 2020, the U.S. oil rig count and associated completion activity decreased due to COVID-19 and the global oil price decline discussed above. Only 267 oil rigs were active at the end of 2020. With the recovery of oil prices, oil rig count and drilling activity have recovered substantially, with 531 oil rigs active at the end of the first quarter 2022. The Permian Basin remains the most active U.S. unconventional play, representing 60% of the oil rigs active in the U.S. at the end of the first quarter of 2022. The increase in the U.S. rig count and oil prices has only resulted in slight increases to U.S. oil production from an average of 11.3 million barrels per day in 2021 to an average of 11.4 million barrels per day at the end of January 2022. As of April 22, 2022, there were 549 active oil rigs in the U.S. (as measured by Bakerhughes.com). U.S. oil shale drilling and completion activity will continue to be impacted by higher WTI oil prices, pipeline capacity, federal energy policies and availability of capital to support exploration and production (E&amp;P) drilling and completion plans. In addition, consolidation among our E&amp;P customer base in the U.S. has historically created short-term spending and activity dislocations. Should the current trend of industry consolidation continue, we may see activity, utilization and occupancy declines in the near term.</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Recent Commodity Prices. </w:t>
      </w:r>
      <w:r>
        <w:rPr>
          <w:rFonts w:ascii="Arial" w:cs="Arial" w:eastAsia="Arial" w:hAnsi="Arial"/>
          <w:sz w:val="17"/>
          <w:szCs w:val="17"/>
          <w:color w:val="auto"/>
        </w:rPr>
        <w:t>Recent WTI crude, WCS crude, met coal and iron ore pricing trends are as follows:</w:t>
      </w:r>
    </w:p>
    <w:p>
      <w:pPr>
        <w:spacing w:after="0" w:line="232" w:lineRule="exact"/>
        <w:rPr>
          <w:sz w:val="20"/>
          <w:szCs w:val="20"/>
          <w:color w:val="auto"/>
        </w:rPr>
      </w:pPr>
    </w:p>
    <w:tbl>
      <w:tblPr>
        <w:tblLayout w:type="fixed"/>
        <w:tblInd w:w="380" w:type="dxa"/>
        <w:tblCellMar>
          <w:top w:w="0" w:type="dxa"/>
          <w:left w:w="0" w:type="dxa"/>
          <w:bottom w:w="0" w:type="dxa"/>
          <w:right w:w="0" w:type="dxa"/>
        </w:tblCellMar>
      </w:tblPr>
      <w:tr>
        <w:trPr>
          <w:trHeight w:val="253"/>
        </w:trPr>
        <w:tc>
          <w:tcPr>
            <w:tcW w:w="3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4"/>
          </w:tcPr>
          <w:p>
            <w:pPr>
              <w:ind w:left="860"/>
              <w:spacing w:after="0"/>
              <w:rPr>
                <w:sz w:val="20"/>
                <w:szCs w:val="20"/>
                <w:color w:val="auto"/>
              </w:rPr>
            </w:pPr>
            <w:r>
              <w:rPr>
                <w:rFonts w:ascii="Arial" w:cs="Arial" w:eastAsia="Arial" w:hAnsi="Arial"/>
                <w:sz w:val="17"/>
                <w:szCs w:val="17"/>
                <w:color w:val="auto"/>
              </w:rPr>
              <w:t xml:space="preserve">Average Price </w:t>
            </w:r>
            <w:r>
              <w:rPr>
                <w:rFonts w:ascii="Arial" w:cs="Arial" w:eastAsia="Arial" w:hAnsi="Arial"/>
                <w:sz w:val="22"/>
                <w:szCs w:val="22"/>
                <w:color w:val="auto"/>
                <w:vertAlign w:val="superscript"/>
              </w:rPr>
              <w:t>(1)</w:t>
            </w:r>
          </w:p>
        </w:tc>
        <w:tc>
          <w:tcPr>
            <w:tcW w:w="1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4"/>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restart"/>
          </w:tcPr>
          <w:p>
            <w:pPr>
              <w:ind w:left="440"/>
              <w:spacing w:after="0"/>
              <w:rPr>
                <w:sz w:val="20"/>
                <w:szCs w:val="20"/>
                <w:color w:val="auto"/>
              </w:rPr>
            </w:pPr>
            <w:r>
              <w:rPr>
                <w:rFonts w:ascii="Arial" w:cs="Arial" w:eastAsia="Arial" w:hAnsi="Arial"/>
                <w:sz w:val="17"/>
                <w:szCs w:val="17"/>
                <w:color w:val="auto"/>
              </w:rPr>
              <w:t>WTI</w:t>
            </w:r>
          </w:p>
        </w:tc>
        <w:tc>
          <w:tcPr>
            <w:tcW w:w="1660" w:type="dxa"/>
            <w:vAlign w:val="bottom"/>
            <w:gridSpan w:val="2"/>
            <w:vMerge w:val="restart"/>
          </w:tcPr>
          <w:p>
            <w:pPr>
              <w:ind w:left="420"/>
              <w:spacing w:after="0"/>
              <w:rPr>
                <w:sz w:val="20"/>
                <w:szCs w:val="20"/>
                <w:color w:val="auto"/>
              </w:rPr>
            </w:pPr>
            <w:r>
              <w:rPr>
                <w:rFonts w:ascii="Arial" w:cs="Arial" w:eastAsia="Arial" w:hAnsi="Arial"/>
                <w:sz w:val="17"/>
                <w:szCs w:val="17"/>
                <w:color w:val="auto"/>
              </w:rPr>
              <w:t>WCS</w:t>
            </w:r>
          </w:p>
        </w:tc>
        <w:tc>
          <w:tcPr>
            <w:tcW w:w="1660" w:type="dxa"/>
            <w:vAlign w:val="bottom"/>
            <w:gridSpan w:val="2"/>
          </w:tcPr>
          <w:p>
            <w:pPr>
              <w:ind w:left="440"/>
              <w:spacing w:after="0" w:line="164" w:lineRule="exact"/>
              <w:rPr>
                <w:sz w:val="20"/>
                <w:szCs w:val="20"/>
                <w:color w:val="auto"/>
              </w:rPr>
            </w:pPr>
            <w:r>
              <w:rPr>
                <w:rFonts w:ascii="Arial" w:cs="Arial" w:eastAsia="Arial" w:hAnsi="Arial"/>
                <w:sz w:val="17"/>
                <w:szCs w:val="17"/>
                <w:color w:val="auto"/>
              </w:rPr>
              <w:t>Hard</w:t>
            </w:r>
          </w:p>
        </w:tc>
        <w:tc>
          <w:tcPr>
            <w:tcW w:w="1560" w:type="dxa"/>
            <w:vAlign w:val="bottom"/>
            <w:vMerge w:val="restart"/>
          </w:tcPr>
          <w:p>
            <w:pPr>
              <w:jc w:val="right"/>
              <w:ind w:right="713"/>
              <w:spacing w:after="0"/>
              <w:rPr>
                <w:sz w:val="20"/>
                <w:szCs w:val="20"/>
                <w:color w:val="auto"/>
              </w:rPr>
            </w:pPr>
            <w:r>
              <w:rPr>
                <w:rFonts w:ascii="Arial" w:cs="Arial" w:eastAsia="Arial" w:hAnsi="Arial"/>
                <w:sz w:val="17"/>
                <w:szCs w:val="17"/>
                <w:color w:val="auto"/>
              </w:rPr>
              <w:t>Iron</w:t>
            </w:r>
          </w:p>
        </w:tc>
        <w:tc>
          <w:tcPr>
            <w:tcW w:w="0" w:type="dxa"/>
            <w:vAlign w:val="bottom"/>
          </w:tcPr>
          <w:p>
            <w:pPr>
              <w:spacing w:after="0"/>
              <w:rPr>
                <w:sz w:val="1"/>
                <w:szCs w:val="1"/>
                <w:color w:val="auto"/>
              </w:rPr>
            </w:pPr>
          </w:p>
        </w:tc>
      </w:tr>
      <w:tr>
        <w:trPr>
          <w:trHeight w:val="170"/>
        </w:trPr>
        <w:tc>
          <w:tcPr>
            <w:tcW w:w="3160" w:type="dxa"/>
            <w:vAlign w:val="bottom"/>
            <w:vMerge w:val="restart"/>
          </w:tcPr>
          <w:p>
            <w:pPr>
              <w:jc w:val="center"/>
              <w:spacing w:after="0"/>
              <w:rPr>
                <w:sz w:val="20"/>
                <w:szCs w:val="20"/>
                <w:color w:val="auto"/>
              </w:rPr>
            </w:pPr>
            <w:r>
              <w:rPr>
                <w:rFonts w:ascii="Arial" w:cs="Arial" w:eastAsia="Arial" w:hAnsi="Arial"/>
                <w:sz w:val="17"/>
                <w:szCs w:val="17"/>
                <w:color w:val="auto"/>
                <w:w w:val="90"/>
              </w:rPr>
              <w:t>Quarter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660" w:type="dxa"/>
            <w:vAlign w:val="bottom"/>
            <w:gridSpan w:val="2"/>
          </w:tcPr>
          <w:p>
            <w:pPr>
              <w:ind w:left="300"/>
              <w:spacing w:after="0" w:line="171" w:lineRule="exact"/>
              <w:rPr>
                <w:sz w:val="20"/>
                <w:szCs w:val="20"/>
                <w:color w:val="auto"/>
              </w:rPr>
            </w:pPr>
            <w:r>
              <w:rPr>
                <w:rFonts w:ascii="Arial" w:cs="Arial" w:eastAsia="Arial" w:hAnsi="Arial"/>
                <w:sz w:val="17"/>
                <w:szCs w:val="17"/>
                <w:color w:val="auto"/>
              </w:rPr>
              <w:t>Coking Coal</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2"/>
          </w:tcPr>
          <w:p>
            <w:pPr>
              <w:ind w:left="560"/>
              <w:spacing w:after="0" w:line="171" w:lineRule="exact"/>
              <w:rPr>
                <w:sz w:val="20"/>
                <w:szCs w:val="20"/>
                <w:color w:val="auto"/>
              </w:rPr>
            </w:pPr>
            <w:r>
              <w:rPr>
                <w:rFonts w:ascii="Arial" w:cs="Arial" w:eastAsia="Arial" w:hAnsi="Arial"/>
                <w:sz w:val="17"/>
                <w:szCs w:val="17"/>
                <w:color w:val="auto"/>
              </w:rPr>
              <w:t>Crude</w:t>
            </w:r>
          </w:p>
        </w:tc>
        <w:tc>
          <w:tcPr>
            <w:tcW w:w="1660" w:type="dxa"/>
            <w:vAlign w:val="bottom"/>
            <w:gridSpan w:val="2"/>
          </w:tcPr>
          <w:p>
            <w:pPr>
              <w:jc w:val="center"/>
              <w:ind w:right="120"/>
              <w:spacing w:after="0" w:line="171" w:lineRule="exact"/>
              <w:rPr>
                <w:sz w:val="20"/>
                <w:szCs w:val="20"/>
                <w:color w:val="auto"/>
              </w:rPr>
            </w:pPr>
            <w:r>
              <w:rPr>
                <w:rFonts w:ascii="Arial" w:cs="Arial" w:eastAsia="Arial" w:hAnsi="Arial"/>
                <w:sz w:val="17"/>
                <w:szCs w:val="17"/>
                <w:color w:val="auto"/>
                <w:w w:val="90"/>
              </w:rPr>
              <w:t>Crude</w:t>
            </w:r>
          </w:p>
        </w:tc>
        <w:tc>
          <w:tcPr>
            <w:tcW w:w="1660" w:type="dxa"/>
            <w:vAlign w:val="bottom"/>
            <w:gridSpan w:val="2"/>
          </w:tcPr>
          <w:p>
            <w:pPr>
              <w:ind w:left="380"/>
              <w:spacing w:after="0" w:line="171" w:lineRule="exact"/>
              <w:rPr>
                <w:sz w:val="20"/>
                <w:szCs w:val="20"/>
                <w:color w:val="auto"/>
              </w:rPr>
            </w:pPr>
            <w:r>
              <w:rPr>
                <w:rFonts w:ascii="Arial" w:cs="Arial" w:eastAsia="Arial" w:hAnsi="Arial"/>
                <w:sz w:val="17"/>
                <w:szCs w:val="17"/>
                <w:color w:val="auto"/>
              </w:rPr>
              <w:t>(Met Coal)</w:t>
            </w:r>
          </w:p>
        </w:tc>
        <w:tc>
          <w:tcPr>
            <w:tcW w:w="1560" w:type="dxa"/>
            <w:vAlign w:val="bottom"/>
          </w:tcPr>
          <w:p>
            <w:pPr>
              <w:jc w:val="right"/>
              <w:ind w:right="573"/>
              <w:spacing w:after="0" w:line="171" w:lineRule="exact"/>
              <w:rPr>
                <w:sz w:val="20"/>
                <w:szCs w:val="20"/>
                <w:color w:val="auto"/>
              </w:rPr>
            </w:pPr>
            <w:r>
              <w:rPr>
                <w:rFonts w:ascii="Arial" w:cs="Arial" w:eastAsia="Arial" w:hAnsi="Arial"/>
                <w:sz w:val="17"/>
                <w:szCs w:val="17"/>
                <w:color w:val="auto"/>
              </w:rPr>
              <w:t>Ore</w:t>
            </w:r>
          </w:p>
        </w:tc>
        <w:tc>
          <w:tcPr>
            <w:tcW w:w="0" w:type="dxa"/>
            <w:vAlign w:val="bottom"/>
          </w:tcPr>
          <w:p>
            <w:pPr>
              <w:spacing w:after="0"/>
              <w:rPr>
                <w:sz w:val="1"/>
                <w:szCs w:val="1"/>
                <w:color w:val="auto"/>
              </w:rPr>
            </w:pPr>
          </w:p>
        </w:tc>
      </w:tr>
      <w:tr>
        <w:trPr>
          <w:trHeight w:val="222"/>
        </w:trPr>
        <w:tc>
          <w:tcPr>
            <w:tcW w:w="3160" w:type="dxa"/>
            <w:vAlign w:val="bottom"/>
          </w:tcPr>
          <w:p>
            <w:pPr>
              <w:ind w:left="1560"/>
              <w:spacing w:after="0"/>
              <w:rPr>
                <w:sz w:val="20"/>
                <w:szCs w:val="20"/>
                <w:color w:val="auto"/>
              </w:rPr>
            </w:pPr>
            <w:r>
              <w:rPr>
                <w:rFonts w:ascii="Arial" w:cs="Arial" w:eastAsia="Arial" w:hAnsi="Arial"/>
                <w:sz w:val="17"/>
                <w:szCs w:val="17"/>
                <w:color w:val="auto"/>
              </w:rPr>
              <w:t>ended</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7"/>
                <w:szCs w:val="17"/>
                <w:color w:val="auto"/>
              </w:rPr>
              <w:t>(per bbl)</w:t>
            </w:r>
          </w:p>
        </w:tc>
        <w:tc>
          <w:tcPr>
            <w:tcW w:w="1660" w:type="dxa"/>
            <w:vAlign w:val="bottom"/>
            <w:gridSpan w:val="2"/>
          </w:tcPr>
          <w:p>
            <w:pPr>
              <w:jc w:val="center"/>
              <w:ind w:right="120"/>
              <w:spacing w:after="0"/>
              <w:rPr>
                <w:sz w:val="20"/>
                <w:szCs w:val="20"/>
                <w:color w:val="auto"/>
              </w:rPr>
            </w:pPr>
            <w:r>
              <w:rPr>
                <w:rFonts w:ascii="Arial" w:cs="Arial" w:eastAsia="Arial" w:hAnsi="Arial"/>
                <w:sz w:val="17"/>
                <w:szCs w:val="17"/>
                <w:color w:val="auto"/>
                <w:w w:val="97"/>
              </w:rPr>
              <w:t>(per bbl)</w:t>
            </w:r>
          </w:p>
        </w:tc>
        <w:tc>
          <w:tcPr>
            <w:tcW w:w="1660" w:type="dxa"/>
            <w:vAlign w:val="bottom"/>
            <w:gridSpan w:val="2"/>
          </w:tcPr>
          <w:p>
            <w:pPr>
              <w:ind w:left="380"/>
              <w:spacing w:after="0"/>
              <w:rPr>
                <w:sz w:val="20"/>
                <w:szCs w:val="20"/>
                <w:color w:val="auto"/>
              </w:rPr>
            </w:pPr>
            <w:r>
              <w:rPr>
                <w:rFonts w:ascii="Arial" w:cs="Arial" w:eastAsia="Arial" w:hAnsi="Arial"/>
                <w:sz w:val="17"/>
                <w:szCs w:val="17"/>
                <w:color w:val="auto"/>
              </w:rPr>
              <w:t>(per tonne)</w:t>
            </w:r>
          </w:p>
        </w:tc>
        <w:tc>
          <w:tcPr>
            <w:tcW w:w="1560" w:type="dxa"/>
            <w:vAlign w:val="bottom"/>
          </w:tcPr>
          <w:p>
            <w:pPr>
              <w:jc w:val="right"/>
              <w:ind w:right="313"/>
              <w:spacing w:after="0"/>
              <w:rPr>
                <w:sz w:val="20"/>
                <w:szCs w:val="20"/>
                <w:color w:val="auto"/>
              </w:rPr>
            </w:pPr>
            <w:r>
              <w:rPr>
                <w:rFonts w:ascii="Arial" w:cs="Arial" w:eastAsia="Arial" w:hAnsi="Arial"/>
                <w:sz w:val="17"/>
                <w:szCs w:val="17"/>
                <w:color w:val="auto"/>
              </w:rPr>
              <w:t>(per tonne)</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3"/>
              </w:rPr>
              <w:t>Second Quarter through April 25, 2022</w:t>
            </w:r>
          </w:p>
        </w:tc>
        <w:tc>
          <w:tcPr>
            <w:tcW w:w="3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101.36$</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88.55$</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475.20$</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140.72</w:t>
            </w:r>
          </w:p>
        </w:tc>
        <w:tc>
          <w:tcPr>
            <w:tcW w:w="0" w:type="dxa"/>
            <w:vAlign w:val="bottom"/>
          </w:tcPr>
          <w:p>
            <w:pPr>
              <w:spacing w:after="0"/>
              <w:rPr>
                <w:sz w:val="1"/>
                <w:szCs w:val="1"/>
                <w:color w:val="auto"/>
              </w:rPr>
            </w:pPr>
          </w:p>
        </w:tc>
      </w:tr>
      <w:tr>
        <w:trPr>
          <w:trHeight w:val="222"/>
        </w:trPr>
        <w:tc>
          <w:tcPr>
            <w:tcW w:w="3160" w:type="dxa"/>
            <w:vAlign w:val="bottom"/>
          </w:tcPr>
          <w:p>
            <w:pPr>
              <w:jc w:val="center"/>
              <w:spacing w:after="0"/>
              <w:rPr>
                <w:sz w:val="20"/>
                <w:szCs w:val="20"/>
                <w:color w:val="auto"/>
              </w:rPr>
            </w:pPr>
            <w:r>
              <w:rPr>
                <w:rFonts w:ascii="Arial" w:cs="Arial" w:eastAsia="Arial" w:hAnsi="Arial"/>
                <w:sz w:val="17"/>
                <w:szCs w:val="17"/>
                <w:color w:val="auto"/>
                <w:w w:val="95"/>
              </w:rPr>
              <w:t>3/31/2022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95.17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82.04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474.83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129.46</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12/31/2021</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104.88</w:t>
            </w:r>
          </w:p>
        </w:tc>
        <w:tc>
          <w:tcPr>
            <w:tcW w:w="0" w:type="dxa"/>
            <w:vAlign w:val="bottom"/>
          </w:tcPr>
          <w:p>
            <w:pPr>
              <w:spacing w:after="0"/>
              <w:rPr>
                <w:sz w:val="1"/>
                <w:szCs w:val="1"/>
                <w:color w:val="auto"/>
              </w:rPr>
            </w:pPr>
          </w:p>
        </w:tc>
      </w:tr>
      <w:tr>
        <w:trPr>
          <w:trHeight w:val="222"/>
        </w:trPr>
        <w:tc>
          <w:tcPr>
            <w:tcW w:w="3160" w:type="dxa"/>
            <w:vAlign w:val="bottom"/>
          </w:tcPr>
          <w:p>
            <w:pPr>
              <w:jc w:val="center"/>
              <w:spacing w:after="0"/>
              <w:rPr>
                <w:sz w:val="20"/>
                <w:szCs w:val="20"/>
                <w:color w:val="auto"/>
              </w:rPr>
            </w:pPr>
            <w:r>
              <w:rPr>
                <w:rFonts w:ascii="Arial" w:cs="Arial" w:eastAsia="Arial" w:hAnsi="Arial"/>
                <w:sz w:val="17"/>
                <w:szCs w:val="17"/>
                <w:color w:val="auto"/>
                <w:w w:val="95"/>
              </w:rPr>
              <w:t>9/30/2021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70.54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57.58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258.41</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164.90</w:t>
            </w:r>
          </w:p>
        </w:tc>
        <w:tc>
          <w:tcPr>
            <w:tcW w:w="0" w:type="dxa"/>
            <w:vAlign w:val="bottom"/>
          </w:tcPr>
          <w:p>
            <w:pPr>
              <w:spacing w:after="0"/>
              <w:rPr>
                <w:sz w:val="1"/>
                <w:szCs w:val="1"/>
                <w:color w:val="auto"/>
              </w:rPr>
            </w:pPr>
          </w:p>
        </w:tc>
      </w:tr>
      <w:tr>
        <w:trPr>
          <w:trHeight w:val="223"/>
        </w:trPr>
        <w:tc>
          <w:tcPr>
            <w:tcW w:w="3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6/30/2021</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195.97</w:t>
            </w:r>
          </w:p>
        </w:tc>
        <w:tc>
          <w:tcPr>
            <w:tcW w:w="0" w:type="dxa"/>
            <w:vAlign w:val="bottom"/>
          </w:tcPr>
          <w:p>
            <w:pPr>
              <w:spacing w:after="0"/>
              <w:rPr>
                <w:sz w:val="1"/>
                <w:szCs w:val="1"/>
                <w:color w:val="auto"/>
              </w:rPr>
            </w:pPr>
          </w:p>
        </w:tc>
      </w:tr>
      <w:tr>
        <w:trPr>
          <w:trHeight w:val="222"/>
        </w:trPr>
        <w:tc>
          <w:tcPr>
            <w:tcW w:w="3160" w:type="dxa"/>
            <w:vAlign w:val="bottom"/>
          </w:tcPr>
          <w:p>
            <w:pPr>
              <w:jc w:val="center"/>
              <w:spacing w:after="0"/>
              <w:rPr>
                <w:sz w:val="20"/>
                <w:szCs w:val="20"/>
                <w:color w:val="auto"/>
              </w:rPr>
            </w:pPr>
            <w:r>
              <w:rPr>
                <w:rFonts w:ascii="Arial" w:cs="Arial" w:eastAsia="Arial" w:hAnsi="Arial"/>
                <w:sz w:val="17"/>
                <w:szCs w:val="17"/>
                <w:color w:val="auto"/>
                <w:w w:val="95"/>
              </w:rPr>
              <w:t>3/31/2021</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58.13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46.28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127.95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159.83</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940" w:hanging="306"/>
        <w:spacing w:after="0" w:line="224" w:lineRule="auto"/>
        <w:tabs>
          <w:tab w:leader="none" w:pos="928"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Source: WTI crude prices are from U.S. Energy Information Administration (EIA), WCS crude prices and iron ore prices are from Bloomberg and hard coking coal prices are from IHS Markit.</w:t>
      </w:r>
    </w:p>
    <w:p>
      <w:pPr>
        <w:spacing w:after="0" w:line="220"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b w:val="1"/>
          <w:bCs w:val="1"/>
          <w:color w:val="auto"/>
        </w:rPr>
        <w:t xml:space="preserve">Foreign Currency Exchange Rates. </w:t>
      </w:r>
      <w:r>
        <w:rPr>
          <w:rFonts w:ascii="Arial" w:cs="Arial" w:eastAsia="Arial" w:hAnsi="Arial"/>
          <w:sz w:val="17"/>
          <w:szCs w:val="17"/>
          <w:color w:val="auto"/>
        </w:rPr>
        <w:t>Exchange rates between the U.S. dollar and each of the Canadian dollar and the Australian dollar influence our U.S.</w:t>
      </w:r>
      <w:r>
        <w:rPr>
          <w:rFonts w:ascii="Arial" w:cs="Arial" w:eastAsia="Arial" w:hAnsi="Arial"/>
          <w:sz w:val="17"/>
          <w:szCs w:val="17"/>
          <w:b w:val="1"/>
          <w:bCs w:val="1"/>
          <w:color w:val="auto"/>
        </w:rPr>
        <w:t xml:space="preserve"> </w:t>
      </w:r>
      <w:r>
        <w:rPr>
          <w:rFonts w:ascii="Arial" w:cs="Arial" w:eastAsia="Arial" w:hAnsi="Arial"/>
          <w:sz w:val="17"/>
          <w:szCs w:val="17"/>
          <w:color w:val="auto"/>
        </w:rPr>
        <w:t>dollar reported financial results. Our business has historically derived the vast majority of its revenues and operating income (loss) in Canada and Australia. These revenues and profits/losses are translated into U.S. dollars for U.S. GAAP financial reporting purposes. The following tables summarize the fluctuations in the exchange rates between the U.S. dollar and each of the Canadian dollar and the Australian dollar:</w:t>
      </w:r>
    </w:p>
    <w:p>
      <w:pPr>
        <w:spacing w:after="0" w:line="57" w:lineRule="exact"/>
        <w:rPr>
          <w:sz w:val="20"/>
          <w:szCs w:val="20"/>
          <w:color w:val="auto"/>
        </w:rPr>
      </w:pPr>
    </w:p>
    <w:tbl>
      <w:tblPr>
        <w:tblLayout w:type="fixed"/>
        <w:tblInd w:w="2660" w:type="dxa"/>
        <w:tblCellMar>
          <w:top w:w="0" w:type="dxa"/>
          <w:left w:w="0" w:type="dxa"/>
          <w:bottom w:w="0" w:type="dxa"/>
          <w:right w:w="0" w:type="dxa"/>
        </w:tblCellMar>
      </w:tblPr>
      <w:tr>
        <w:trPr>
          <w:trHeight w:val="195"/>
        </w:trPr>
        <w:tc>
          <w:tcPr>
            <w:tcW w:w="1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ind w:left="620"/>
              <w:spacing w:after="0"/>
              <w:rPr>
                <w:sz w:val="20"/>
                <w:szCs w:val="20"/>
                <w:color w:val="auto"/>
              </w:rPr>
            </w:pPr>
            <w:r>
              <w:rPr>
                <w:rFonts w:ascii="Arial" w:cs="Arial" w:eastAsia="Arial" w:hAnsi="Arial"/>
                <w:sz w:val="17"/>
                <w:szCs w:val="17"/>
                <w:b w:val="1"/>
                <w:bCs w:val="1"/>
                <w:color w:val="auto"/>
                <w:w w:val="95"/>
              </w:rPr>
              <w:t>Three Months Ended</w:t>
            </w: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ind w:left="800"/>
              <w:spacing w:after="0"/>
              <w:rPr>
                <w:sz w:val="20"/>
                <w:szCs w:val="20"/>
                <w:color w:val="auto"/>
              </w:rPr>
            </w:pPr>
            <w:r>
              <w:rPr>
                <w:rFonts w:ascii="Arial" w:cs="Arial" w:eastAsia="Arial" w:hAnsi="Arial"/>
                <w:sz w:val="17"/>
                <w:szCs w:val="17"/>
                <w:b w:val="1"/>
                <w:bCs w:val="1"/>
                <w:color w:val="auto"/>
                <w:w w:val="96"/>
              </w:rPr>
              <w:t>March 31,</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8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ind w:left="376"/>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center"/>
              <w:ind w:left="374"/>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5"/>
              </w:rPr>
              <w:t>Change</w:t>
            </w:r>
          </w:p>
        </w:tc>
        <w:tc>
          <w:tcPr>
            <w:tcW w:w="1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154"/>
        </w:trPr>
        <w:tc>
          <w:tcPr>
            <w:tcW w:w="1820" w:type="dxa"/>
            <w:vAlign w:val="bottom"/>
            <w:shd w:val="clear" w:color="auto" w:fill="CCEEFF"/>
          </w:tcPr>
          <w:p>
            <w:pPr>
              <w:ind w:left="480"/>
              <w:spacing w:after="0" w:line="154" w:lineRule="exact"/>
              <w:rPr>
                <w:sz w:val="20"/>
                <w:szCs w:val="20"/>
                <w:color w:val="auto"/>
              </w:rPr>
            </w:pPr>
            <w:r>
              <w:rPr>
                <w:rFonts w:ascii="Arial" w:cs="Arial" w:eastAsia="Arial" w:hAnsi="Arial"/>
                <w:sz w:val="17"/>
                <w:szCs w:val="17"/>
                <w:color w:val="auto"/>
                <w:w w:val="93"/>
              </w:rPr>
              <w:t>Average Canadian</w:t>
            </w:r>
          </w:p>
        </w:tc>
        <w:tc>
          <w:tcPr>
            <w:tcW w:w="980" w:type="dxa"/>
            <w:vAlign w:val="bottom"/>
            <w:vMerge w:val="restart"/>
            <w:shd w:val="clear" w:color="auto" w:fill="CCEEFF"/>
          </w:tcPr>
          <w:p>
            <w:pPr>
              <w:jc w:val="center"/>
              <w:ind w:left="376"/>
              <w:spacing w:after="0"/>
              <w:rPr>
                <w:sz w:val="20"/>
                <w:szCs w:val="20"/>
                <w:color w:val="auto"/>
              </w:rPr>
            </w:pPr>
            <w:r>
              <w:rPr>
                <w:rFonts w:ascii="Arial" w:cs="Arial" w:eastAsia="Arial" w:hAnsi="Arial"/>
                <w:sz w:val="17"/>
                <w:szCs w:val="17"/>
                <w:color w:val="auto"/>
                <w:w w:val="92"/>
              </w:rPr>
              <w:t>$0.790</w:t>
            </w:r>
          </w:p>
        </w:tc>
        <w:tc>
          <w:tcPr>
            <w:tcW w:w="1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center"/>
              <w:ind w:left="374"/>
              <w:spacing w:after="0"/>
              <w:rPr>
                <w:sz w:val="20"/>
                <w:szCs w:val="20"/>
                <w:color w:val="auto"/>
              </w:rPr>
            </w:pPr>
            <w:r>
              <w:rPr>
                <w:rFonts w:ascii="Arial" w:cs="Arial" w:eastAsia="Arial" w:hAnsi="Arial"/>
                <w:sz w:val="17"/>
                <w:szCs w:val="17"/>
                <w:color w:val="auto"/>
                <w:w w:val="92"/>
              </w:rPr>
              <w:t>$0.790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40" w:type="dxa"/>
            <w:vAlign w:val="bottom"/>
            <w:vMerge w:val="restart"/>
            <w:shd w:val="clear" w:color="auto" w:fill="CCEEFF"/>
          </w:tcPr>
          <w:p>
            <w:pPr>
              <w:jc w:val="center"/>
              <w:ind w:left="356"/>
              <w:spacing w:after="0"/>
              <w:rPr>
                <w:sz w:val="20"/>
                <w:szCs w:val="20"/>
                <w:color w:val="auto"/>
              </w:rPr>
            </w:pPr>
            <w:r>
              <w:rPr>
                <w:rFonts w:ascii="Arial" w:cs="Arial" w:eastAsia="Arial" w:hAnsi="Arial"/>
                <w:sz w:val="17"/>
                <w:szCs w:val="17"/>
                <w:color w:val="auto"/>
                <w:w w:val="99"/>
              </w:rPr>
              <w:t>—%</w:t>
            </w:r>
          </w:p>
        </w:tc>
        <w:tc>
          <w:tcPr>
            <w:tcW w:w="0" w:type="dxa"/>
            <w:vAlign w:val="bottom"/>
          </w:tcPr>
          <w:p>
            <w:pPr>
              <w:spacing w:after="0"/>
              <w:rPr>
                <w:sz w:val="1"/>
                <w:szCs w:val="1"/>
                <w:color w:val="auto"/>
              </w:rPr>
            </w:pPr>
          </w:p>
        </w:tc>
      </w:tr>
      <w:tr>
        <w:trPr>
          <w:trHeight w:val="222"/>
        </w:trPr>
        <w:tc>
          <w:tcPr>
            <w:tcW w:w="1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dollar to U.S. dollar</w:t>
            </w: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1820" w:type="dxa"/>
            <w:vAlign w:val="bottom"/>
          </w:tcPr>
          <w:p>
            <w:pPr>
              <w:ind w:left="480"/>
              <w:spacing w:after="0" w:line="171" w:lineRule="exact"/>
              <w:rPr>
                <w:sz w:val="20"/>
                <w:szCs w:val="20"/>
                <w:color w:val="auto"/>
              </w:rPr>
            </w:pPr>
            <w:r>
              <w:rPr>
                <w:rFonts w:ascii="Arial" w:cs="Arial" w:eastAsia="Arial" w:hAnsi="Arial"/>
                <w:sz w:val="17"/>
                <w:szCs w:val="17"/>
                <w:color w:val="auto"/>
              </w:rPr>
              <w:t>Average</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20" w:type="dxa"/>
            <w:vAlign w:val="bottom"/>
          </w:tcPr>
          <w:p>
            <w:pPr>
              <w:ind w:left="20"/>
              <w:spacing w:after="0" w:line="171" w:lineRule="exact"/>
              <w:rPr>
                <w:sz w:val="20"/>
                <w:szCs w:val="20"/>
                <w:color w:val="auto"/>
              </w:rPr>
            </w:pPr>
            <w:r>
              <w:rPr>
                <w:rFonts w:ascii="Arial" w:cs="Arial" w:eastAsia="Arial" w:hAnsi="Arial"/>
                <w:sz w:val="17"/>
                <w:szCs w:val="17"/>
                <w:color w:val="auto"/>
                <w:w w:val="99"/>
              </w:rPr>
              <w:t>Australian dollar to U.S.</w:t>
            </w:r>
          </w:p>
        </w:tc>
        <w:tc>
          <w:tcPr>
            <w:tcW w:w="980" w:type="dxa"/>
            <w:vAlign w:val="bottom"/>
            <w:vMerge w:val="restart"/>
          </w:tcPr>
          <w:p>
            <w:pPr>
              <w:jc w:val="center"/>
              <w:ind w:left="376"/>
              <w:spacing w:after="0"/>
              <w:rPr>
                <w:sz w:val="20"/>
                <w:szCs w:val="20"/>
                <w:color w:val="auto"/>
              </w:rPr>
            </w:pPr>
            <w:r>
              <w:rPr>
                <w:rFonts w:ascii="Arial" w:cs="Arial" w:eastAsia="Arial" w:hAnsi="Arial"/>
                <w:sz w:val="17"/>
                <w:szCs w:val="17"/>
                <w:color w:val="auto"/>
                <w:w w:val="92"/>
              </w:rPr>
              <w:t>$0.724</w:t>
            </w:r>
          </w:p>
        </w:tc>
        <w:tc>
          <w:tcPr>
            <w:tcW w:w="120" w:type="dxa"/>
            <w:vAlign w:val="bottom"/>
          </w:tcPr>
          <w:p>
            <w:pPr>
              <w:spacing w:after="0"/>
              <w:rPr>
                <w:sz w:val="14"/>
                <w:szCs w:val="14"/>
                <w:color w:val="auto"/>
              </w:rPr>
            </w:pPr>
          </w:p>
        </w:tc>
        <w:tc>
          <w:tcPr>
            <w:tcW w:w="980" w:type="dxa"/>
            <w:vAlign w:val="bottom"/>
            <w:vMerge w:val="restart"/>
          </w:tcPr>
          <w:p>
            <w:pPr>
              <w:jc w:val="center"/>
              <w:ind w:left="374"/>
              <w:spacing w:after="0"/>
              <w:rPr>
                <w:sz w:val="20"/>
                <w:szCs w:val="20"/>
                <w:color w:val="auto"/>
              </w:rPr>
            </w:pPr>
            <w:r>
              <w:rPr>
                <w:rFonts w:ascii="Arial" w:cs="Arial" w:eastAsia="Arial" w:hAnsi="Arial"/>
                <w:sz w:val="17"/>
                <w:szCs w:val="17"/>
                <w:color w:val="auto"/>
                <w:w w:val="92"/>
              </w:rPr>
              <w:t>$0.773</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7"/>
                <w:szCs w:val="17"/>
                <w:color w:val="auto"/>
                <w:w w:val="92"/>
              </w:rPr>
              <w:t>($0.05)</w:t>
            </w:r>
          </w:p>
        </w:tc>
        <w:tc>
          <w:tcPr>
            <w:tcW w:w="120" w:type="dxa"/>
            <w:vAlign w:val="bottom"/>
          </w:tcPr>
          <w:p>
            <w:pPr>
              <w:spacing w:after="0"/>
              <w:rPr>
                <w:sz w:val="14"/>
                <w:szCs w:val="14"/>
                <w:color w:val="auto"/>
              </w:rPr>
            </w:pPr>
          </w:p>
        </w:tc>
        <w:tc>
          <w:tcPr>
            <w:tcW w:w="1240" w:type="dxa"/>
            <w:vAlign w:val="bottom"/>
            <w:vMerge w:val="restart"/>
          </w:tcPr>
          <w:p>
            <w:pPr>
              <w:jc w:val="right"/>
              <w:ind w:right="76"/>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22"/>
        </w:trPr>
        <w:tc>
          <w:tcPr>
            <w:tcW w:w="1820" w:type="dxa"/>
            <w:vAlign w:val="bottom"/>
          </w:tcPr>
          <w:p>
            <w:pPr>
              <w:ind w:left="20"/>
              <w:spacing w:after="0"/>
              <w:rPr>
                <w:sz w:val="20"/>
                <w:szCs w:val="20"/>
                <w:color w:val="auto"/>
              </w:rPr>
            </w:pPr>
            <w:r>
              <w:rPr>
                <w:rFonts w:ascii="Arial" w:cs="Arial" w:eastAsia="Arial" w:hAnsi="Arial"/>
                <w:sz w:val="17"/>
                <w:szCs w:val="17"/>
                <w:color w:val="auto"/>
              </w:rPr>
              <w:t>dollar</w:t>
            </w: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tbl>
      <w:tblPr>
        <w:tblLayout w:type="fixed"/>
        <w:tblInd w:w="1580" w:type="dxa"/>
        <w:tblCellMar>
          <w:top w:w="0" w:type="dxa"/>
          <w:left w:w="0" w:type="dxa"/>
          <w:bottom w:w="0" w:type="dxa"/>
          <w:right w:w="0" w:type="dxa"/>
        </w:tblCellMar>
      </w:tblPr>
      <w:tr>
        <w:trPr>
          <w:trHeight w:val="228"/>
        </w:trPr>
        <w:tc>
          <w:tcPr>
            <w:tcW w:w="302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7"/>
                <w:szCs w:val="17"/>
                <w:b w:val="1"/>
                <w:bCs w:val="1"/>
                <w:color w:val="auto"/>
              </w:rPr>
              <w:t>As of</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440" w:type="dxa"/>
            <w:vAlign w:val="bottom"/>
            <w:gridSpan w:val="2"/>
          </w:tcPr>
          <w:p>
            <w:pPr>
              <w:ind w:left="540"/>
              <w:spacing w:after="0" w:line="151" w:lineRule="exact"/>
              <w:rPr>
                <w:sz w:val="20"/>
                <w:szCs w:val="20"/>
                <w:color w:val="auto"/>
              </w:rPr>
            </w:pPr>
            <w:r>
              <w:rPr>
                <w:rFonts w:ascii="Arial" w:cs="Arial" w:eastAsia="Arial" w:hAnsi="Arial"/>
                <w:sz w:val="16"/>
                <w:szCs w:val="16"/>
                <w:b w:val="1"/>
                <w:bCs w:val="1"/>
                <w:color w:val="auto"/>
              </w:rPr>
              <w:t>March 31,</w:t>
            </w:r>
          </w:p>
        </w:tc>
        <w:tc>
          <w:tcPr>
            <w:tcW w:w="1340" w:type="dxa"/>
            <w:vAlign w:val="bottom"/>
          </w:tcPr>
          <w:p>
            <w:pPr>
              <w:jc w:val="right"/>
              <w:ind w:right="17"/>
              <w:spacing w:after="0" w:line="151" w:lineRule="exact"/>
              <w:rPr>
                <w:sz w:val="20"/>
                <w:szCs w:val="20"/>
                <w:color w:val="auto"/>
              </w:rPr>
            </w:pPr>
            <w:r>
              <w:rPr>
                <w:rFonts w:ascii="Arial" w:cs="Arial" w:eastAsia="Arial" w:hAnsi="Arial"/>
                <w:sz w:val="16"/>
                <w:szCs w:val="16"/>
                <w:b w:val="1"/>
                <w:bCs w:val="1"/>
                <w:color w:val="auto"/>
              </w:rPr>
              <w:t>December</w:t>
            </w:r>
          </w:p>
        </w:tc>
        <w:tc>
          <w:tcPr>
            <w:tcW w:w="160" w:type="dxa"/>
            <w:vAlign w:val="bottom"/>
          </w:tcPr>
          <w:p>
            <w:pPr>
              <w:spacing w:after="0"/>
              <w:rPr>
                <w:sz w:val="13"/>
                <w:szCs w:val="13"/>
                <w:color w:val="auto"/>
              </w:rPr>
            </w:pPr>
          </w:p>
        </w:tc>
        <w:tc>
          <w:tcPr>
            <w:tcW w:w="118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Change</w:t>
            </w:r>
          </w:p>
        </w:tc>
        <w:tc>
          <w:tcPr>
            <w:tcW w:w="160" w:type="dxa"/>
            <w:vAlign w:val="bottom"/>
            <w:vMerge w:val="restart"/>
          </w:tcPr>
          <w:p>
            <w:pPr>
              <w:spacing w:after="0"/>
              <w:rPr>
                <w:sz w:val="13"/>
                <w:szCs w:val="13"/>
                <w:color w:val="auto"/>
              </w:rPr>
            </w:pPr>
          </w:p>
        </w:tc>
        <w:tc>
          <w:tcPr>
            <w:tcW w:w="1260" w:type="dxa"/>
            <w:vAlign w:val="bottom"/>
            <w:vMerge w:val="restart"/>
          </w:tcPr>
          <w:p>
            <w:pPr>
              <w:jc w:val="center"/>
              <w:ind w:left="396"/>
              <w:spacing w:after="0"/>
              <w:rPr>
                <w:sz w:val="20"/>
                <w:szCs w:val="20"/>
                <w:color w:val="auto"/>
              </w:rPr>
            </w:pPr>
            <w:r>
              <w:rPr>
                <w:rFonts w:ascii="Arial" w:cs="Arial" w:eastAsia="Arial" w:hAnsi="Arial"/>
                <w:sz w:val="16"/>
                <w:szCs w:val="16"/>
                <w:b w:val="1"/>
                <w:bCs w:val="1"/>
                <w:color w:val="auto"/>
                <w:w w:val="85"/>
              </w:rPr>
              <w:t>Percentage</w:t>
            </w:r>
          </w:p>
        </w:tc>
        <w:tc>
          <w:tcPr>
            <w:tcW w:w="0" w:type="dxa"/>
            <w:vAlign w:val="bottom"/>
          </w:tcPr>
          <w:p>
            <w:pPr>
              <w:spacing w:after="0"/>
              <w:rPr>
                <w:sz w:val="1"/>
                <w:szCs w:val="1"/>
                <w:color w:val="auto"/>
              </w:rPr>
            </w:pPr>
          </w:p>
        </w:tc>
      </w:tr>
      <w:tr>
        <w:trPr>
          <w:trHeight w:val="207"/>
        </w:trPr>
        <w:tc>
          <w:tcPr>
            <w:tcW w:w="302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397"/>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ind w:right="317"/>
              <w:spacing w:after="0"/>
              <w:rPr>
                <w:sz w:val="20"/>
                <w:szCs w:val="20"/>
                <w:color w:val="auto"/>
              </w:rPr>
            </w:pPr>
            <w:r>
              <w:rPr>
                <w:rFonts w:ascii="Arial" w:cs="Arial" w:eastAsia="Arial" w:hAnsi="Arial"/>
                <w:sz w:val="16"/>
                <w:szCs w:val="16"/>
                <w:b w:val="1"/>
                <w:bCs w:val="1"/>
                <w:color w:val="auto"/>
              </w:rPr>
              <w:t>31, 2021</w:t>
            </w:r>
          </w:p>
        </w:tc>
        <w:tc>
          <w:tcPr>
            <w:tcW w:w="16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Canadian dollar to U.S. dollar</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$0.800</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$0.789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$0.011</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376"/>
              <w:spacing w:after="0"/>
              <w:rPr>
                <w:sz w:val="20"/>
                <w:szCs w:val="20"/>
                <w:color w:val="auto"/>
              </w:rPr>
            </w:pPr>
            <w:r>
              <w:rPr>
                <w:rFonts w:ascii="Arial" w:cs="Arial" w:eastAsia="Arial" w:hAnsi="Arial"/>
                <w:sz w:val="17"/>
                <w:szCs w:val="17"/>
                <w:color w:val="auto"/>
                <w:w w:val="92"/>
              </w:rPr>
              <w:t>1.4%</w:t>
            </w:r>
          </w:p>
        </w:tc>
        <w:tc>
          <w:tcPr>
            <w:tcW w:w="0" w:type="dxa"/>
            <w:vAlign w:val="bottom"/>
          </w:tcPr>
          <w:p>
            <w:pPr>
              <w:spacing w:after="0"/>
              <w:rPr>
                <w:sz w:val="1"/>
                <w:szCs w:val="1"/>
                <w:color w:val="auto"/>
              </w:rPr>
            </w:pPr>
          </w:p>
        </w:tc>
      </w:tr>
      <w:tr>
        <w:trPr>
          <w:trHeight w:val="222"/>
        </w:trPr>
        <w:tc>
          <w:tcPr>
            <w:tcW w:w="3020" w:type="dxa"/>
            <w:vAlign w:val="bottom"/>
          </w:tcPr>
          <w:p>
            <w:pPr>
              <w:ind w:left="500"/>
              <w:spacing w:after="0"/>
              <w:rPr>
                <w:sz w:val="20"/>
                <w:szCs w:val="20"/>
                <w:color w:val="auto"/>
              </w:rPr>
            </w:pPr>
            <w:r>
              <w:rPr>
                <w:rFonts w:ascii="Arial" w:cs="Arial" w:eastAsia="Arial" w:hAnsi="Arial"/>
                <w:sz w:val="17"/>
                <w:szCs w:val="17"/>
                <w:color w:val="auto"/>
              </w:rPr>
              <w:t>Australian dollar to U.S. dollar</w:t>
            </w:r>
          </w:p>
        </w:tc>
        <w:tc>
          <w:tcPr>
            <w:tcW w:w="1280" w:type="dxa"/>
            <w:vAlign w:val="bottom"/>
          </w:tcPr>
          <w:p>
            <w:pPr>
              <w:jc w:val="right"/>
              <w:spacing w:after="0"/>
              <w:rPr>
                <w:sz w:val="20"/>
                <w:szCs w:val="20"/>
                <w:color w:val="auto"/>
              </w:rPr>
            </w:pPr>
            <w:r>
              <w:rPr>
                <w:rFonts w:ascii="Arial" w:cs="Arial" w:eastAsia="Arial" w:hAnsi="Arial"/>
                <w:sz w:val="17"/>
                <w:szCs w:val="17"/>
                <w:color w:val="auto"/>
              </w:rPr>
              <w:t>$0.749</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$0.726</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$0.023</w:t>
            </w:r>
          </w:p>
        </w:tc>
        <w:tc>
          <w:tcPr>
            <w:tcW w:w="160" w:type="dxa"/>
            <w:vAlign w:val="bottom"/>
          </w:tcPr>
          <w:p>
            <w:pPr>
              <w:spacing w:after="0"/>
              <w:rPr>
                <w:sz w:val="19"/>
                <w:szCs w:val="19"/>
                <w:color w:val="auto"/>
              </w:rPr>
            </w:pPr>
          </w:p>
        </w:tc>
        <w:tc>
          <w:tcPr>
            <w:tcW w:w="1260" w:type="dxa"/>
            <w:vAlign w:val="bottom"/>
          </w:tcPr>
          <w:p>
            <w:pPr>
              <w:jc w:val="center"/>
              <w:ind w:left="376"/>
              <w:spacing w:after="0"/>
              <w:rPr>
                <w:sz w:val="20"/>
                <w:szCs w:val="20"/>
                <w:color w:val="auto"/>
              </w:rPr>
            </w:pPr>
            <w:r>
              <w:rPr>
                <w:rFonts w:ascii="Arial" w:cs="Arial" w:eastAsia="Arial" w:hAnsi="Arial"/>
                <w:sz w:val="17"/>
                <w:szCs w:val="17"/>
                <w:color w:val="auto"/>
                <w:w w:val="92"/>
              </w:rPr>
              <w:t>3.2%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72"/>
        <w:spacing w:after="0" w:line="289" w:lineRule="auto"/>
        <w:rPr>
          <w:sz w:val="20"/>
          <w:szCs w:val="20"/>
          <w:color w:val="auto"/>
        </w:rPr>
      </w:pPr>
      <w:r>
        <w:rPr>
          <w:rFonts w:ascii="Arial" w:cs="Arial" w:eastAsia="Arial" w:hAnsi="Arial"/>
          <w:sz w:val="17"/>
          <w:szCs w:val="17"/>
          <w:color w:val="auto"/>
        </w:rPr>
        <w:t>These fluctuations of the Canadian and Australian dollars have had and will continue to have an impact on the translation of earnings generated from our Canadian and Australian subsidiaries and, therefore, our financial results.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214"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b w:val="1"/>
          <w:bCs w:val="1"/>
          <w:color w:val="auto"/>
        </w:rPr>
        <w:t xml:space="preserve">Capital Expenditures. </w:t>
      </w:r>
      <w:r>
        <w:rPr>
          <w:rFonts w:ascii="Arial" w:cs="Arial" w:eastAsia="Arial" w:hAnsi="Arial"/>
          <w:sz w:val="17"/>
          <w:szCs w:val="17"/>
          <w:color w:val="auto"/>
        </w:rPr>
        <w:t>We continue to monitor the global economy, the price of and demand for crude oil, met coal, LNG and iron ore and the resultant</w:t>
      </w:r>
      <w:r>
        <w:rPr>
          <w:rFonts w:ascii="Arial" w:cs="Arial" w:eastAsia="Arial" w:hAnsi="Arial"/>
          <w:sz w:val="17"/>
          <w:szCs w:val="17"/>
          <w:b w:val="1"/>
          <w:bCs w:val="1"/>
          <w:color w:val="auto"/>
        </w:rPr>
        <w:t xml:space="preserve"> </w:t>
      </w:r>
      <w:r>
        <w:rPr>
          <w:rFonts w:ascii="Arial" w:cs="Arial" w:eastAsia="Arial" w:hAnsi="Arial"/>
          <w:sz w:val="17"/>
          <w:szCs w:val="17"/>
          <w:color w:val="auto"/>
        </w:rPr>
        <w:t>impact on the capital spending plans of our customers, and the COVID-19 global pandemic and the responses thereto in order to plan our business activities. We currently expect that our 2022 capital expenditures will be in the range of approximately $20 million to $25 million, compared to 2021 capital expenditures of $15.6 million. We may adjust our capital expenditure plans in the future as we continue to monitor customer activity. See “Liquidity and Capital Resources</w:t>
      </w:r>
      <w:r>
        <w:rPr>
          <w:rFonts w:ascii="Arial" w:cs="Arial" w:eastAsia="Arial" w:hAnsi="Arial"/>
          <w:sz w:val="17"/>
          <w:szCs w:val="17"/>
          <w:i w:val="1"/>
          <w:iCs w:val="1"/>
          <w:color w:val="auto"/>
        </w:rPr>
        <w:t>”</w:t>
      </w:r>
      <w:r>
        <w:rPr>
          <w:rFonts w:ascii="Arial" w:cs="Arial" w:eastAsia="Arial" w:hAnsi="Arial"/>
          <w:sz w:val="17"/>
          <w:szCs w:val="17"/>
          <w:color w:val="auto"/>
        </w:rPr>
        <w:t xml:space="preserve"> below for further discussion of 2022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6"/>
          <w:szCs w:val="16"/>
          <w:i w:val="1"/>
          <w:iCs w:val="1"/>
          <w:color w:val="auto"/>
        </w:rPr>
        <w:t>Unless otherwise indicated, discussion of results for the three months ended March 31, 2022, is based on a comparison to the corresponding period of</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2021.</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 – Three Months Ended March 31, 2022 Compared to Three Months Ended March 31, 2021</w:t>
      </w:r>
    </w:p>
    <w:p>
      <w:pPr>
        <w:spacing w:after="0" w:line="311"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Three Months Ended</w:t>
            </w: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3"/>
        </w:trPr>
        <w:tc>
          <w:tcPr>
            <w:tcW w:w="50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jc w:val="center"/>
              <w:ind w:right="640"/>
              <w:spacing w:after="0"/>
              <w:rPr>
                <w:sz w:val="20"/>
                <w:szCs w:val="20"/>
                <w:color w:val="auto"/>
              </w:rPr>
            </w:pPr>
            <w:r>
              <w:rPr>
                <w:rFonts w:ascii="Arial" w:cs="Arial" w:eastAsia="Arial" w:hAnsi="Arial"/>
                <w:sz w:val="14"/>
                <w:szCs w:val="14"/>
                <w:b w:val="1"/>
                <w:bCs w:val="1"/>
                <w:color w:val="auto"/>
                <w:w w:val="92"/>
              </w:rPr>
              <w:t>March 31,</w:t>
            </w: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76"/>
        </w:trPr>
        <w:tc>
          <w:tcPr>
            <w:tcW w:w="50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47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0"/>
              <w:spacing w:after="0"/>
              <w:rPr>
                <w:sz w:val="20"/>
                <w:szCs w:val="20"/>
                <w:color w:val="auto"/>
              </w:rPr>
            </w:pPr>
            <w:r>
              <w:rPr>
                <w:rFonts w:ascii="Arial" w:cs="Arial" w:eastAsia="Arial" w:hAnsi="Arial"/>
                <w:sz w:val="14"/>
                <w:szCs w:val="14"/>
                <w:b w:val="1"/>
                <w:bCs w:val="1"/>
                <w:color w:val="auto"/>
              </w:rPr>
              <w:t>Change</w:t>
            </w:r>
          </w:p>
        </w:tc>
      </w:tr>
      <w:tr>
        <w:trPr>
          <w:trHeight w:val="211"/>
        </w:trPr>
        <w:tc>
          <w:tcPr>
            <w:tcW w:w="5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89"/>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Revenues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1"/>
        </w:trPr>
        <w:tc>
          <w:tcPr>
            <w:tcW w:w="5020" w:type="dxa"/>
            <w:vAlign w:val="bottom"/>
          </w:tcPr>
          <w:p>
            <w:pPr>
              <w:ind w:left="120"/>
              <w:spacing w:after="0"/>
              <w:rPr>
                <w:sz w:val="20"/>
                <w:szCs w:val="20"/>
                <w:color w:val="auto"/>
              </w:rPr>
            </w:pPr>
            <w:r>
              <w:rPr>
                <w:rFonts w:ascii="Arial" w:cs="Arial" w:eastAsia="Arial" w:hAnsi="Arial"/>
                <w:sz w:val="14"/>
                <w:szCs w:val="14"/>
                <w:color w:val="auto"/>
              </w:rPr>
              <w:t>Canada</w:t>
            </w:r>
          </w:p>
        </w:tc>
        <w:tc>
          <w:tcPr>
            <w:tcW w:w="420" w:type="dxa"/>
            <w:vAlign w:val="bottom"/>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95,952</w:t>
            </w:r>
          </w:p>
        </w:tc>
        <w:tc>
          <w:tcPr>
            <w:tcW w:w="100" w:type="dxa"/>
            <w:vAlign w:val="bottom"/>
          </w:tcPr>
          <w:p>
            <w:pPr>
              <w:spacing w:after="0"/>
              <w:rPr>
                <w:sz w:val="15"/>
                <w:szCs w:val="15"/>
                <w:color w:val="auto"/>
              </w:rPr>
            </w:pPr>
          </w:p>
        </w:tc>
        <w:tc>
          <w:tcPr>
            <w:tcW w:w="540" w:type="dxa"/>
            <w:vAlign w:val="bottom"/>
          </w:tcPr>
          <w:p>
            <w:pPr>
              <w:jc w:val="right"/>
              <w:ind w:right="390"/>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61,885</w:t>
            </w:r>
          </w:p>
        </w:tc>
        <w:tc>
          <w:tcPr>
            <w:tcW w:w="10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34,067</w:t>
            </w:r>
          </w:p>
        </w:tc>
      </w:tr>
      <w:tr>
        <w:trPr>
          <w:trHeight w:val="186"/>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63,529</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59,637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3,892</w:t>
            </w:r>
          </w:p>
        </w:tc>
      </w:tr>
      <w:tr>
        <w:trPr>
          <w:trHeight w:val="181"/>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U.S. and other</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6,197</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2,289</w:t>
            </w:r>
          </w:p>
        </w:tc>
      </w:tr>
      <w:tr>
        <w:trPr>
          <w:trHeight w:val="179"/>
        </w:trPr>
        <w:tc>
          <w:tcPr>
            <w:tcW w:w="5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165,678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125,430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40,248</w:t>
            </w:r>
          </w:p>
        </w:tc>
      </w:tr>
      <w:tr>
        <w:trPr>
          <w:trHeight w:val="181"/>
        </w:trPr>
        <w:tc>
          <w:tcPr>
            <w:tcW w:w="5020" w:type="dxa"/>
            <w:vAlign w:val="bottom"/>
          </w:tcPr>
          <w:p>
            <w:pPr>
              <w:spacing w:after="0"/>
              <w:rPr>
                <w:sz w:val="20"/>
                <w:szCs w:val="20"/>
                <w:color w:val="auto"/>
              </w:rPr>
            </w:pPr>
            <w:r>
              <w:rPr>
                <w:rFonts w:ascii="Arial" w:cs="Arial" w:eastAsia="Arial" w:hAnsi="Arial"/>
                <w:sz w:val="14"/>
                <w:szCs w:val="14"/>
                <w:color w:val="auto"/>
              </w:rPr>
              <w:t>Costs and expenses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6"/>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Cost of sales and services</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81"/>
        </w:trPr>
        <w:tc>
          <w:tcPr>
            <w:tcW w:w="5020" w:type="dxa"/>
            <w:vAlign w:val="bottom"/>
          </w:tcPr>
          <w:p>
            <w:pPr>
              <w:ind w:left="320"/>
              <w:spacing w:after="0"/>
              <w:rPr>
                <w:sz w:val="20"/>
                <w:szCs w:val="20"/>
                <w:color w:val="auto"/>
              </w:rPr>
            </w:pPr>
            <w:r>
              <w:rPr>
                <w:rFonts w:ascii="Arial" w:cs="Arial" w:eastAsia="Arial" w:hAnsi="Arial"/>
                <w:sz w:val="14"/>
                <w:szCs w:val="14"/>
                <w:color w:val="auto"/>
              </w:rPr>
              <w:t>Canada</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75,206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51,885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23,321</w:t>
            </w:r>
          </w:p>
        </w:tc>
      </w:tr>
      <w:tr>
        <w:trPr>
          <w:trHeight w:val="186"/>
        </w:trPr>
        <w:tc>
          <w:tcPr>
            <w:tcW w:w="5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Australia</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44,514</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42,903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w:t>
            </w:r>
          </w:p>
        </w:tc>
      </w:tr>
      <w:tr>
        <w:trPr>
          <w:trHeight w:val="181"/>
        </w:trPr>
        <w:tc>
          <w:tcPr>
            <w:tcW w:w="502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U.S. and other</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6,123</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5,022</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r>
      <w:tr>
        <w:trPr>
          <w:trHeight w:val="179"/>
        </w:trPr>
        <w:tc>
          <w:tcPr>
            <w:tcW w:w="50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cost of sales and services</w:t>
            </w: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125,843</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99,810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26,033</w:t>
            </w:r>
          </w:p>
        </w:tc>
      </w:tr>
      <w:tr>
        <w:trPr>
          <w:trHeight w:val="181"/>
        </w:trPr>
        <w:tc>
          <w:tcPr>
            <w:tcW w:w="502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15,213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14,181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1,032</w:t>
            </w:r>
          </w:p>
        </w:tc>
      </w:tr>
      <w:tr>
        <w:trPr>
          <w:trHeight w:val="186"/>
        </w:trPr>
        <w:tc>
          <w:tcPr>
            <w:tcW w:w="5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 expense</w:t>
            </w: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20,127</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r>
      <w:tr>
        <w:trPr>
          <w:trHeight w:val="181"/>
        </w:trPr>
        <w:tc>
          <w:tcPr>
            <w:tcW w:w="50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operating expense</w:t>
            </w: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r>
      <w:tr>
        <w:trPr>
          <w:trHeight w:val="179"/>
        </w:trPr>
        <w:tc>
          <w:tcPr>
            <w:tcW w:w="50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costs and expenses</w:t>
            </w: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161,441</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135,331</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26,110</w:t>
            </w:r>
          </w:p>
        </w:tc>
      </w:tr>
      <w:tr>
        <w:trPr>
          <w:trHeight w:val="174"/>
        </w:trPr>
        <w:tc>
          <w:tcPr>
            <w:tcW w:w="5020" w:type="dxa"/>
            <w:vAlign w:val="bottom"/>
          </w:tcPr>
          <w:p>
            <w:pPr>
              <w:spacing w:after="0"/>
              <w:rPr>
                <w:sz w:val="20"/>
                <w:szCs w:val="20"/>
                <w:color w:val="auto"/>
              </w:rPr>
            </w:pPr>
            <w:r>
              <w:rPr>
                <w:rFonts w:ascii="Arial" w:cs="Arial" w:eastAsia="Arial" w:hAnsi="Arial"/>
                <w:sz w:val="14"/>
                <w:szCs w:val="14"/>
                <w:color w:val="auto"/>
              </w:rPr>
              <w:t>Operating income (loss)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4,237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(9,901)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14,138</w:t>
            </w:r>
          </w:p>
        </w:tc>
      </w:tr>
      <w:tr>
        <w:trPr>
          <w:trHeight w:val="212"/>
        </w:trPr>
        <w:tc>
          <w:tcPr>
            <w:tcW w:w="5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1"/>
        </w:trPr>
        <w:tc>
          <w:tcPr>
            <w:tcW w:w="5020" w:type="dxa"/>
            <w:vAlign w:val="bottom"/>
          </w:tcPr>
          <w:p>
            <w:pPr>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(2,468)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(3,362)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894</w:t>
            </w:r>
          </w:p>
        </w:tc>
      </w:tr>
      <w:tr>
        <w:trPr>
          <w:trHeight w:val="186"/>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Other income</w:t>
            </w: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1,696</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(3,218)</w:t>
            </w:r>
          </w:p>
        </w:tc>
      </w:tr>
      <w:tr>
        <w:trPr>
          <w:trHeight w:val="174"/>
        </w:trPr>
        <w:tc>
          <w:tcPr>
            <w:tcW w:w="5020" w:type="dxa"/>
            <w:vAlign w:val="bottom"/>
          </w:tcPr>
          <w:p>
            <w:pPr>
              <w:ind w:left="320"/>
              <w:spacing w:after="0"/>
              <w:rPr>
                <w:sz w:val="20"/>
                <w:szCs w:val="20"/>
                <w:color w:val="auto"/>
              </w:rPr>
            </w:pPr>
            <w:r>
              <w:rPr>
                <w:rFonts w:ascii="Arial" w:cs="Arial" w:eastAsia="Arial" w:hAnsi="Arial"/>
                <w:sz w:val="14"/>
                <w:szCs w:val="14"/>
                <w:color w:val="auto"/>
              </w:rPr>
              <w:t>Income (loss) before income taxes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3,465</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(8,349)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11,814</w:t>
            </w:r>
          </w:p>
        </w:tc>
      </w:tr>
      <w:tr>
        <w:trPr>
          <w:trHeight w:val="186"/>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w:t>
            </w:r>
          </w:p>
        </w:tc>
      </w:tr>
      <w:tr>
        <w:trPr>
          <w:trHeight w:val="174"/>
        </w:trPr>
        <w:tc>
          <w:tcPr>
            <w:tcW w:w="5020" w:type="dxa"/>
            <w:vAlign w:val="bottom"/>
          </w:tcPr>
          <w:p>
            <w:pPr>
              <w:ind w:left="320"/>
              <w:spacing w:after="0"/>
              <w:rPr>
                <w:sz w:val="20"/>
                <w:szCs w:val="20"/>
                <w:color w:val="auto"/>
              </w:rPr>
            </w:pPr>
            <w:r>
              <w:rPr>
                <w:rFonts w:ascii="Arial" w:cs="Arial" w:eastAsia="Arial" w:hAnsi="Arial"/>
                <w:sz w:val="14"/>
                <w:szCs w:val="14"/>
                <w:color w:val="auto"/>
              </w:rPr>
              <w:t>Net income (loss)</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11,333</w:t>
            </w:r>
          </w:p>
        </w:tc>
      </w:tr>
      <w:tr>
        <w:trPr>
          <w:trHeight w:val="186"/>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4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w:t>
            </w:r>
          </w:p>
        </w:tc>
        <w:tc>
          <w:tcPr>
            <w:tcW w:w="1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w:t>
            </w:r>
          </w:p>
        </w:tc>
      </w:tr>
      <w:tr>
        <w:trPr>
          <w:trHeight w:val="174"/>
        </w:trPr>
        <w:tc>
          <w:tcPr>
            <w:tcW w:w="5020" w:type="dxa"/>
            <w:vAlign w:val="bottom"/>
          </w:tcPr>
          <w:p>
            <w:pPr>
              <w:spacing w:after="0"/>
              <w:rPr>
                <w:sz w:val="20"/>
                <w:szCs w:val="20"/>
                <w:color w:val="auto"/>
              </w:rPr>
            </w:pPr>
            <w:r>
              <w:rPr>
                <w:rFonts w:ascii="Arial" w:cs="Arial" w:eastAsia="Arial" w:hAnsi="Arial"/>
                <w:sz w:val="14"/>
                <w:szCs w:val="14"/>
                <w:color w:val="auto"/>
              </w:rPr>
              <w:t>Net income (loss) attributable to Civeo Corporation</w:t>
            </w:r>
          </w:p>
        </w:tc>
        <w:tc>
          <w:tcPr>
            <w:tcW w:w="4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(9,484)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10,894</w:t>
            </w:r>
          </w:p>
        </w:tc>
      </w:tr>
      <w:tr>
        <w:trPr>
          <w:trHeight w:val="183"/>
        </w:trPr>
        <w:tc>
          <w:tcPr>
            <w:tcW w:w="5020" w:type="dxa"/>
            <w:vAlign w:val="bottom"/>
            <w:shd w:val="clear" w:color="auto" w:fill="CCEEFF"/>
          </w:tcPr>
          <w:p>
            <w:pPr>
              <w:spacing w:after="0"/>
              <w:rPr>
                <w:sz w:val="20"/>
                <w:szCs w:val="20"/>
                <w:color w:val="auto"/>
              </w:rPr>
            </w:pPr>
            <w:r>
              <w:rPr>
                <w:rFonts w:ascii="Arial" w:cs="Arial" w:eastAsia="Arial" w:hAnsi="Arial"/>
                <w:sz w:val="14"/>
                <w:szCs w:val="14"/>
                <w:color w:val="auto"/>
              </w:rPr>
              <w:t>Less: Dividends attributable to preferred shares</w:t>
            </w:r>
          </w:p>
        </w:tc>
        <w:tc>
          <w:tcPr>
            <w:tcW w:w="4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79"/>
        </w:trPr>
        <w:tc>
          <w:tcPr>
            <w:tcW w:w="5020" w:type="dxa"/>
            <w:vAlign w:val="bottom"/>
          </w:tcPr>
          <w:p>
            <w:pPr>
              <w:spacing w:after="0"/>
              <w:rPr>
                <w:sz w:val="20"/>
                <w:szCs w:val="20"/>
                <w:color w:val="auto"/>
              </w:rPr>
            </w:pPr>
            <w:r>
              <w:rPr>
                <w:rFonts w:ascii="Arial" w:cs="Arial" w:eastAsia="Arial" w:hAnsi="Arial"/>
                <w:sz w:val="14"/>
                <w:szCs w:val="14"/>
                <w:color w:val="auto"/>
              </w:rPr>
              <w:t>Net income (loss) attributable to Civeo common shareholders</w:t>
            </w:r>
          </w:p>
        </w:tc>
        <w:tc>
          <w:tcPr>
            <w:tcW w:w="4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w:t>
            </w:r>
          </w:p>
        </w:tc>
        <w:tc>
          <w:tcPr>
            <w:tcW w:w="100" w:type="dxa"/>
            <w:vAlign w:val="bottom"/>
          </w:tcPr>
          <w:p>
            <w:pPr>
              <w:spacing w:after="0"/>
              <w:rPr>
                <w:sz w:val="15"/>
                <w:szCs w:val="15"/>
                <w:color w:val="auto"/>
              </w:rPr>
            </w:pPr>
          </w:p>
        </w:tc>
        <w:tc>
          <w:tcPr>
            <w:tcW w:w="54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(9,962)</w:t>
            </w:r>
          </w:p>
        </w:tc>
        <w:tc>
          <w:tcPr>
            <w:tcW w:w="100" w:type="dxa"/>
            <w:vAlign w:val="bottom"/>
          </w:tcPr>
          <w:p>
            <w:pPr>
              <w:spacing w:after="0"/>
              <w:rPr>
                <w:sz w:val="15"/>
                <w:szCs w:val="15"/>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10,885</w:t>
            </w: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We reported net income attributable to Civeo for the quarter ended March 31, 2022 of $0.9 million, or $0.06 per diluted share compared to net loss attributable to Civeo for the quarter ended March 31, 2021 of $10.0 million, or $0.70 per diluted share.</w:t>
      </w:r>
    </w:p>
    <w:p>
      <w:pPr>
        <w:spacing w:after="0" w:line="47"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Consolidated revenues increased $40.2 million, or 32%, in the first quarter of 2022 compared to the first quarter of 2021. This increase was</w:t>
      </w:r>
      <w:r>
        <w:rPr>
          <w:rFonts w:ascii="Arial" w:cs="Arial" w:eastAsia="Arial" w:hAnsi="Arial"/>
          <w:sz w:val="17"/>
          <w:szCs w:val="17"/>
          <w:b w:val="1"/>
          <w:bCs w:val="1"/>
          <w:color w:val="auto"/>
        </w:rPr>
        <w:t xml:space="preserve"> </w:t>
      </w:r>
      <w:r>
        <w:rPr>
          <w:rFonts w:ascii="Arial" w:cs="Arial" w:eastAsia="Arial" w:hAnsi="Arial"/>
          <w:sz w:val="17"/>
          <w:szCs w:val="17"/>
          <w:color w:val="auto"/>
        </w:rPr>
        <w:t>primarily due to (i) higher billed rooms at our Canadian lodges as occupancy in the first quarter of 2021 was negatively impacted by the COVID-19 pandemic, particularly at our Sitka Lodge, (ii) higher average daily rate at our Canadian lodges due to mix, (iii) increased mobile asset activity from pipeline projects in Canada, (iv) increased occupancy at our Australian Civeo owned villages and (v) increased activity in our U.S. offshore and wellsite business. These items were partially offset by a weaker Australian dollar relative to the U.S. dollar in the first quarter of 2022 compared to the first quarter of 2021. See the discussion of segment results of operations below for further information.</w:t>
      </w:r>
    </w:p>
    <w:p>
      <w:pPr>
        <w:spacing w:after="0" w:line="107" w:lineRule="exact"/>
        <w:rPr>
          <w:sz w:val="20"/>
          <w:szCs w:val="20"/>
          <w:color w:val="auto"/>
        </w:rPr>
      </w:pPr>
    </w:p>
    <w:p>
      <w:pPr>
        <w:jc w:val="both"/>
        <w:ind w:firstLine="472"/>
        <w:spacing w:after="0" w:line="310" w:lineRule="auto"/>
        <w:rPr>
          <w:sz w:val="20"/>
          <w:szCs w:val="20"/>
          <w:color w:val="auto"/>
        </w:rPr>
      </w:pPr>
      <w:r>
        <w:rPr>
          <w:rFonts w:ascii="Arial" w:cs="Arial" w:eastAsia="Arial" w:hAnsi="Arial"/>
          <w:sz w:val="15"/>
          <w:szCs w:val="15"/>
          <w:b w:val="1"/>
          <w:bCs w:val="1"/>
          <w:color w:val="auto"/>
        </w:rPr>
        <w:t xml:space="preserve">Cost of Sales and Services. </w:t>
      </w:r>
      <w:r>
        <w:rPr>
          <w:rFonts w:ascii="Arial" w:cs="Arial" w:eastAsia="Arial" w:hAnsi="Arial"/>
          <w:sz w:val="15"/>
          <w:szCs w:val="15"/>
          <w:color w:val="auto"/>
        </w:rPr>
        <w:t>Our consolidated cost of sales and services increased $26.0 million, or 26%, in the first quarter of 2022 compared to the first</w:t>
      </w:r>
      <w:r>
        <w:rPr>
          <w:rFonts w:ascii="Arial" w:cs="Arial" w:eastAsia="Arial" w:hAnsi="Arial"/>
          <w:sz w:val="15"/>
          <w:szCs w:val="15"/>
          <w:b w:val="1"/>
          <w:bCs w:val="1"/>
          <w:color w:val="auto"/>
        </w:rPr>
        <w:t xml:space="preserve"> </w:t>
      </w:r>
      <w:r>
        <w:rPr>
          <w:rFonts w:ascii="Arial" w:cs="Arial" w:eastAsia="Arial" w:hAnsi="Arial"/>
          <w:sz w:val="15"/>
          <w:szCs w:val="15"/>
          <w:color w:val="auto"/>
        </w:rPr>
        <w:t>quarter of 2021. This increase was primarily due to (i) higher billed rooms at our Canadian lodges, (ii) increased mobile asset activity from pipeline projects in Canada, (iii) increased occupancy at our Australian Civeo owned villages and the increased cost of temporary labor due to ongoing labor shortages in Australia and (vi) increased activity in our U.S. offshore business and wellsite business. These items were partially offset by a weaker Australian dollar relative to the U.S. dollar in the first quarter of 2022 compared to the first quarter of 2021. See the discussion of segment results of operations below for further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214"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b w:val="1"/>
          <w:bCs w:val="1"/>
          <w:color w:val="auto"/>
        </w:rPr>
        <w:t xml:space="preserve">Selling, General and Administrative Expenses. </w:t>
      </w:r>
      <w:r>
        <w:rPr>
          <w:rFonts w:ascii="Arial" w:cs="Arial" w:eastAsia="Arial" w:hAnsi="Arial"/>
          <w:sz w:val="17"/>
          <w:szCs w:val="17"/>
          <w:color w:val="auto"/>
        </w:rPr>
        <w:t>SG&amp;A expense increased $1.0 million, or 7%, in the first quarter of 2022 compared to the first quarter</w:t>
      </w:r>
      <w:r>
        <w:rPr>
          <w:rFonts w:ascii="Arial" w:cs="Arial" w:eastAsia="Arial" w:hAnsi="Arial"/>
          <w:sz w:val="17"/>
          <w:szCs w:val="17"/>
          <w:b w:val="1"/>
          <w:bCs w:val="1"/>
          <w:color w:val="auto"/>
        </w:rPr>
        <w:t xml:space="preserve"> </w:t>
      </w:r>
      <w:r>
        <w:rPr>
          <w:rFonts w:ascii="Arial" w:cs="Arial" w:eastAsia="Arial" w:hAnsi="Arial"/>
          <w:sz w:val="17"/>
          <w:szCs w:val="17"/>
          <w:color w:val="auto"/>
        </w:rPr>
        <w:t>of 2021. This increase was primarily due to higher share-based compensation expense and information technology expense related to our newly implemented human capital management system. The increase in share-based compensation expense was due to an increase in our stock price during the first quarter of 2022 compared to the first quarter of 2021.</w:t>
      </w:r>
    </w:p>
    <w:p>
      <w:pPr>
        <w:spacing w:after="0" w:line="103"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7"/>
          <w:szCs w:val="17"/>
          <w:b w:val="1"/>
          <w:bCs w:val="1"/>
          <w:color w:val="auto"/>
        </w:rPr>
        <w:t xml:space="preserve">Depreciation and Amortization Expense. </w:t>
      </w:r>
      <w:r>
        <w:rPr>
          <w:rFonts w:ascii="Arial" w:cs="Arial" w:eastAsia="Arial" w:hAnsi="Arial"/>
          <w:sz w:val="17"/>
          <w:szCs w:val="17"/>
          <w:color w:val="auto"/>
        </w:rPr>
        <w:t>Depreciation and amortization expense decreased $1.1 million, or 5%, in the first quarter of 2022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first quarter of 2021. The decrease was primarily due to certain assets in Canada becoming fully depreciated during 2021 and the disposal of our West Permian Lodge during 2021 in the U.S.</w:t>
      </w:r>
    </w:p>
    <w:p>
      <w:pPr>
        <w:spacing w:after="0" w:line="96" w:lineRule="exact"/>
        <w:rPr>
          <w:sz w:val="20"/>
          <w:szCs w:val="20"/>
          <w:color w:val="auto"/>
        </w:rPr>
      </w:pPr>
    </w:p>
    <w:p>
      <w:pPr>
        <w:jc w:val="both"/>
        <w:ind w:firstLine="472"/>
        <w:spacing w:after="0" w:line="296" w:lineRule="auto"/>
        <w:rPr>
          <w:sz w:val="20"/>
          <w:szCs w:val="20"/>
          <w:color w:val="auto"/>
        </w:rPr>
      </w:pPr>
      <w:r>
        <w:rPr>
          <w:rFonts w:ascii="Arial" w:cs="Arial" w:eastAsia="Arial" w:hAnsi="Arial"/>
          <w:sz w:val="17"/>
          <w:szCs w:val="17"/>
          <w:b w:val="1"/>
          <w:bCs w:val="1"/>
          <w:color w:val="auto"/>
        </w:rPr>
        <w:t xml:space="preserve">Operating Income (Loss). </w:t>
      </w:r>
      <w:r>
        <w:rPr>
          <w:rFonts w:ascii="Arial" w:cs="Arial" w:eastAsia="Arial" w:hAnsi="Arial"/>
          <w:sz w:val="17"/>
          <w:szCs w:val="17"/>
          <w:color w:val="auto"/>
        </w:rPr>
        <w:t>Consolidated operating income increased $14.1 million, or 143%, in the first quarter of 2022 compared to the first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2021, primarily due to higher activity levels in Canada and Australia in the first quarter of 2022 compared to the first quarter of 2021.</w:t>
      </w:r>
    </w:p>
    <w:p>
      <w:pPr>
        <w:spacing w:after="0" w:line="68" w:lineRule="exact"/>
        <w:rPr>
          <w:sz w:val="20"/>
          <w:szCs w:val="20"/>
          <w:color w:val="auto"/>
        </w:rPr>
      </w:pPr>
    </w:p>
    <w:p>
      <w:pPr>
        <w:jc w:val="both"/>
        <w:ind w:firstLine="472"/>
        <w:spacing w:after="0" w:line="330" w:lineRule="auto"/>
        <w:rPr>
          <w:sz w:val="20"/>
          <w:szCs w:val="20"/>
          <w:color w:val="auto"/>
        </w:rPr>
      </w:pPr>
      <w:r>
        <w:rPr>
          <w:rFonts w:ascii="Arial" w:cs="Arial" w:eastAsia="Arial" w:hAnsi="Arial"/>
          <w:sz w:val="16"/>
          <w:szCs w:val="16"/>
          <w:b w:val="1"/>
          <w:bCs w:val="1"/>
          <w:color w:val="auto"/>
        </w:rPr>
        <w:t xml:space="preserve">Interest Expense, net. </w:t>
      </w:r>
      <w:r>
        <w:rPr>
          <w:rFonts w:ascii="Arial" w:cs="Arial" w:eastAsia="Arial" w:hAnsi="Arial"/>
          <w:sz w:val="16"/>
          <w:szCs w:val="16"/>
          <w:color w:val="auto"/>
        </w:rPr>
        <w:t>Net interest expense decreased by $0.9 million, or 27%, in the first quarter of 2022 compared to the first quarter of 2021,</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related to lower average debt levels on credit facility borrowings during 2022 compared to 2021 and lower interest rates on credit facility borrowings.</w:t>
      </w:r>
    </w:p>
    <w:p>
      <w:pPr>
        <w:spacing w:after="0" w:line="149" w:lineRule="exact"/>
        <w:rPr>
          <w:sz w:val="20"/>
          <w:szCs w:val="20"/>
          <w:color w:val="auto"/>
        </w:rPr>
      </w:pPr>
    </w:p>
    <w:p>
      <w:pPr>
        <w:jc w:val="both"/>
        <w:ind w:firstLine="472"/>
        <w:spacing w:after="0" w:line="277" w:lineRule="auto"/>
        <w:rPr>
          <w:sz w:val="20"/>
          <w:szCs w:val="20"/>
          <w:color w:val="auto"/>
        </w:rPr>
      </w:pPr>
      <w:r>
        <w:rPr>
          <w:rFonts w:ascii="Arial" w:cs="Arial" w:eastAsia="Arial" w:hAnsi="Arial"/>
          <w:sz w:val="17"/>
          <w:szCs w:val="17"/>
          <w:b w:val="1"/>
          <w:bCs w:val="1"/>
          <w:color w:val="auto"/>
        </w:rPr>
        <w:t xml:space="preserve">Other Income. </w:t>
      </w:r>
      <w:r>
        <w:rPr>
          <w:rFonts w:ascii="Arial" w:cs="Arial" w:eastAsia="Arial" w:hAnsi="Arial"/>
          <w:sz w:val="17"/>
          <w:szCs w:val="17"/>
          <w:color w:val="auto"/>
        </w:rPr>
        <w:t>Consolidated other income decreased $3.2 million in the first quarter of 2022 compared to the first quarter of 2021, primarily due to $2.8</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of other income in 2021 related to proceeds from the Canada Emergency Wage Subsidy (CEWS) and higher gains on sale of assets in 2021 compared to 2022.</w:t>
      </w:r>
    </w:p>
    <w:p>
      <w:pPr>
        <w:spacing w:after="0" w:line="161" w:lineRule="exact"/>
        <w:rPr>
          <w:sz w:val="20"/>
          <w:szCs w:val="20"/>
          <w:color w:val="auto"/>
        </w:rPr>
      </w:pPr>
    </w:p>
    <w:p>
      <w:pPr>
        <w:jc w:val="both"/>
        <w:ind w:firstLine="472"/>
        <w:spacing w:after="0" w:line="254" w:lineRule="auto"/>
        <w:rPr>
          <w:sz w:val="20"/>
          <w:szCs w:val="20"/>
          <w:color w:val="auto"/>
        </w:rPr>
      </w:pPr>
      <w:r>
        <w:rPr>
          <w:rFonts w:ascii="Arial" w:cs="Arial" w:eastAsia="Arial" w:hAnsi="Arial"/>
          <w:sz w:val="17"/>
          <w:szCs w:val="17"/>
          <w:b w:val="1"/>
          <w:bCs w:val="1"/>
          <w:color w:val="auto"/>
        </w:rPr>
        <w:t xml:space="preserve">Income Tax (Expense) Benefit. </w:t>
      </w:r>
      <w:r>
        <w:rPr>
          <w:rFonts w:ascii="Arial" w:cs="Arial" w:eastAsia="Arial" w:hAnsi="Arial"/>
          <w:sz w:val="17"/>
          <w:szCs w:val="17"/>
          <w:color w:val="auto"/>
        </w:rPr>
        <w:t>Our income tax expense for the three months ended March 31, 2022 totaled $1.6 million, or 44.9% of pretax income,</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an income tax expense of $1.1 million, or (12.9)% of pretax loss, for the three months ended March 31, 2021. Our effective tax rate for both the three months ended March 31, 2022 and 2021 was impacted by considering Canada and the U.S. loss jurisdictions that were removed from the annual effective tax rate computation for purposes of computing the interim tax provision.</w:t>
      </w:r>
    </w:p>
    <w:p>
      <w:pPr>
        <w:spacing w:after="0" w:line="194"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b w:val="1"/>
          <w:bCs w:val="1"/>
          <w:color w:val="auto"/>
        </w:rPr>
        <w:t xml:space="preserve">Other Comprehensive (Loss) Income. </w:t>
      </w:r>
      <w:r>
        <w:rPr>
          <w:rFonts w:ascii="Arial" w:cs="Arial" w:eastAsia="Arial" w:hAnsi="Arial"/>
          <w:sz w:val="17"/>
          <w:szCs w:val="17"/>
          <w:color w:val="auto"/>
        </w:rPr>
        <w:t>Other comprehensive income increased $9.6 million in the first quarter of 2022 compared to the first quarter of</w:t>
      </w:r>
      <w:r>
        <w:rPr>
          <w:rFonts w:ascii="Arial" w:cs="Arial" w:eastAsia="Arial" w:hAnsi="Arial"/>
          <w:sz w:val="17"/>
          <w:szCs w:val="17"/>
          <w:b w:val="1"/>
          <w:bCs w:val="1"/>
          <w:color w:val="auto"/>
        </w:rPr>
        <w:t xml:space="preserve"> </w:t>
      </w:r>
      <w:r>
        <w:rPr>
          <w:rFonts w:ascii="Arial" w:cs="Arial" w:eastAsia="Arial" w:hAnsi="Arial"/>
          <w:sz w:val="17"/>
          <w:szCs w:val="17"/>
          <w:color w:val="auto"/>
        </w:rPr>
        <w:t>2021, primarily as a result of foreign currency translation adjustments due to changes in the Canadian and Australian dollar exchange rates compared to the U.S. dollar. The Canadian dollar exchange rate compared to the U.S. dollar increased 1% in the first quarter of 2022 compared to a 1% increase in the first quarter of 2021. The Australian dollar exchange rate compared to the U.S. dollar increased 3% in the first quarter of 2022 compared to a 2% decrease in the first quarter of 2021.</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Canadian Segment</w:t>
      </w:r>
    </w:p>
    <w:p>
      <w:pPr>
        <w:spacing w:after="0" w:line="2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Three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3"/>
        </w:trPr>
        <w:tc>
          <w:tcPr>
            <w:tcW w:w="48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March 31,</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6"/>
        </w:trPr>
        <w:tc>
          <w:tcPr>
            <w:tcW w:w="48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13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4"/>
                <w:szCs w:val="14"/>
                <w:b w:val="1"/>
                <w:bCs w:val="1"/>
                <w:color w:val="auto"/>
              </w:rPr>
              <w:t>Change</w:t>
            </w:r>
          </w:p>
        </w:tc>
      </w:tr>
      <w:tr>
        <w:trPr>
          <w:trHeight w:val="177"/>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1"/>
        </w:trPr>
        <w:tc>
          <w:tcPr>
            <w:tcW w:w="4820" w:type="dxa"/>
            <w:vAlign w:val="bottom"/>
          </w:tcPr>
          <w:p>
            <w:pPr>
              <w:ind w:left="12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67,194</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46,530</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20,664</w:t>
            </w:r>
          </w:p>
        </w:tc>
      </w:tr>
      <w:tr>
        <w:trPr>
          <w:trHeight w:val="186"/>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 xml:space="preserve">Mobile facility rental revenue </w:t>
            </w:r>
            <w:r>
              <w:rPr>
                <w:rFonts w:ascii="Arial" w:cs="Arial" w:eastAsia="Arial" w:hAnsi="Arial"/>
                <w:sz w:val="9"/>
                <w:szCs w:val="9"/>
                <w:color w:val="auto"/>
              </w:rPr>
              <w:t>(2)</w:t>
            </w: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24,018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10,499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13,519</w:t>
            </w:r>
          </w:p>
        </w:tc>
      </w:tr>
      <w:tr>
        <w:trPr>
          <w:trHeight w:val="181"/>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(3)</w:t>
            </w: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4,740</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4,856</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(116)</w:t>
            </w:r>
          </w:p>
        </w:tc>
      </w:tr>
      <w:tr>
        <w:trPr>
          <w:trHeight w:val="179"/>
        </w:trPr>
        <w:tc>
          <w:tcPr>
            <w:tcW w:w="4820" w:type="dxa"/>
            <w:vAlign w:val="bottom"/>
            <w:shd w:val="clear" w:color="auto" w:fill="CCEEFF"/>
          </w:tcPr>
          <w:p>
            <w:pPr>
              <w:ind w:left="320"/>
              <w:spacing w:after="0"/>
              <w:rPr>
                <w:sz w:val="20"/>
                <w:szCs w:val="20"/>
                <w:color w:val="auto"/>
              </w:rPr>
            </w:pPr>
            <w:r>
              <w:rPr>
                <w:rFonts w:ascii="Arial" w:cs="Arial" w:eastAsia="Arial" w:hAnsi="Arial"/>
                <w:sz w:val="14"/>
                <w:szCs w:val="14"/>
                <w:color w:val="auto"/>
              </w:rPr>
              <w:t>Total revenues</w:t>
            </w:r>
          </w:p>
        </w:tc>
        <w:tc>
          <w:tcPr>
            <w:tcW w:w="1120" w:type="dxa"/>
            <w:vAlign w:val="bottom"/>
            <w:shd w:val="clear" w:color="auto" w:fill="CCEEFF"/>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95,952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61,885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34,067</w:t>
            </w:r>
          </w:p>
        </w:tc>
      </w:tr>
      <w:tr>
        <w:trPr>
          <w:trHeight w:val="144"/>
        </w:trPr>
        <w:tc>
          <w:tcPr>
            <w:tcW w:w="4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83"/>
        </w:trPr>
        <w:tc>
          <w:tcPr>
            <w:tcW w:w="4820" w:type="dxa"/>
            <w:vAlign w:val="bottom"/>
            <w:shd w:val="clear" w:color="auto" w:fill="CCEEFF"/>
          </w:tcPr>
          <w:p>
            <w:pPr>
              <w:spacing w:after="0"/>
              <w:rPr>
                <w:sz w:val="20"/>
                <w:szCs w:val="20"/>
                <w:color w:val="auto"/>
              </w:rPr>
            </w:pPr>
            <w:r>
              <w:rPr>
                <w:rFonts w:ascii="Arial" w:cs="Arial" w:eastAsia="Arial" w:hAnsi="Arial"/>
                <w:sz w:val="14"/>
                <w:szCs w:val="14"/>
                <w:color w:val="auto"/>
              </w:rPr>
              <w:t>Cost of sales and services ($ in thousands)</w:t>
            </w:r>
          </w:p>
        </w:tc>
        <w:tc>
          <w:tcPr>
            <w:tcW w:w="1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181"/>
        </w:trPr>
        <w:tc>
          <w:tcPr>
            <w:tcW w:w="4820" w:type="dxa"/>
            <w:vAlign w:val="bottom"/>
          </w:tcPr>
          <w:p>
            <w:pPr>
              <w:ind w:left="120"/>
              <w:spacing w:after="0"/>
              <w:rPr>
                <w:sz w:val="20"/>
                <w:szCs w:val="20"/>
                <w:color w:val="auto"/>
              </w:rPr>
            </w:pPr>
            <w:r>
              <w:rPr>
                <w:rFonts w:ascii="Arial" w:cs="Arial" w:eastAsia="Arial" w:hAnsi="Arial"/>
                <w:sz w:val="14"/>
                <w:szCs w:val="14"/>
                <w:color w:val="auto"/>
              </w:rPr>
              <w:t>Accommodation cost</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53,127</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38,336</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14,791</w:t>
            </w:r>
          </w:p>
        </w:tc>
      </w:tr>
      <w:tr>
        <w:trPr>
          <w:trHeight w:val="186"/>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Mobile facility rental cost</w:t>
            </w:r>
          </w:p>
        </w:tc>
        <w:tc>
          <w:tcPr>
            <w:tcW w:w="1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14,884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6,774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8,110</w:t>
            </w:r>
          </w:p>
        </w:tc>
      </w:tr>
      <w:tr>
        <w:trPr>
          <w:trHeight w:val="181"/>
        </w:trPr>
        <w:tc>
          <w:tcPr>
            <w:tcW w:w="4820" w:type="dxa"/>
            <w:vAlign w:val="bottom"/>
          </w:tcPr>
          <w:p>
            <w:pPr>
              <w:ind w:left="12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4,359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4,121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238</w:t>
            </w:r>
          </w:p>
        </w:tc>
      </w:tr>
      <w:tr>
        <w:trPr>
          <w:trHeight w:val="186"/>
        </w:trPr>
        <w:tc>
          <w:tcPr>
            <w:tcW w:w="4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Indirect other costs</w:t>
            </w:r>
          </w:p>
        </w:tc>
        <w:tc>
          <w:tcPr>
            <w:tcW w:w="1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2,836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2,654</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182</w:t>
            </w:r>
          </w:p>
        </w:tc>
      </w:tr>
      <w:tr>
        <w:trPr>
          <w:trHeight w:val="174"/>
        </w:trPr>
        <w:tc>
          <w:tcPr>
            <w:tcW w:w="4820" w:type="dxa"/>
            <w:vAlign w:val="bottom"/>
          </w:tcPr>
          <w:p>
            <w:pPr>
              <w:ind w:left="32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75,206</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51,885</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23,321</w:t>
            </w:r>
          </w:p>
        </w:tc>
      </w:tr>
      <w:tr>
        <w:trPr>
          <w:trHeight w:val="147"/>
        </w:trPr>
        <w:tc>
          <w:tcPr>
            <w:tcW w:w="4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21.6 %</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16.2 %</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5.5 %</w:t>
            </w:r>
          </w:p>
        </w:tc>
      </w:tr>
      <w:tr>
        <w:trPr>
          <w:trHeight w:val="147"/>
        </w:trPr>
        <w:tc>
          <w:tcPr>
            <w:tcW w:w="4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 xml:space="preserve">Average daily rate for lodges </w:t>
            </w:r>
            <w:r>
              <w:rPr>
                <w:rFonts w:ascii="Arial" w:cs="Arial" w:eastAsia="Arial" w:hAnsi="Arial"/>
                <w:sz w:val="9"/>
                <w:szCs w:val="9"/>
                <w:color w:val="auto"/>
              </w:rPr>
              <w:t>(4)</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9</w:t>
            </w:r>
          </w:p>
        </w:tc>
      </w:tr>
      <w:tr>
        <w:trPr>
          <w:trHeight w:val="147"/>
        </w:trPr>
        <w:tc>
          <w:tcPr>
            <w:tcW w:w="4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color w:val="auto"/>
              </w:rPr>
              <w:t xml:space="preserve">Total billed rooms for lodges </w:t>
            </w:r>
            <w:r>
              <w:rPr>
                <w:rFonts w:ascii="Arial" w:cs="Arial" w:eastAsia="Arial" w:hAnsi="Arial"/>
                <w:sz w:val="9"/>
                <w:szCs w:val="9"/>
                <w:color w:val="auto"/>
              </w:rPr>
              <w:t>(5)</w:t>
            </w:r>
          </w:p>
        </w:tc>
        <w:tc>
          <w:tcPr>
            <w:tcW w:w="112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635,555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480,066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155,489</w:t>
            </w:r>
          </w:p>
        </w:tc>
      </w:tr>
      <w:tr>
        <w:trPr>
          <w:trHeight w:val="147"/>
        </w:trPr>
        <w:tc>
          <w:tcPr>
            <w:tcW w:w="4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178"/>
        </w:trPr>
        <w:tc>
          <w:tcPr>
            <w:tcW w:w="4820" w:type="dxa"/>
            <w:vAlign w:val="bottom"/>
          </w:tcPr>
          <w:p>
            <w:pPr>
              <w:spacing w:after="0"/>
              <w:rPr>
                <w:sz w:val="20"/>
                <w:szCs w:val="20"/>
                <w:color w:val="auto"/>
              </w:rPr>
            </w:pPr>
            <w:r>
              <w:rPr>
                <w:rFonts w:ascii="Arial" w:cs="Arial" w:eastAsia="Arial" w:hAnsi="Arial"/>
                <w:sz w:val="14"/>
                <w:szCs w:val="14"/>
                <w:color w:val="auto"/>
              </w:rPr>
              <w:t>Average Canadian dollar to U.S. dollar</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0.790</w:t>
            </w:r>
          </w:p>
        </w:tc>
        <w:tc>
          <w:tcPr>
            <w:tcW w:w="12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ind w:right="110"/>
              <w:spacing w:after="0"/>
              <w:rPr>
                <w:sz w:val="20"/>
                <w:szCs w:val="20"/>
                <w:color w:val="auto"/>
              </w:rPr>
            </w:pPr>
            <w:r>
              <w:rPr>
                <w:rFonts w:ascii="Arial" w:cs="Arial" w:eastAsia="Arial" w:hAnsi="Arial"/>
                <w:sz w:val="14"/>
                <w:szCs w:val="14"/>
                <w:color w:val="auto"/>
              </w:rPr>
              <w:t>0.790</w:t>
            </w:r>
          </w:p>
        </w:tc>
        <w:tc>
          <w:tcPr>
            <w:tcW w:w="10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w:t>
            </w:r>
          </w:p>
        </w:tc>
      </w:tr>
    </w:tbl>
    <w:p>
      <w:pPr>
        <w:spacing w:after="0" w:line="277" w:lineRule="exact"/>
        <w:rPr>
          <w:sz w:val="20"/>
          <w:szCs w:val="20"/>
          <w:color w:val="auto"/>
        </w:rPr>
      </w:pPr>
    </w:p>
    <w:p>
      <w:pPr>
        <w:ind w:left="300" w:hanging="295"/>
        <w:spacing w:after="0"/>
        <w:tabs>
          <w:tab w:leader="none" w:pos="3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lodge rooms and hospitality services for owned rooms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mobile assets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laundry and water and wastewater treatment services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Billed rooms represents total billed days for owned assets for the periods presented.</w:t>
      </w:r>
    </w:p>
    <w:p>
      <w:pPr>
        <w:spacing w:after="0" w:line="224" w:lineRule="exact"/>
        <w:rPr>
          <w:sz w:val="20"/>
          <w:szCs w:val="20"/>
          <w:color w:val="auto"/>
        </w:rPr>
      </w:pPr>
    </w:p>
    <w:p>
      <w:pPr>
        <w:jc w:val="both"/>
        <w:ind w:firstLine="472"/>
        <w:spacing w:after="0" w:line="297" w:lineRule="auto"/>
        <w:rPr>
          <w:sz w:val="20"/>
          <w:szCs w:val="20"/>
          <w:color w:val="auto"/>
        </w:rPr>
      </w:pPr>
      <w:r>
        <w:rPr>
          <w:rFonts w:ascii="Arial" w:cs="Arial" w:eastAsia="Arial" w:hAnsi="Arial"/>
          <w:sz w:val="16"/>
          <w:szCs w:val="16"/>
          <w:color w:val="auto"/>
        </w:rPr>
        <w:t>Our Canadian segment reported revenues in the first quarter of 2022 that were $34.1 million, or 55%, higher than the first quarter of 2021. This increase was driven by higher billed rooms at our lodges as occupancy in the first quarter of 2021 was negatively impacted by the COVID-19 pandemic, particularly at our Sitka Lodge, higher average daily rate at our lodges largely due to mix and by increased mobile asset activity from pipeline projects.</w:t>
      </w:r>
    </w:p>
    <w:p>
      <w:pPr>
        <w:spacing w:after="0" w:line="181" w:lineRule="exact"/>
        <w:rPr>
          <w:sz w:val="20"/>
          <w:szCs w:val="20"/>
          <w:color w:val="auto"/>
        </w:rPr>
      </w:pPr>
    </w:p>
    <w:p>
      <w:pPr>
        <w:jc w:val="both"/>
        <w:ind w:firstLine="472"/>
        <w:spacing w:after="0" w:line="322" w:lineRule="auto"/>
        <w:rPr>
          <w:sz w:val="20"/>
          <w:szCs w:val="20"/>
          <w:color w:val="auto"/>
        </w:rPr>
      </w:pPr>
      <w:r>
        <w:rPr>
          <w:rFonts w:ascii="Arial" w:cs="Arial" w:eastAsia="Arial" w:hAnsi="Arial"/>
          <w:sz w:val="16"/>
          <w:szCs w:val="16"/>
          <w:color w:val="auto"/>
        </w:rPr>
        <w:t>Our Canadian segment cost of sales and services increased $23.3 million, or 45%, in the first quarter of 2022 compared to the first quarter of 2021. The increased cost of sales and services was driven by increased occupancy at our lodges and by increased mobile asset activity from pipeline projects.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Canadian segment gross margin as a percentage of revenues increased from 16.2% in the first quarter of 2021 to 21.6% in the first quarter of 2022.</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This was primarily driven by increased lodge and mobile asset activity and related operating efficiencies.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Australian Segment</w:t>
      </w:r>
    </w:p>
    <w:p>
      <w:pPr>
        <w:spacing w:after="0" w:line="2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Three Months Ended</w:t>
            </w:r>
          </w:p>
        </w:tc>
        <w:tc>
          <w:tcPr>
            <w:tcW w:w="3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83"/>
        </w:trPr>
        <w:tc>
          <w:tcPr>
            <w:tcW w:w="47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March 31,</w:t>
            </w: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r>
        <w:trPr>
          <w:trHeight w:val="176"/>
        </w:trPr>
        <w:tc>
          <w:tcPr>
            <w:tcW w:w="47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ind w:right="110"/>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Change</w:t>
            </w:r>
          </w:p>
        </w:tc>
      </w:tr>
      <w:tr>
        <w:trPr>
          <w:trHeight w:val="164"/>
        </w:trPr>
        <w:tc>
          <w:tcPr>
            <w:tcW w:w="47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Revenues ($ in thousands)</w:t>
            </w: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r>
      <w:tr>
        <w:trPr>
          <w:trHeight w:val="181"/>
        </w:trPr>
        <w:tc>
          <w:tcPr>
            <w:tcW w:w="4720" w:type="dxa"/>
            <w:vAlign w:val="bottom"/>
          </w:tcPr>
          <w:p>
            <w:pPr>
              <w:ind w:left="140"/>
              <w:spacing w:after="0"/>
              <w:rPr>
                <w:sz w:val="20"/>
                <w:szCs w:val="20"/>
                <w:color w:val="auto"/>
              </w:rPr>
            </w:pPr>
            <w:r>
              <w:rPr>
                <w:rFonts w:ascii="Arial" w:cs="Arial" w:eastAsia="Arial" w:hAnsi="Arial"/>
                <w:sz w:val="14"/>
                <w:szCs w:val="14"/>
                <w:color w:val="auto"/>
              </w:rPr>
              <w:t xml:space="preserve">Accommodation revenue </w:t>
            </w:r>
            <w:r>
              <w:rPr>
                <w:rFonts w:ascii="Arial" w:cs="Arial" w:eastAsia="Arial" w:hAnsi="Arial"/>
                <w:sz w:val="9"/>
                <w:szCs w:val="9"/>
                <w:color w:val="auto"/>
              </w:rPr>
              <w:t>(1)</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37,599</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33,675</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3,924</w:t>
            </w:r>
          </w:p>
        </w:tc>
      </w:tr>
      <w:tr>
        <w:trPr>
          <w:trHeight w:val="186"/>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 xml:space="preserve">Food service and other services revenue </w:t>
            </w:r>
            <w:r>
              <w:rPr>
                <w:rFonts w:ascii="Arial" w:cs="Arial" w:eastAsia="Arial" w:hAnsi="Arial"/>
                <w:sz w:val="9"/>
                <w:szCs w:val="9"/>
                <w:color w:val="auto"/>
              </w:rPr>
              <w:t>(2)</w:t>
            </w:r>
          </w:p>
        </w:tc>
        <w:tc>
          <w:tcPr>
            <w:tcW w:w="1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25,930</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25,962</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(32)</w:t>
            </w:r>
          </w:p>
        </w:tc>
      </w:tr>
      <w:tr>
        <w:trPr>
          <w:trHeight w:val="174"/>
        </w:trPr>
        <w:tc>
          <w:tcPr>
            <w:tcW w:w="4720" w:type="dxa"/>
            <w:vAlign w:val="bottom"/>
          </w:tcPr>
          <w:p>
            <w:pPr>
              <w:ind w:left="320"/>
              <w:spacing w:after="0"/>
              <w:rPr>
                <w:sz w:val="20"/>
                <w:szCs w:val="20"/>
                <w:color w:val="auto"/>
              </w:rPr>
            </w:pPr>
            <w:r>
              <w:rPr>
                <w:rFonts w:ascii="Arial" w:cs="Arial" w:eastAsia="Arial" w:hAnsi="Arial"/>
                <w:sz w:val="14"/>
                <w:szCs w:val="14"/>
                <w:color w:val="auto"/>
              </w:rPr>
              <w:t>Total revenues</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63,529</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59,637</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3,892</w:t>
            </w:r>
          </w:p>
        </w:tc>
      </w:tr>
      <w:tr>
        <w:trPr>
          <w:trHeight w:val="212"/>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20" w:type="dxa"/>
            <w:vAlign w:val="bottom"/>
          </w:tcPr>
          <w:p>
            <w:pPr>
              <w:ind w:left="20"/>
              <w:spacing w:after="0"/>
              <w:rPr>
                <w:sz w:val="20"/>
                <w:szCs w:val="20"/>
                <w:color w:val="auto"/>
              </w:rPr>
            </w:pPr>
            <w:r>
              <w:rPr>
                <w:rFonts w:ascii="Arial" w:cs="Arial" w:eastAsia="Arial" w:hAnsi="Arial"/>
                <w:sz w:val="14"/>
                <w:szCs w:val="14"/>
                <w:color w:val="auto"/>
              </w:rPr>
              <w:t>Cost of sales and services ($ in thousands)</w:t>
            </w: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6"/>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Accommodation cost</w:t>
            </w:r>
          </w:p>
        </w:tc>
        <w:tc>
          <w:tcPr>
            <w:tcW w:w="1120" w:type="dxa"/>
            <w:vAlign w:val="bottom"/>
            <w:shd w:val="clear" w:color="auto" w:fill="CCEEFF"/>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18,407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w w:val="76"/>
              </w:rPr>
              <w:t>$</w:t>
            </w: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17,105</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1,302</w:t>
            </w:r>
          </w:p>
        </w:tc>
      </w:tr>
      <w:tr>
        <w:trPr>
          <w:trHeight w:val="181"/>
        </w:trPr>
        <w:tc>
          <w:tcPr>
            <w:tcW w:w="4720" w:type="dxa"/>
            <w:vAlign w:val="bottom"/>
          </w:tcPr>
          <w:p>
            <w:pPr>
              <w:ind w:left="140"/>
              <w:spacing w:after="0"/>
              <w:rPr>
                <w:sz w:val="20"/>
                <w:szCs w:val="20"/>
                <w:color w:val="auto"/>
              </w:rPr>
            </w:pPr>
            <w:r>
              <w:rPr>
                <w:rFonts w:ascii="Arial" w:cs="Arial" w:eastAsia="Arial" w:hAnsi="Arial"/>
                <w:sz w:val="14"/>
                <w:szCs w:val="14"/>
                <w:color w:val="auto"/>
              </w:rPr>
              <w:t>Food service and other services cost</w:t>
            </w:r>
          </w:p>
        </w:tc>
        <w:tc>
          <w:tcPr>
            <w:tcW w:w="112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24,363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24,297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66</w:t>
            </w:r>
          </w:p>
        </w:tc>
      </w:tr>
      <w:tr>
        <w:trPr>
          <w:trHeight w:val="186"/>
        </w:trPr>
        <w:tc>
          <w:tcPr>
            <w:tcW w:w="4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Indirect other cost</w:t>
            </w:r>
          </w:p>
        </w:tc>
        <w:tc>
          <w:tcPr>
            <w:tcW w:w="1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1,744</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1,501</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243</w:t>
            </w:r>
          </w:p>
        </w:tc>
      </w:tr>
      <w:tr>
        <w:trPr>
          <w:trHeight w:val="174"/>
        </w:trPr>
        <w:tc>
          <w:tcPr>
            <w:tcW w:w="4720" w:type="dxa"/>
            <w:vAlign w:val="bottom"/>
          </w:tcPr>
          <w:p>
            <w:pPr>
              <w:ind w:left="320"/>
              <w:spacing w:after="0"/>
              <w:rPr>
                <w:sz w:val="20"/>
                <w:szCs w:val="20"/>
                <w:color w:val="auto"/>
              </w:rPr>
            </w:pPr>
            <w:r>
              <w:rPr>
                <w:rFonts w:ascii="Arial" w:cs="Arial" w:eastAsia="Arial" w:hAnsi="Arial"/>
                <w:sz w:val="14"/>
                <w:szCs w:val="14"/>
                <w:color w:val="auto"/>
              </w:rPr>
              <w:t>Total cost of sales and services</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44,514</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42,903</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1,611</w:t>
            </w:r>
          </w:p>
        </w:tc>
      </w:tr>
      <w:tr>
        <w:trPr>
          <w:trHeight w:val="212"/>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20" w:type="dxa"/>
            <w:vAlign w:val="bottom"/>
          </w:tcPr>
          <w:p>
            <w:pPr>
              <w:ind w:left="20"/>
              <w:spacing w:after="0"/>
              <w:rPr>
                <w:sz w:val="20"/>
                <w:szCs w:val="20"/>
                <w:color w:val="auto"/>
              </w:rPr>
            </w:pPr>
            <w:r>
              <w:rPr>
                <w:rFonts w:ascii="Arial" w:cs="Arial" w:eastAsia="Arial" w:hAnsi="Arial"/>
                <w:sz w:val="14"/>
                <w:szCs w:val="14"/>
                <w:color w:val="auto"/>
              </w:rPr>
              <w:t>Gross margin as a % of revenues</w:t>
            </w:r>
          </w:p>
        </w:tc>
        <w:tc>
          <w:tcPr>
            <w:tcW w:w="1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29.9 %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28.1 %</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12"/>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20" w:type="dxa"/>
            <w:vAlign w:val="bottom"/>
          </w:tcPr>
          <w:p>
            <w:pPr>
              <w:ind w:left="20"/>
              <w:spacing w:after="0"/>
              <w:rPr>
                <w:sz w:val="20"/>
                <w:szCs w:val="20"/>
                <w:color w:val="auto"/>
              </w:rPr>
            </w:pPr>
            <w:r>
              <w:rPr>
                <w:rFonts w:ascii="Arial" w:cs="Arial" w:eastAsia="Arial" w:hAnsi="Arial"/>
                <w:sz w:val="14"/>
                <w:szCs w:val="14"/>
                <w:color w:val="auto"/>
              </w:rPr>
              <w:t xml:space="preserve">Average daily rate for villages </w:t>
            </w:r>
            <w:r>
              <w:rPr>
                <w:rFonts w:ascii="Arial" w:cs="Arial" w:eastAsia="Arial" w:hAnsi="Arial"/>
                <w:sz w:val="9"/>
                <w:szCs w:val="9"/>
                <w:color w:val="auto"/>
              </w:rPr>
              <w:t>(3)</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w:t>
            </w:r>
          </w:p>
        </w:tc>
      </w:tr>
      <w:tr>
        <w:trPr>
          <w:trHeight w:val="212"/>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81"/>
        </w:trPr>
        <w:tc>
          <w:tcPr>
            <w:tcW w:w="4720" w:type="dxa"/>
            <w:vAlign w:val="bottom"/>
          </w:tcPr>
          <w:p>
            <w:pPr>
              <w:ind w:left="20"/>
              <w:spacing w:after="0"/>
              <w:rPr>
                <w:sz w:val="20"/>
                <w:szCs w:val="20"/>
                <w:color w:val="auto"/>
              </w:rPr>
            </w:pPr>
            <w:r>
              <w:rPr>
                <w:rFonts w:ascii="Arial" w:cs="Arial" w:eastAsia="Arial" w:hAnsi="Arial"/>
                <w:sz w:val="14"/>
                <w:szCs w:val="14"/>
                <w:color w:val="auto"/>
              </w:rPr>
              <w:t xml:space="preserve">Total billed rooms for villages </w:t>
            </w:r>
            <w:r>
              <w:rPr>
                <w:rFonts w:ascii="Arial" w:cs="Arial" w:eastAsia="Arial" w:hAnsi="Arial"/>
                <w:sz w:val="9"/>
                <w:szCs w:val="9"/>
                <w:color w:val="auto"/>
              </w:rPr>
              <w:t>(4)</w:t>
            </w:r>
          </w:p>
        </w:tc>
        <w:tc>
          <w:tcPr>
            <w:tcW w:w="1120" w:type="dxa"/>
            <w:vAlign w:val="bottom"/>
          </w:tcPr>
          <w:p>
            <w:pPr>
              <w:spacing w:after="0"/>
              <w:rPr>
                <w:sz w:val="15"/>
                <w:szCs w:val="15"/>
                <w:color w:val="auto"/>
              </w:rPr>
            </w:pPr>
          </w:p>
        </w:tc>
        <w:tc>
          <w:tcPr>
            <w:tcW w:w="700" w:type="dxa"/>
            <w:vAlign w:val="bottom"/>
          </w:tcPr>
          <w:p>
            <w:pPr>
              <w:jc w:val="right"/>
              <w:ind w:right="110"/>
              <w:spacing w:after="0"/>
              <w:rPr>
                <w:sz w:val="20"/>
                <w:szCs w:val="20"/>
                <w:color w:val="auto"/>
              </w:rPr>
            </w:pPr>
            <w:r>
              <w:rPr>
                <w:rFonts w:ascii="Arial" w:cs="Arial" w:eastAsia="Arial" w:hAnsi="Arial"/>
                <w:sz w:val="14"/>
                <w:szCs w:val="14"/>
                <w:color w:val="auto"/>
                <w:w w:val="98"/>
              </w:rPr>
              <w:t>474,474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424,666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40" w:type="dxa"/>
            <w:vAlign w:val="bottom"/>
          </w:tcPr>
          <w:p>
            <w:pPr>
              <w:jc w:val="right"/>
              <w:ind w:right="110"/>
              <w:spacing w:after="0"/>
              <w:rPr>
                <w:sz w:val="20"/>
                <w:szCs w:val="20"/>
                <w:color w:val="auto"/>
              </w:rPr>
            </w:pPr>
            <w:r>
              <w:rPr>
                <w:rFonts w:ascii="Arial" w:cs="Arial" w:eastAsia="Arial" w:hAnsi="Arial"/>
                <w:sz w:val="14"/>
                <w:szCs w:val="14"/>
                <w:color w:val="auto"/>
              </w:rPr>
              <w:t>49,808</w:t>
            </w:r>
          </w:p>
        </w:tc>
      </w:tr>
      <w:tr>
        <w:trPr>
          <w:trHeight w:val="212"/>
        </w:trPr>
        <w:tc>
          <w:tcPr>
            <w:tcW w:w="47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178"/>
        </w:trPr>
        <w:tc>
          <w:tcPr>
            <w:tcW w:w="4720" w:type="dxa"/>
            <w:vAlign w:val="bottom"/>
          </w:tcPr>
          <w:p>
            <w:pPr>
              <w:ind w:left="20"/>
              <w:spacing w:after="0"/>
              <w:rPr>
                <w:sz w:val="20"/>
                <w:szCs w:val="20"/>
                <w:color w:val="auto"/>
              </w:rPr>
            </w:pPr>
            <w:r>
              <w:rPr>
                <w:rFonts w:ascii="Arial" w:cs="Arial" w:eastAsia="Arial" w:hAnsi="Arial"/>
                <w:sz w:val="14"/>
                <w:szCs w:val="14"/>
                <w:color w:val="auto"/>
              </w:rPr>
              <w:t>Australian dollar to U.S. dollar</w:t>
            </w:r>
          </w:p>
        </w:tc>
        <w:tc>
          <w:tcPr>
            <w:tcW w:w="1120" w:type="dxa"/>
            <w:vAlign w:val="bottom"/>
          </w:tcPr>
          <w:p>
            <w:pPr>
              <w:jc w:val="right"/>
              <w:ind w:right="95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10"/>
              <w:spacing w:after="0"/>
              <w:rPr>
                <w:sz w:val="20"/>
                <w:szCs w:val="20"/>
                <w:color w:val="auto"/>
              </w:rPr>
            </w:pPr>
            <w:r>
              <w:rPr>
                <w:rFonts w:ascii="Arial" w:cs="Arial" w:eastAsia="Arial" w:hAnsi="Arial"/>
                <w:sz w:val="14"/>
                <w:szCs w:val="14"/>
                <w:color w:val="auto"/>
              </w:rPr>
              <w:t>0.724</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ind w:right="110"/>
              <w:spacing w:after="0"/>
              <w:rPr>
                <w:sz w:val="20"/>
                <w:szCs w:val="20"/>
                <w:color w:val="auto"/>
              </w:rPr>
            </w:pPr>
            <w:r>
              <w:rPr>
                <w:rFonts w:ascii="Arial" w:cs="Arial" w:eastAsia="Arial" w:hAnsi="Arial"/>
                <w:sz w:val="14"/>
                <w:szCs w:val="14"/>
                <w:color w:val="auto"/>
              </w:rPr>
              <w:t>0.773</w:t>
            </w:r>
          </w:p>
        </w:tc>
        <w:tc>
          <w:tcPr>
            <w:tcW w:w="120" w:type="dxa"/>
            <w:vAlign w:val="bottom"/>
          </w:tcPr>
          <w:p>
            <w:pPr>
              <w:spacing w:after="0"/>
              <w:rPr>
                <w:sz w:val="15"/>
                <w:szCs w:val="15"/>
                <w:color w:val="auto"/>
              </w:rPr>
            </w:pPr>
          </w:p>
        </w:tc>
        <w:tc>
          <w:tcPr>
            <w:tcW w:w="380" w:type="dxa"/>
            <w:vAlign w:val="bottom"/>
          </w:tcPr>
          <w:p>
            <w:pPr>
              <w:jc w:val="right"/>
              <w:ind w:right="230"/>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90"/>
              <w:spacing w:after="0"/>
              <w:rPr>
                <w:sz w:val="20"/>
                <w:szCs w:val="20"/>
                <w:color w:val="auto"/>
              </w:rPr>
            </w:pPr>
            <w:r>
              <w:rPr>
                <w:rFonts w:ascii="Arial" w:cs="Arial" w:eastAsia="Arial" w:hAnsi="Arial"/>
                <w:sz w:val="14"/>
                <w:szCs w:val="14"/>
                <w:color w:val="auto"/>
              </w:rPr>
              <w:t>(0.049)</w:t>
            </w:r>
          </w:p>
        </w:tc>
      </w:tr>
    </w:tbl>
    <w:p>
      <w:pPr>
        <w:spacing w:after="0" w:line="277" w:lineRule="exact"/>
        <w:rPr>
          <w:sz w:val="20"/>
          <w:szCs w:val="20"/>
          <w:color w:val="auto"/>
        </w:rPr>
      </w:pPr>
    </w:p>
    <w:p>
      <w:pPr>
        <w:ind w:left="300" w:hanging="295"/>
        <w:spacing w:after="0"/>
        <w:tabs>
          <w:tab w:leader="none" w:pos="3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village rooms and hospitality services for owned rooms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Includes revenues related to food services and other services, including facilities management for the periods presented.</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Average daily rate is based on billed rooms and accommodation revenue.</w:t>
      </w:r>
    </w:p>
    <w:p>
      <w:pPr>
        <w:spacing w:after="0" w:line="2" w:lineRule="exact"/>
        <w:rPr>
          <w:rFonts w:ascii="Arial" w:cs="Arial" w:eastAsia="Arial" w:hAnsi="Arial"/>
          <w:sz w:val="23"/>
          <w:szCs w:val="23"/>
          <w:color w:val="auto"/>
          <w:vertAlign w:val="superscript"/>
        </w:rPr>
      </w:pPr>
    </w:p>
    <w:p>
      <w:pPr>
        <w:ind w:left="300" w:hanging="295"/>
        <w:spacing w:after="0" w:line="188" w:lineRule="auto"/>
        <w:tabs>
          <w:tab w:leader="none" w:pos="30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Billed rooms represent total billed days for owned assets for the periods presented.</w:t>
      </w:r>
    </w:p>
    <w:p>
      <w:pPr>
        <w:spacing w:after="0" w:line="224"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Our Australian segment reported revenues in the first quarter of 2022 that were $3.9 million, or 7%, higher than the first quarter of 2021. The weakening of the average exchange rate for Australian dollars relative to the U.S. dollar by 6% in the first quarter of 2022 compared to the first quarter of 2021 resulted in a $4.2 million period-over-period decrease in revenues. Excluding the impact of the weaker Australian exchange rate, the Australian segment experienced increased activity at Civeo owned villages in the Bowen Basin.</w:t>
      </w:r>
    </w:p>
    <w:p>
      <w:pPr>
        <w:spacing w:after="0" w:line="178"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Australian segment cost of sales and services increased $1.6 million, or 4%, in the first quarter of 2022 compared to the first quarter of 2021. The weakening of the average exchange rate for Australian dollars relative to the U.S. dollar by 6% in the first quarter of 2022 compared to the first quarter of 2021 resulted in a $3.0 million period-over-period decrease in cost of sales and services. Excluding the impact of the weaker Australian exchange rate, the increase in cost of sales and services was largely driven by increased occupancy at our Bowen Basin villages and increased costs of temporary labor due to ongoing labor shortages.</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Our Australian segment gross margin as a percentage of revenues increased to 29.9% in the first quarter of 2022 from 28.1% in the first quarter of 2021.</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This was primarily driven by improved margins at Civeo owned villages in the Bowen Basin as a result of increased occupancy.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Results of Operations – U.S. Segment</w:t>
      </w:r>
    </w:p>
    <w:p>
      <w:pPr>
        <w:spacing w:after="0" w:line="23"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3"/>
        </w:trPr>
        <w:tc>
          <w:tcPr>
            <w:tcW w:w="30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March 31,</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r>
      <w:tr>
        <w:trPr>
          <w:trHeight w:val="176"/>
        </w:trPr>
        <w:tc>
          <w:tcPr>
            <w:tcW w:w="30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4"/>
                <w:szCs w:val="14"/>
                <w:b w:val="1"/>
                <w:bCs w:val="1"/>
                <w:color w:val="auto"/>
              </w:rPr>
              <w:t>2022</w:t>
            </w:r>
          </w:p>
        </w:tc>
        <w:tc>
          <w:tcPr>
            <w:tcW w:w="4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400" w:type="dxa"/>
            <w:vAlign w:val="bottom"/>
            <w:tcBorders>
              <w:bottom w:val="single" w:sz="8" w:color="auto"/>
            </w:tcBorders>
          </w:tcPr>
          <w:p>
            <w:pPr>
              <w:spacing w:after="0"/>
              <w:rPr>
                <w:sz w:val="15"/>
                <w:szCs w:val="15"/>
                <w:color w:val="auto"/>
              </w:rPr>
            </w:pPr>
          </w:p>
        </w:tc>
      </w:tr>
      <w:tr>
        <w:trPr>
          <w:trHeight w:val="177"/>
        </w:trPr>
        <w:tc>
          <w:tcPr>
            <w:tcW w:w="3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Revenues ($ in thousands)</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6,197</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3,908</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2,289</w:t>
            </w:r>
          </w:p>
        </w:tc>
        <w:tc>
          <w:tcPr>
            <w:tcW w:w="400" w:type="dxa"/>
            <w:vAlign w:val="bottom"/>
            <w:shd w:val="clear" w:color="auto" w:fill="CCEEFF"/>
          </w:tcPr>
          <w:p>
            <w:pPr>
              <w:spacing w:after="0"/>
              <w:rPr>
                <w:sz w:val="15"/>
                <w:szCs w:val="15"/>
                <w:color w:val="auto"/>
              </w:rPr>
            </w:pPr>
          </w:p>
        </w:tc>
      </w:tr>
      <w:tr>
        <w:trPr>
          <w:trHeight w:val="210"/>
        </w:trPr>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83"/>
        </w:trPr>
        <w:tc>
          <w:tcPr>
            <w:tcW w:w="3080" w:type="dxa"/>
            <w:vAlign w:val="bottom"/>
            <w:shd w:val="clear" w:color="auto" w:fill="CCEEFF"/>
          </w:tcPr>
          <w:p>
            <w:pPr>
              <w:ind w:left="500"/>
              <w:spacing w:after="0"/>
              <w:rPr>
                <w:sz w:val="20"/>
                <w:szCs w:val="20"/>
                <w:color w:val="auto"/>
              </w:rPr>
            </w:pPr>
            <w:r>
              <w:rPr>
                <w:rFonts w:ascii="Arial" w:cs="Arial" w:eastAsia="Arial" w:hAnsi="Arial"/>
                <w:sz w:val="14"/>
                <w:szCs w:val="14"/>
                <w:color w:val="auto"/>
                <w:w w:val="95"/>
              </w:rPr>
              <w:t>Cost of sales and services ($ in thousands)</w:t>
            </w: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6,123</w:t>
            </w: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5,022</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27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1,101</w:t>
            </w:r>
          </w:p>
        </w:tc>
        <w:tc>
          <w:tcPr>
            <w:tcW w:w="400" w:type="dxa"/>
            <w:vAlign w:val="bottom"/>
            <w:shd w:val="clear" w:color="auto" w:fill="CCEEFF"/>
          </w:tcPr>
          <w:p>
            <w:pPr>
              <w:spacing w:after="0"/>
              <w:rPr>
                <w:sz w:val="15"/>
                <w:szCs w:val="15"/>
                <w:color w:val="auto"/>
              </w:rPr>
            </w:pPr>
          </w:p>
        </w:tc>
      </w:tr>
      <w:tr>
        <w:trPr>
          <w:trHeight w:val="210"/>
        </w:trPr>
        <w:tc>
          <w:tcPr>
            <w:tcW w:w="3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83"/>
        </w:trPr>
        <w:tc>
          <w:tcPr>
            <w:tcW w:w="3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Gross margin as a % of revenues</w:t>
            </w:r>
          </w:p>
        </w:tc>
        <w:tc>
          <w:tcPr>
            <w:tcW w:w="9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1.2</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80" w:type="dxa"/>
            <w:vAlign w:val="bottom"/>
            <w:shd w:val="clear" w:color="auto" w:fill="CCEEFF"/>
          </w:tcPr>
          <w:p>
            <w:pPr>
              <w:ind w:left="760"/>
              <w:spacing w:after="0"/>
              <w:rPr>
                <w:sz w:val="20"/>
                <w:szCs w:val="20"/>
                <w:color w:val="auto"/>
              </w:rPr>
            </w:pPr>
            <w:r>
              <w:rPr>
                <w:rFonts w:ascii="Arial" w:cs="Arial" w:eastAsia="Arial" w:hAnsi="Arial"/>
                <w:sz w:val="14"/>
                <w:szCs w:val="14"/>
                <w:color w:val="auto"/>
              </w:rPr>
              <w:t>(28.5)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4"/>
                <w:szCs w:val="14"/>
                <w:color w:val="auto"/>
              </w:rPr>
              <w:t>29.7</w:t>
            </w: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bl>
    <w:p>
      <w:pPr>
        <w:spacing w:after="0" w:line="289" w:lineRule="exact"/>
        <w:rPr>
          <w:sz w:val="20"/>
          <w:szCs w:val="20"/>
          <w:color w:val="auto"/>
        </w:rPr>
      </w:pPr>
    </w:p>
    <w:p>
      <w:pPr>
        <w:jc w:val="both"/>
        <w:ind w:firstLine="472"/>
        <w:spacing w:after="0" w:line="322" w:lineRule="auto"/>
        <w:rPr>
          <w:sz w:val="20"/>
          <w:szCs w:val="20"/>
          <w:color w:val="auto"/>
        </w:rPr>
      </w:pPr>
      <w:r>
        <w:rPr>
          <w:rFonts w:ascii="Arial" w:cs="Arial" w:eastAsia="Arial" w:hAnsi="Arial"/>
          <w:sz w:val="16"/>
          <w:szCs w:val="16"/>
          <w:color w:val="auto"/>
        </w:rPr>
        <w:t>Our U.S. segment reported revenues in the first quarter of 2022 that were $2.3 million, or 59%, higher than the first quarter of 2021. This increase was due to increased activity in our offshore rental and fabrication businesses and increased U.S. drilling activity positively impacting our wellsite business.</w:t>
      </w:r>
    </w:p>
    <w:p>
      <w:pPr>
        <w:spacing w:after="0" w:line="135" w:lineRule="exact"/>
        <w:rPr>
          <w:sz w:val="20"/>
          <w:szCs w:val="20"/>
          <w:color w:val="auto"/>
        </w:rPr>
      </w:pPr>
    </w:p>
    <w:p>
      <w:pPr>
        <w:jc w:val="both"/>
        <w:ind w:firstLine="472"/>
        <w:spacing w:after="0" w:line="325" w:lineRule="auto"/>
        <w:rPr>
          <w:sz w:val="20"/>
          <w:szCs w:val="20"/>
          <w:color w:val="auto"/>
        </w:rPr>
      </w:pPr>
      <w:r>
        <w:rPr>
          <w:rFonts w:ascii="Arial" w:cs="Arial" w:eastAsia="Arial" w:hAnsi="Arial"/>
          <w:sz w:val="15"/>
          <w:szCs w:val="15"/>
          <w:color w:val="auto"/>
        </w:rPr>
        <w:t>Our U.S. segment cost of sales and services increased in the first quarter of 2022 compared to the first quarter of 2021. This increase was due to increased activity in our offshore rental and fabrication businesses and increased U.S. drilling activity positively impacting our wellsite business. These increases were partially offset by reduced costs from our former West Permian lodge, which operated in the first quarter of 2021 and was sold in the fourth quarter of 2021.</w:t>
      </w:r>
    </w:p>
    <w:p>
      <w:pPr>
        <w:spacing w:after="0" w:line="164"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Our U.S. segment gross margin as a percentage of revenues increased from (28.5)% in the first quarter of 2021 to 1.2% in the first quarter of 2022 primarily due to improved operating efficiencies in our offshore and wellsite businesses at higher activity levels.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6" w:lineRule="exact"/>
        <w:rPr>
          <w:sz w:val="20"/>
          <w:szCs w:val="20"/>
          <w:color w:val="auto"/>
        </w:rPr>
      </w:pPr>
    </w:p>
    <w:p>
      <w:pPr>
        <w:jc w:val="both"/>
        <w:ind w:firstLine="472"/>
        <w:spacing w:after="0" w:line="285" w:lineRule="auto"/>
        <w:rPr>
          <w:sz w:val="20"/>
          <w:szCs w:val="20"/>
          <w:color w:val="auto"/>
        </w:rPr>
      </w:pPr>
      <w:r>
        <w:rPr>
          <w:rFonts w:ascii="Arial" w:cs="Arial" w:eastAsia="Arial" w:hAnsi="Arial"/>
          <w:sz w:val="16"/>
          <w:szCs w:val="16"/>
          <w:color w:val="auto"/>
        </w:rPr>
        <w:t>Our primary liquidity needs are to fund capital expenditures, which in the past have included expanding and improving our hospitality services, developing new lodges and villages, purchasing or leasing land, and for general working capital needs. In addition, capital has been used to repay debt, repurchase our common shares and fund strategic business acquisitions. Historically, our primary sources of funds have been available cash, cash flow from operations, borrowings under our Credit Agreement and proceeds from equity issuances. In the future, we may seek to access the debt and equity capital markets from time to time to raise additional capital, increase liquidity, fund acquisitions, refinance debt or retire preferred shares.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consolidated liquidity position as of March 31, 2022 and December 31, 2021 (in thousands):</w:t>
      </w:r>
    </w:p>
    <w:p>
      <w:pPr>
        <w:spacing w:after="0" w:line="43" w:lineRule="exact"/>
        <w:rPr>
          <w:sz w:val="20"/>
          <w:szCs w:val="20"/>
          <w:color w:val="auto"/>
        </w:rPr>
      </w:pPr>
    </w:p>
    <w:tbl>
      <w:tblPr>
        <w:tblLayout w:type="fixed"/>
        <w:tblInd w:w="48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2022</w:t>
            </w:r>
          </w:p>
        </w:tc>
        <w:tc>
          <w:tcPr>
            <w:tcW w:w="640" w:type="dxa"/>
            <w:vAlign w:val="bottom"/>
          </w:tcPr>
          <w:p>
            <w:pPr>
              <w:spacing w:after="0"/>
              <w:rPr>
                <w:sz w:val="16"/>
                <w:szCs w:val="16"/>
                <w:color w:val="auto"/>
              </w:rPr>
            </w:pPr>
          </w:p>
        </w:tc>
        <w:tc>
          <w:tcPr>
            <w:tcW w:w="1500" w:type="dxa"/>
            <w:vAlign w:val="bottom"/>
          </w:tcPr>
          <w:p>
            <w:pPr>
              <w:jc w:val="right"/>
              <w:ind w:right="210"/>
              <w:spacing w:after="0"/>
              <w:rPr>
                <w:sz w:val="20"/>
                <w:szCs w:val="20"/>
                <w:color w:val="auto"/>
              </w:rPr>
            </w:pPr>
            <w:r>
              <w:rPr>
                <w:rFonts w:ascii="Arial" w:cs="Arial" w:eastAsia="Arial" w:hAnsi="Arial"/>
                <w:sz w:val="14"/>
                <w:szCs w:val="14"/>
                <w:b w:val="1"/>
                <w:bCs w:val="1"/>
                <w:color w:val="auto"/>
                <w:w w:val="95"/>
              </w:rPr>
              <w:t>December 31, 2021</w:t>
            </w:r>
          </w:p>
        </w:tc>
      </w:tr>
      <w:tr>
        <w:trPr>
          <w:trHeight w:val="182"/>
        </w:trPr>
        <w:tc>
          <w:tcPr>
            <w:tcW w:w="636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Lender commitments</w:t>
            </w:r>
          </w:p>
        </w:tc>
        <w:tc>
          <w:tcPr>
            <w:tcW w:w="7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200,000</w:t>
            </w:r>
          </w:p>
        </w:tc>
        <w:tc>
          <w:tcPr>
            <w:tcW w:w="1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200,000</w:t>
            </w:r>
          </w:p>
        </w:tc>
      </w:tr>
      <w:tr>
        <w:trPr>
          <w:trHeight w:val="181"/>
        </w:trPr>
        <w:tc>
          <w:tcPr>
            <w:tcW w:w="6360" w:type="dxa"/>
            <w:vAlign w:val="bottom"/>
          </w:tcPr>
          <w:p>
            <w:pPr>
              <w:ind w:left="600"/>
              <w:spacing w:after="0"/>
              <w:rPr>
                <w:sz w:val="20"/>
                <w:szCs w:val="20"/>
                <w:color w:val="auto"/>
              </w:rPr>
            </w:pPr>
            <w:r>
              <w:rPr>
                <w:rFonts w:ascii="Arial" w:cs="Arial" w:eastAsia="Arial" w:hAnsi="Arial"/>
                <w:sz w:val="14"/>
                <w:szCs w:val="14"/>
                <w:color w:val="auto"/>
              </w:rPr>
              <w:t>Borrowings against revolving credit capacity</w:t>
            </w:r>
          </w:p>
        </w:tc>
        <w:tc>
          <w:tcPr>
            <w:tcW w:w="7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(121,886)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(112,026)</w:t>
            </w:r>
          </w:p>
        </w:tc>
      </w:tr>
      <w:tr>
        <w:trPr>
          <w:trHeight w:val="186"/>
        </w:trPr>
        <w:tc>
          <w:tcPr>
            <w:tcW w:w="63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Outstanding letters of credit</w:t>
            </w:r>
          </w:p>
        </w:tc>
        <w:tc>
          <w:tcPr>
            <w:tcW w:w="7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(1,439)</w:t>
            </w:r>
          </w:p>
        </w:tc>
      </w:tr>
      <w:tr>
        <w:trPr>
          <w:trHeight w:val="174"/>
        </w:trPr>
        <w:tc>
          <w:tcPr>
            <w:tcW w:w="6360" w:type="dxa"/>
            <w:vAlign w:val="bottom"/>
          </w:tcPr>
          <w:p>
            <w:pPr>
              <w:ind w:left="500"/>
              <w:spacing w:after="0"/>
              <w:rPr>
                <w:sz w:val="20"/>
                <w:szCs w:val="20"/>
                <w:color w:val="auto"/>
              </w:rPr>
            </w:pPr>
            <w:r>
              <w:rPr>
                <w:rFonts w:ascii="Arial" w:cs="Arial" w:eastAsia="Arial" w:hAnsi="Arial"/>
                <w:sz w:val="14"/>
                <w:szCs w:val="14"/>
                <w:color w:val="auto"/>
              </w:rPr>
              <w:t>Unused availability</w:t>
            </w:r>
          </w:p>
        </w:tc>
        <w:tc>
          <w:tcPr>
            <w:tcW w:w="700" w:type="dxa"/>
            <w:vAlign w:val="bottom"/>
          </w:tcPr>
          <w:p>
            <w:pPr>
              <w:spacing w:after="0"/>
              <w:rPr>
                <w:sz w:val="15"/>
                <w:szCs w:val="15"/>
                <w:color w:val="auto"/>
              </w:rPr>
            </w:pPr>
          </w:p>
        </w:tc>
        <w:tc>
          <w:tcPr>
            <w:tcW w:w="1460" w:type="dxa"/>
            <w:vAlign w:val="bottom"/>
          </w:tcPr>
          <w:p>
            <w:pPr>
              <w:jc w:val="right"/>
              <w:ind w:right="10"/>
              <w:spacing w:after="0"/>
              <w:rPr>
                <w:sz w:val="20"/>
                <w:szCs w:val="20"/>
                <w:color w:val="auto"/>
              </w:rPr>
            </w:pPr>
            <w:r>
              <w:rPr>
                <w:rFonts w:ascii="Arial" w:cs="Arial" w:eastAsia="Arial" w:hAnsi="Arial"/>
                <w:sz w:val="14"/>
                <w:szCs w:val="14"/>
                <w:color w:val="auto"/>
              </w:rPr>
              <w:t>76,658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86,535</w:t>
            </w:r>
          </w:p>
        </w:tc>
      </w:tr>
      <w:tr>
        <w:trPr>
          <w:trHeight w:val="183"/>
        </w:trPr>
        <w:tc>
          <w:tcPr>
            <w:tcW w:w="63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7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6,423</w:t>
            </w:r>
          </w:p>
        </w:tc>
        <w:tc>
          <w:tcPr>
            <w:tcW w:w="100" w:type="dxa"/>
            <w:vAlign w:val="bottom"/>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6,282</w:t>
            </w:r>
          </w:p>
        </w:tc>
      </w:tr>
      <w:tr>
        <w:trPr>
          <w:trHeight w:val="179"/>
        </w:trPr>
        <w:tc>
          <w:tcPr>
            <w:tcW w:w="6360" w:type="dxa"/>
            <w:vAlign w:val="bottom"/>
          </w:tcPr>
          <w:p>
            <w:pPr>
              <w:ind w:left="500"/>
              <w:spacing w:after="0"/>
              <w:rPr>
                <w:sz w:val="20"/>
                <w:szCs w:val="20"/>
                <w:color w:val="auto"/>
              </w:rPr>
            </w:pPr>
            <w:r>
              <w:rPr>
                <w:rFonts w:ascii="Arial" w:cs="Arial" w:eastAsia="Arial" w:hAnsi="Arial"/>
                <w:sz w:val="14"/>
                <w:szCs w:val="14"/>
                <w:color w:val="auto"/>
              </w:rPr>
              <w:t>Total available liquidity</w:t>
            </w: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83,081</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92,817</w:t>
            </w:r>
          </w:p>
        </w:tc>
      </w:tr>
      <w:tr>
        <w:trPr>
          <w:trHeight w:val="20"/>
        </w:trPr>
        <w:tc>
          <w:tcPr>
            <w:tcW w:w="6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Cash totaling $2.0 million was provided by operations during the three months ended March 31, 2022, compared to $12.8 million provided by operations during the three months ended March 31, 2021. During the three months ended March 31, 2022 and 2021, $21.8 million and $0.1 million was used in working capital, respectively. The increase in cash used in working capital in 2022 compared to 2021 is largely due to increased accounts receivable balances resulting from increased activity in our Canadian and Australian businesses during the three months ended March 31, 2022 compared to the three months ended March 31, 2021 and decreased accounts payable and accrual balances largely due to timing of payments.</w:t>
      </w:r>
    </w:p>
    <w:p>
      <w:pPr>
        <w:spacing w:after="0" w:line="204"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Cash was used in investing activities during the three months ended March 31, 2022 in the amount of $1.0 million, compared to cash provided by investing activities during the three months ended March 31, 2021 in the amount of $3.3 million. The decrease in cash provided by investing activities was primarily due to proceeds from the sale of our manufacturing facility and mobile assets in Canada during the three months ended March 31, 2021. Capital expenditures totaled $3.6 million and $3.4 million during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20" w:lineRule="exact"/>
        <w:rPr>
          <w:sz w:val="20"/>
          <w:szCs w:val="20"/>
          <w:color w:val="auto"/>
        </w:rPr>
      </w:pPr>
    </w:p>
    <w:p>
      <w:pPr>
        <w:jc w:val="both"/>
        <w:ind w:firstLine="472"/>
        <w:spacing w:after="0" w:line="280" w:lineRule="auto"/>
        <w:rPr>
          <w:sz w:val="20"/>
          <w:szCs w:val="20"/>
          <w:color w:val="auto"/>
        </w:rPr>
      </w:pPr>
      <w:r>
        <w:rPr>
          <w:rFonts w:ascii="Arial" w:cs="Arial" w:eastAsia="Arial" w:hAnsi="Arial"/>
          <w:sz w:val="16"/>
          <w:szCs w:val="16"/>
          <w:color w:val="auto"/>
        </w:rPr>
        <w:t>We expect our capital expenditures for 2022 to be in the range of $20 million to $25 million, which excludes any unannounced and uncommitted projects, the spending for which is contingent on obtaining customer contracts or commitments. Whether planned expenditures will actually be spent in 2022 depends on industry conditions, project approvals and schedules, customer room commitments and project and construction timing. We expect to fund these capital expenditures with available cash, cash flow from operations and revolving credit borrowings under our Credit Agreement. The foregoing capital expenditure forecast does not include any funds for strategic acquisitions, which we could pursue should the transaction economics be attractive enough to us compared to the current capital allocation priorities of debt reduction. We continue to monitor the global economy, the price of and demand for crude oil, met coal, LNG and iron ore and the resultant impact on the capital spending plans of our customers, the COVID-19 global pandemic and the responses thereto in order to plan our business activities, and we may adjust our capital expenditure plans in the future.</w:t>
      </w:r>
    </w:p>
    <w:p>
      <w:pPr>
        <w:spacing w:after="0" w:line="169"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Net cash of $1.3 million was used in financing activities during the three months ended March 31, 2022 primarily due to term loan repayments of $8.0 million and $1.0 million used to settle tax obligations on vested shares under our share-based compensation plans, partially offset by net borrowings under our revolving credit facilities of $7.7 million. Net cash of $16.7 million was used in financing activities during the three months ended March 31, 2021 primarily due to net repayments under our revolving credit facilities of $6.7 million, repayments of term loan borrowings of $8.9 million and $1.1 million used to settle tax obligations on vested shares under our share-based compensation plans.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changes in debt outstanding during the three months ended March 31, 2022 (in thousands):</w:t>
      </w:r>
    </w:p>
    <w:p>
      <w:pPr>
        <w:spacing w:after="0" w:line="328" w:lineRule="exact"/>
        <w:rPr>
          <w:sz w:val="20"/>
          <w:szCs w:val="20"/>
          <w:color w:val="auto"/>
        </w:rPr>
      </w:pPr>
    </w:p>
    <w:tbl>
      <w:tblPr>
        <w:tblLayout w:type="fixed"/>
        <w:tblInd w:w="2460" w:type="dxa"/>
        <w:tblCellMar>
          <w:top w:w="0" w:type="dxa"/>
          <w:left w:w="0" w:type="dxa"/>
          <w:bottom w:w="0" w:type="dxa"/>
          <w:right w:w="0" w:type="dxa"/>
        </w:tblCellMar>
      </w:tblPr>
      <w:tr>
        <w:trPr>
          <w:trHeight w:val="183"/>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480" w:type="dxa"/>
            <w:vAlign w:val="bottom"/>
            <w:shd w:val="clear" w:color="auto" w:fill="CCEEFF"/>
          </w:tcPr>
          <w:p>
            <w:pPr>
              <w:jc w:val="right"/>
              <w:ind w:right="33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175,130</w:t>
            </w:r>
          </w:p>
        </w:tc>
      </w:tr>
      <w:tr>
        <w:trPr>
          <w:trHeight w:val="181"/>
        </w:trPr>
        <w:tc>
          <w:tcPr>
            <w:tcW w:w="4960" w:type="dxa"/>
            <w:vAlign w:val="bottom"/>
          </w:tcPr>
          <w:p>
            <w:pPr>
              <w:ind w:left="120"/>
              <w:spacing w:after="0"/>
              <w:rPr>
                <w:sz w:val="20"/>
                <w:szCs w:val="20"/>
                <w:color w:val="auto"/>
              </w:rPr>
            </w:pPr>
            <w:r>
              <w:rPr>
                <w:rFonts w:ascii="Arial" w:cs="Arial" w:eastAsia="Arial" w:hAnsi="Arial"/>
                <w:sz w:val="14"/>
                <w:szCs w:val="14"/>
                <w:color w:val="auto"/>
              </w:rPr>
              <w:t>Borrowings under revolving credit facilities</w:t>
            </w: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94,266</w:t>
            </w:r>
          </w:p>
        </w:tc>
      </w:tr>
      <w:tr>
        <w:trPr>
          <w:trHeight w:val="186"/>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Repayments of borrowings under revolving credit facilities</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(86,586)</w:t>
            </w:r>
          </w:p>
        </w:tc>
      </w:tr>
      <w:tr>
        <w:trPr>
          <w:trHeight w:val="181"/>
        </w:trPr>
        <w:tc>
          <w:tcPr>
            <w:tcW w:w="4960" w:type="dxa"/>
            <w:vAlign w:val="bottom"/>
          </w:tcPr>
          <w:p>
            <w:pPr>
              <w:ind w:left="120"/>
              <w:spacing w:after="0"/>
              <w:rPr>
                <w:sz w:val="20"/>
                <w:szCs w:val="20"/>
                <w:color w:val="auto"/>
              </w:rPr>
            </w:pPr>
            <w:r>
              <w:rPr>
                <w:rFonts w:ascii="Arial" w:cs="Arial" w:eastAsia="Arial" w:hAnsi="Arial"/>
                <w:sz w:val="14"/>
                <w:szCs w:val="14"/>
                <w:color w:val="auto"/>
              </w:rPr>
              <w:t>Repayments of term loans</w:t>
            </w:r>
          </w:p>
        </w:tc>
        <w:tc>
          <w:tcPr>
            <w:tcW w:w="4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(8,003)</w:t>
            </w:r>
          </w:p>
        </w:tc>
      </w:tr>
      <w:tr>
        <w:trPr>
          <w:trHeight w:val="183"/>
        </w:trPr>
        <w:tc>
          <w:tcPr>
            <w:tcW w:w="4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Translation</w:t>
            </w:r>
          </w:p>
        </w:tc>
        <w:tc>
          <w:tcPr>
            <w:tcW w:w="4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3,100</w:t>
            </w:r>
          </w:p>
        </w:tc>
      </w:tr>
      <w:tr>
        <w:trPr>
          <w:trHeight w:val="179"/>
        </w:trPr>
        <w:tc>
          <w:tcPr>
            <w:tcW w:w="4960" w:type="dxa"/>
            <w:vAlign w:val="bottom"/>
          </w:tcPr>
          <w:p>
            <w:pPr>
              <w:ind w:left="20"/>
              <w:spacing w:after="0"/>
              <w:rPr>
                <w:sz w:val="20"/>
                <w:szCs w:val="20"/>
                <w:color w:val="auto"/>
              </w:rPr>
            </w:pPr>
            <w:r>
              <w:rPr>
                <w:rFonts w:ascii="Arial" w:cs="Arial" w:eastAsia="Arial" w:hAnsi="Arial"/>
                <w:sz w:val="14"/>
                <w:szCs w:val="14"/>
                <w:color w:val="auto"/>
              </w:rPr>
              <w:t>Balance at March 31, 2022</w:t>
            </w: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177,907</w:t>
            </w:r>
          </w:p>
        </w:tc>
      </w:tr>
      <w:tr>
        <w:trPr>
          <w:trHeight w:val="20"/>
        </w:trPr>
        <w:tc>
          <w:tcPr>
            <w:tcW w:w="4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6"/>
          <w:szCs w:val="16"/>
          <w:color w:val="auto"/>
        </w:rPr>
        <w:t>We believe that cash on hand and cash flow from operations will be sufficient to meet our anticipated liquidity needs in the coming 12 months. If our plans or assumptions change, including as a result of the impact of COVID-19 or changes in price of and demand for oil, or are inaccurate, or if we make acquisitions, we may need to raise additional capital. Acquisitions have been, and our management believes acquisitions will continue to be, an element of our long-term business strategy. The timing, size or success of any acquisition effort and the associated potential capital commitments are unpredictable and uncertain. We may seek to fund all or part of any such efforts with proceeds from debt and/or equity issuances or may issue equity directly to the sellers. Our ability to obtain capital for additional projects to implement our growth strategy over the longer term will depend on our future operating performance, financial condition and, more broadly, on the availability of equity and debt financing. Capital availability will be affected by prevailing conditions in our industry, the global economy, the global financial markets and other factors, many of which are beyond our control. In addition, any additional debt service requirements we take on could be based on higher interest rates and shorter maturities and could impose a significant burden on our results of operations and financial condition, and the issuance of additional equity securities could result in significant dilution to shareholders.</w:t>
      </w:r>
    </w:p>
    <w:p>
      <w:pPr>
        <w:spacing w:after="0" w:line="200" w:lineRule="exact"/>
        <w:rPr>
          <w:sz w:val="20"/>
          <w:szCs w:val="20"/>
          <w:color w:val="auto"/>
        </w:rPr>
      </w:pPr>
    </w:p>
    <w:p>
      <w:pPr>
        <w:jc w:val="both"/>
        <w:ind w:firstLine="472"/>
        <w:spacing w:after="0" w:line="273" w:lineRule="auto"/>
        <w:rPr>
          <w:sz w:val="20"/>
          <w:szCs w:val="20"/>
          <w:color w:val="auto"/>
        </w:rPr>
      </w:pPr>
      <w:r>
        <w:rPr>
          <w:rFonts w:ascii="Arial" w:cs="Arial" w:eastAsia="Arial" w:hAnsi="Arial"/>
          <w:sz w:val="17"/>
          <w:szCs w:val="17"/>
          <w:color w:val="auto"/>
        </w:rPr>
        <w:t>In August 2021, our Board authorized a common share repurchase program to repurchase up to 5.0% of our total common shares which are issued and outstanding, or 715,814 common shares, over a twelve month period. See Note 11 – Share Repurchase Program to the notes to the unaudited consolidated financial statements included in Item 1 of this quarterly report for further discussion.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Agreement</w:t>
      </w:r>
    </w:p>
    <w:p>
      <w:pPr>
        <w:spacing w:after="0" w:line="25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As of March 31, 2022, our Credit Agreement (as then amended to date, the Credit Agreement) provided for: (i) a $200.0 million revolving credit facility scheduled to mature on September 8, 2025, allocated as follows: (A) a $10.0 million senior secured revolving credit facility in favor of one of our U.S. subsidiaries, as borrower; (B) a $155.0 million senior secured revolving credit facility in favor of Civeo, as borrower; and (C) a $35.0 million senior secured revolving credit facility in favor of one of our Australian subsidiaries, as borrower; and (ii) a C$100.0 million term loan facility scheduled to be fully repaid on December 31, 2023 in favor of Civeo.</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256"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As of March 31, 2022, we had outstanding letters of credit of $0.3 million under the U.S. facility, zero under the Australian facility and $1.2 million under the Canadian facility. We also had outstanding bank guarantees of A$0.8 million under the Australian facility.</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See Note 7 – Debt to the notes to the unaudited consolidated financial statements included in Item 1 of this quarterly report for further discussion.</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56" w:lineRule="exact"/>
        <w:rPr>
          <w:sz w:val="20"/>
          <w:szCs w:val="20"/>
          <w:color w:val="auto"/>
        </w:rPr>
      </w:pPr>
    </w:p>
    <w:p>
      <w:pPr>
        <w:jc w:val="both"/>
        <w:ind w:firstLine="472"/>
        <w:spacing w:after="0" w:line="281" w:lineRule="auto"/>
        <w:rPr>
          <w:sz w:val="20"/>
          <w:szCs w:val="20"/>
          <w:color w:val="auto"/>
        </w:rPr>
      </w:pPr>
      <w:r>
        <w:rPr>
          <w:rFonts w:ascii="Arial" w:cs="Arial" w:eastAsia="Arial" w:hAnsi="Arial"/>
          <w:sz w:val="16"/>
          <w:szCs w:val="16"/>
          <w:color w:val="auto"/>
        </w:rPr>
        <w:t>The declaration and amount of all potential future dividends will be at the discretion of our Board and will depend upon many factors, including our financial condition, results of operations, cash flows, prospects, industry conditions, capital requirements of our business, covenants associated with certain debt obligations, legal requirements, regulatory constraints, industry practice and other factors the Board deems relevant. In addition, our ability to pay cash dividends on common or preferred shares is limited by covenants in the Credit Agreement. Future agreements may also limit our ability to pay dividends, and we may incur incremental taxes if we are required to repatriate foreign earnings to pay such dividends. If we elect to pay dividends in the future, the amount per share of our dividend payments may be changed, or dividends may be suspended, without advance notice. The likelihood that dividends will be reduced or suspended is increased during periods of market weakness. There can be no assurance that we will pay a dividend in the future.</w:t>
      </w:r>
    </w:p>
    <w:p>
      <w:pPr>
        <w:spacing w:after="0" w:line="195"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color w:val="auto"/>
        </w:rPr>
        <w:t>The preferred shares we issued in the Noralta acquisition are entitled to receive a 2% annual dividend on the liquidation preference (initially $10,000 per share), paid quarterly in cash or, at our option, by increasing the preferred shares’ liquidation preference, or any combination thereof. Quarterly dividends were paid in-kind on March 31, 2022, thereby increasing the liquidation preference to $10,830 per share as of March 31, 2022. We currently expect to pay dividends on the preferred shares through an increase in liquidation preference rather than cash until they mandatorily convert to Civeo common shares in April 2023.</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23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For a discussion of the critical accounting policies and estimates that we use in the preparation of our consolidated financial statements, see “Management’s Discussion and Analysis of Financial Condition and Results of Operations” in our Annual Report on Form 10-K for the year ended December 31, 2021. These estimates require significant judgments, assumptions and estimates. We have discussed the development, selection and disclosure of these critical accounting policies and estimates with the audit committee of our Board of Directors. There have been no material changes to the judgments, assumptions and estimates upon which our critical accounting estimates are based.</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principal market risks are our exposure to changes in interest rates and foreign currency exchange rates.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6"/>
          <w:szCs w:val="16"/>
          <w:color w:val="auto"/>
        </w:rPr>
        <w:t>We have credit facilities that are subject to the risk of higher interest charges associated with increases in interest rates. As of March 31, 2022, we had $177.9 million of outstanding floating-rate obligations under our credit facilities. These floating-rate obligations expose us to the risk of increased interest expense in the event of increases in short-term interest rates. If floating interest rates increased by 100 basis points, our consolidated interest expense would increase by approximately $1.8 million annually, based on our floating-rate debt obligations and interest rates in effect as of March 31, 2022.</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230" w:lineRule="exact"/>
        <w:rPr>
          <w:sz w:val="20"/>
          <w:szCs w:val="20"/>
          <w:color w:val="auto"/>
        </w:rPr>
      </w:pPr>
    </w:p>
    <w:p>
      <w:pPr>
        <w:jc w:val="both"/>
        <w:ind w:firstLine="472"/>
        <w:spacing w:after="0" w:line="279" w:lineRule="auto"/>
        <w:rPr>
          <w:sz w:val="20"/>
          <w:szCs w:val="20"/>
          <w:color w:val="auto"/>
        </w:rPr>
      </w:pPr>
      <w:r>
        <w:rPr>
          <w:rFonts w:ascii="Arial" w:cs="Arial" w:eastAsia="Arial" w:hAnsi="Arial"/>
          <w:sz w:val="16"/>
          <w:szCs w:val="16"/>
          <w:color w:val="auto"/>
        </w:rPr>
        <w:t>Our operations are conducted in various countries around the world, and we receive revenue and pay expenses from these operations in a number of different currencies. As such, our earnings are subject to movements in foreign currency exchange rates when transactions are denominated in (i) currencies other than the U.S. dollar, which is our reporting currency, or (ii) the functional currency of our subsidiaries, which is not necessarily the U.S. dollar. Excluding intercompany balances, our Canadian dollar and Australian dollar functional currency net assets total approximately C$200 million and A$251 million, respectively, at March 31, 2022. We use a sensitivity analysis model to measure the impact of a 10% adverse movement of foreign currency exchange rates against the United States dollar. A hypothetical 10% adverse change in the value of the Canadian dollar and Australian dollar relative to the U.S. dollar as of March 31, 2022 would result in translation adjustments of approximately $20 million and $25 million, respectively, recorded in other comprehensive loss. Although we do not currently have any foreign exchange agreements outstanding, in order to reduce our exposure to fluctuations in currency exchange rates, we may enter into foreign exchange agreements with financial institutions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0" w:lineRule="exact"/>
        <w:rPr>
          <w:sz w:val="20"/>
          <w:szCs w:val="20"/>
          <w:color w:val="auto"/>
        </w:rPr>
      </w:pPr>
    </w:p>
    <w:p>
      <w:pPr>
        <w:jc w:val="both"/>
        <w:ind w:firstLine="472"/>
        <w:spacing w:after="0" w:line="302" w:lineRule="auto"/>
        <w:rPr>
          <w:sz w:val="20"/>
          <w:szCs w:val="20"/>
          <w:color w:val="auto"/>
        </w:rPr>
      </w:pPr>
      <w:r>
        <w:rPr>
          <w:rFonts w:ascii="Arial" w:cs="Arial" w:eastAsia="Arial" w:hAnsi="Arial"/>
          <w:sz w:val="15"/>
          <w:szCs w:val="15"/>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Our disclosure controls and procedures are designed to provide reasonable assurance that the information required to be disclosed by us in reports that we file under the Exchange Act is accumulated and communicated to our management, including our Chief Executive Officer and Chief Financial Officer, as appropriate, to allow timely decisions regarding required disclosure and is recorded, processed, summarized and reported within the time periods specified in the rules and forms of the SEC. Based upon that evaluation, our Chief Executive Officer and Chief Financial Officer concluded that our disclosure controls and procedures were effective as of March 31, 2022, at the reasonable assurance level.</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0" w:lineRule="exact"/>
        <w:rPr>
          <w:sz w:val="20"/>
          <w:szCs w:val="20"/>
          <w:color w:val="auto"/>
        </w:rPr>
      </w:pPr>
    </w:p>
    <w:p>
      <w:pPr>
        <w:jc w:val="both"/>
        <w:ind w:firstLine="472"/>
        <w:spacing w:after="0" w:line="322" w:lineRule="auto"/>
        <w:rPr>
          <w:sz w:val="20"/>
          <w:szCs w:val="20"/>
          <w:color w:val="auto"/>
        </w:rPr>
      </w:pPr>
      <w:r>
        <w:rPr>
          <w:rFonts w:ascii="Arial" w:cs="Arial" w:eastAsia="Arial" w:hAnsi="Arial"/>
          <w:sz w:val="16"/>
          <w:szCs w:val="16"/>
          <w:color w:val="auto"/>
        </w:rPr>
        <w:t>During the three months ended March 31, 2022, there were no changes in our internal control over financial reporting (as defined in Rules 13a-15(f) and 15d-15(f) of the Exchange Act) which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1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PART II --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30" w:lineRule="exact"/>
        <w:rPr>
          <w:sz w:val="20"/>
          <w:szCs w:val="20"/>
          <w:color w:val="auto"/>
        </w:rPr>
      </w:pPr>
    </w:p>
    <w:p>
      <w:pPr>
        <w:jc w:val="both"/>
        <w:ind w:firstLine="314"/>
        <w:spacing w:after="0" w:line="281" w:lineRule="auto"/>
        <w:rPr>
          <w:sz w:val="20"/>
          <w:szCs w:val="20"/>
          <w:color w:val="auto"/>
        </w:rPr>
      </w:pPr>
      <w:r>
        <w:rPr>
          <w:rFonts w:ascii="Arial" w:cs="Arial" w:eastAsia="Arial" w:hAnsi="Arial"/>
          <w:sz w:val="16"/>
          <w:szCs w:val="16"/>
          <w:color w:val="auto"/>
        </w:rPr>
        <w:t>We are a party to various pending or threatened claims, lawsuits and administrative proceedings seeking damages or other remedies concerning our commercial operations, products, employees and other matters, including occasional claims by individuals alleging exposure to hazardous materials as a result of our products or operations. Some of these claims relate to matters occurring prior to our acquisition of businesses, and some relate to businesses we have sold. In certain cases, we are entitled to indemnification from the sellers of businesses, and in other cases, we have indemnified the buyers of businesses from us. Although we can give no assurance about the outcome of pending legal and administrative proceedings and the effect such outcomes may have on us, we believe that any ultimate liability resulting from the outcome of such proceedings, to the extent not otherwise provided for or covered by indemnity or insurance, will not have a material adverse effect on our consolidated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30" w:lineRule="exact"/>
        <w:rPr>
          <w:sz w:val="20"/>
          <w:szCs w:val="20"/>
          <w:color w:val="auto"/>
        </w:rPr>
      </w:pPr>
    </w:p>
    <w:p>
      <w:pPr>
        <w:jc w:val="both"/>
        <w:ind w:firstLine="472"/>
        <w:spacing w:after="0" w:line="289" w:lineRule="auto"/>
        <w:rPr>
          <w:sz w:val="20"/>
          <w:szCs w:val="20"/>
          <w:color w:val="auto"/>
        </w:rPr>
      </w:pPr>
      <w:r>
        <w:rPr>
          <w:rFonts w:ascii="Arial" w:cs="Arial" w:eastAsia="Arial" w:hAnsi="Arial"/>
          <w:sz w:val="17"/>
          <w:szCs w:val="17"/>
          <w:color w:val="auto"/>
        </w:rPr>
        <w:t>For additional information about our risk factors, you should carefully read the section entitled "Risk Factors” included in our Annual Report on Form 10-K for the year ended December 31, 2021.</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Unregistered Sales of Equity Securities and Use of Proceeds</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about purchases of our common shares during the three months ended March 31,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Arial" w:cs="Arial" w:eastAsia="Arial" w:hAnsi="Arial"/>
                <w:sz w:val="16"/>
                <w:szCs w:val="16"/>
                <w:b w:val="1"/>
                <w:bCs w:val="1"/>
                <w:color w:val="auto"/>
              </w:rPr>
              <w:t>Total</w:t>
            </w:r>
          </w:p>
        </w:tc>
      </w:tr>
      <w:tr>
        <w:trPr>
          <w:trHeight w:val="157"/>
        </w:trPr>
        <w:tc>
          <w:tcPr>
            <w:tcW w:w="2440" w:type="dxa"/>
            <w:vAlign w:val="bottom"/>
          </w:tcPr>
          <w:p>
            <w:pPr>
              <w:spacing w:after="0"/>
              <w:rPr>
                <w:sz w:val="13"/>
                <w:szCs w:val="13"/>
                <w:color w:val="auto"/>
              </w:rPr>
            </w:pPr>
          </w:p>
        </w:tc>
        <w:tc>
          <w:tcPr>
            <w:tcW w:w="1300" w:type="dxa"/>
            <w:vAlign w:val="bottom"/>
          </w:tcPr>
          <w:p>
            <w:pPr>
              <w:jc w:val="right"/>
              <w:spacing w:after="0" w:line="158" w:lineRule="exact"/>
              <w:rPr>
                <w:sz w:val="20"/>
                <w:szCs w:val="20"/>
                <w:color w:val="auto"/>
              </w:rPr>
            </w:pPr>
            <w:r>
              <w:rPr>
                <w:rFonts w:ascii="Arial" w:cs="Arial" w:eastAsia="Arial" w:hAnsi="Arial"/>
                <w:sz w:val="16"/>
                <w:szCs w:val="16"/>
                <w:b w:val="1"/>
                <w:bCs w:val="1"/>
                <w:color w:val="auto"/>
                <w:w w:val="92"/>
              </w:rPr>
              <w:t>Number of Shares</w:t>
            </w:r>
          </w:p>
        </w:tc>
      </w:tr>
      <w:tr>
        <w:trPr>
          <w:trHeight w:val="204"/>
        </w:trPr>
        <w:tc>
          <w:tcPr>
            <w:tcW w:w="2440" w:type="dxa"/>
            <w:vAlign w:val="bottom"/>
          </w:tcPr>
          <w:p>
            <w:pPr>
              <w:spacing w:after="0"/>
              <w:rPr>
                <w:sz w:val="17"/>
                <w:szCs w:val="17"/>
                <w:color w:val="auto"/>
              </w:rPr>
            </w:pPr>
          </w:p>
        </w:tc>
        <w:tc>
          <w:tcPr>
            <w:tcW w:w="1300" w:type="dxa"/>
            <w:vAlign w:val="bottom"/>
          </w:tcPr>
          <w:p>
            <w:pPr>
              <w:jc w:val="right"/>
              <w:ind w:right="180"/>
              <w:spacing w:after="0"/>
              <w:rPr>
                <w:sz w:val="20"/>
                <w:szCs w:val="20"/>
                <w:color w:val="auto"/>
              </w:rPr>
            </w:pPr>
            <w:r>
              <w:rPr>
                <w:rFonts w:ascii="Arial" w:cs="Arial" w:eastAsia="Arial" w:hAnsi="Arial"/>
                <w:sz w:val="16"/>
                <w:szCs w:val="16"/>
                <w:b w:val="1"/>
                <w:bCs w:val="1"/>
                <w:color w:val="auto"/>
              </w:rPr>
              <w:t>Purchased</w:t>
            </w:r>
          </w:p>
        </w:tc>
      </w:tr>
      <w:tr>
        <w:trPr>
          <w:trHeight w:val="209"/>
        </w:trPr>
        <w:tc>
          <w:tcPr>
            <w:tcW w:w="2440" w:type="dxa"/>
            <w:vAlign w:val="bottom"/>
          </w:tcPr>
          <w:p>
            <w:pPr>
              <w:spacing w:after="0"/>
              <w:rPr>
                <w:sz w:val="20"/>
                <w:szCs w:val="20"/>
                <w:color w:val="auto"/>
              </w:rPr>
            </w:pPr>
            <w:r>
              <w:rPr>
                <w:rFonts w:ascii="Arial" w:cs="Arial" w:eastAsia="Arial" w:hAnsi="Arial"/>
                <w:sz w:val="16"/>
                <w:szCs w:val="16"/>
                <w:color w:val="auto"/>
                <w:w w:val="95"/>
              </w:rPr>
              <w:t>January 1, 2022 - January 31, 2022</w:t>
            </w:r>
          </w:p>
        </w:tc>
        <w:tc>
          <w:tcPr>
            <w:tcW w:w="130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0"/>
        </w:trPr>
        <w:tc>
          <w:tcPr>
            <w:tcW w:w="2440" w:type="dxa"/>
            <w:vAlign w:val="bottom"/>
          </w:tcPr>
          <w:p>
            <w:pPr>
              <w:spacing w:after="0"/>
              <w:rPr>
                <w:sz w:val="20"/>
                <w:szCs w:val="20"/>
                <w:color w:val="auto"/>
              </w:rPr>
            </w:pPr>
            <w:r>
              <w:rPr>
                <w:rFonts w:ascii="Arial" w:cs="Arial" w:eastAsia="Arial" w:hAnsi="Arial"/>
                <w:sz w:val="16"/>
                <w:szCs w:val="16"/>
                <w:color w:val="auto"/>
                <w:w w:val="90"/>
              </w:rPr>
              <w:t>February 1, 2022 - February 28, 2022</w:t>
            </w:r>
          </w:p>
        </w:tc>
        <w:tc>
          <w:tcPr>
            <w:tcW w:w="1300" w:type="dxa"/>
            <w:vAlign w:val="bottom"/>
          </w:tcPr>
          <w:p>
            <w:pPr>
              <w:jc w:val="right"/>
              <w:spacing w:after="0"/>
              <w:rPr>
                <w:sz w:val="20"/>
                <w:szCs w:val="20"/>
                <w:color w:val="auto"/>
              </w:rPr>
            </w:pPr>
            <w:r>
              <w:rPr>
                <w:rFonts w:ascii="Arial" w:cs="Arial" w:eastAsia="Arial" w:hAnsi="Arial"/>
                <w:sz w:val="16"/>
                <w:szCs w:val="16"/>
                <w:color w:val="auto"/>
              </w:rPr>
              <w:t>46,077</w:t>
            </w:r>
          </w:p>
        </w:tc>
      </w:tr>
      <w:tr>
        <w:trPr>
          <w:trHeight w:val="229"/>
        </w:trPr>
        <w:tc>
          <w:tcPr>
            <w:tcW w:w="2440" w:type="dxa"/>
            <w:vAlign w:val="bottom"/>
          </w:tcPr>
          <w:p>
            <w:pPr>
              <w:spacing w:after="0"/>
              <w:rPr>
                <w:sz w:val="20"/>
                <w:szCs w:val="20"/>
                <w:color w:val="auto"/>
              </w:rPr>
            </w:pPr>
            <w:r>
              <w:rPr>
                <w:rFonts w:ascii="Arial" w:cs="Arial" w:eastAsia="Arial" w:hAnsi="Arial"/>
                <w:sz w:val="16"/>
                <w:szCs w:val="16"/>
                <w:color w:val="auto"/>
              </w:rPr>
              <w:t>March 1, 2022 - March 31, 2022</w:t>
            </w:r>
          </w:p>
        </w:tc>
        <w:tc>
          <w:tcPr>
            <w:tcW w:w="13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2440" w:type="dxa"/>
            <w:vAlign w:val="bottom"/>
          </w:tcPr>
          <w:p>
            <w:pPr>
              <w:spacing w:after="0"/>
              <w:rPr>
                <w:sz w:val="20"/>
                <w:szCs w:val="20"/>
                <w:color w:val="auto"/>
              </w:rPr>
            </w:pPr>
            <w:r>
              <w:rPr>
                <w:rFonts w:ascii="Arial" w:cs="Arial" w:eastAsia="Arial" w:hAnsi="Arial"/>
                <w:sz w:val="16"/>
                <w:szCs w:val="16"/>
                <w:color w:val="auto"/>
              </w:rPr>
              <w:t>Total</w:t>
            </w:r>
          </w:p>
        </w:tc>
        <w:tc>
          <w:tcPr>
            <w:tcW w:w="1300" w:type="dxa"/>
            <w:vAlign w:val="bottom"/>
          </w:tcPr>
          <w:p>
            <w:pPr>
              <w:jc w:val="right"/>
              <w:spacing w:after="0"/>
              <w:rPr>
                <w:sz w:val="20"/>
                <w:szCs w:val="20"/>
                <w:color w:val="auto"/>
              </w:rPr>
            </w:pPr>
            <w:r>
              <w:rPr>
                <w:rFonts w:ascii="Arial" w:cs="Arial" w:eastAsia="Arial" w:hAnsi="Arial"/>
                <w:sz w:val="16"/>
                <w:szCs w:val="16"/>
                <w:color w:val="auto"/>
              </w:rPr>
              <w:t>46,577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8"/>
          <w:szCs w:val="8"/>
          <w:color w:val="auto"/>
        </w:rPr>
        <w:t>(1)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8"/>
          <w:szCs w:val="8"/>
          <w:color w:val="auto"/>
        </w:rPr>
        <w:t>(2)</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b w:val="1"/>
                <w:bCs w:val="1"/>
                <w:color w:val="auto"/>
              </w:rPr>
              <w:t>Total number</w:t>
            </w:r>
          </w:p>
        </w:tc>
        <w:tc>
          <w:tcPr>
            <w:tcW w:w="1540" w:type="dxa"/>
            <w:vAlign w:val="bottom"/>
          </w:tcPr>
          <w:p>
            <w:pPr>
              <w:jc w:val="right"/>
              <w:ind w:right="81"/>
              <w:spacing w:after="0"/>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3"/>
              </w:rPr>
              <w:t>of shares purchased as</w:t>
            </w:r>
          </w:p>
        </w:tc>
        <w:tc>
          <w:tcPr>
            <w:tcW w:w="15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number of shares that</w:t>
            </w:r>
          </w:p>
        </w:tc>
        <w:tc>
          <w:tcPr>
            <w:tcW w:w="0" w:type="dxa"/>
            <w:vAlign w:val="bottom"/>
          </w:tcPr>
          <w:p>
            <w:pPr>
              <w:spacing w:after="0"/>
              <w:rPr>
                <w:sz w:val="1"/>
                <w:szCs w:val="1"/>
                <w:color w:val="auto"/>
              </w:rPr>
            </w:pPr>
          </w:p>
        </w:tc>
      </w:tr>
      <w:tr>
        <w:trPr>
          <w:trHeight w:val="157"/>
        </w:trPr>
        <w:tc>
          <w:tcPr>
            <w:tcW w:w="1600" w:type="dxa"/>
            <w:vAlign w:val="bottom"/>
            <w:gridSpan w:val="2"/>
            <w:vMerge w:val="restart"/>
          </w:tcPr>
          <w:p>
            <w:pPr>
              <w:jc w:val="right"/>
              <w:ind w:right="201"/>
              <w:spacing w:after="0"/>
              <w:rPr>
                <w:sz w:val="20"/>
                <w:szCs w:val="20"/>
                <w:color w:val="auto"/>
              </w:rPr>
            </w:pPr>
            <w:r>
              <w:rPr>
                <w:rFonts w:ascii="Arial" w:cs="Arial" w:eastAsia="Arial" w:hAnsi="Arial"/>
                <w:sz w:val="16"/>
                <w:szCs w:val="16"/>
                <w:b w:val="1"/>
                <w:bCs w:val="1"/>
                <w:color w:val="auto"/>
                <w:w w:val="89"/>
              </w:rPr>
              <w:t>Average Price Paid</w:t>
            </w:r>
          </w:p>
        </w:tc>
        <w:tc>
          <w:tcPr>
            <w:tcW w:w="400" w:type="dxa"/>
            <w:vAlign w:val="bottom"/>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part of publicly</w:t>
            </w:r>
          </w:p>
        </w:tc>
        <w:tc>
          <w:tcPr>
            <w:tcW w:w="15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may yet be purchased</w:t>
            </w:r>
          </w:p>
        </w:tc>
        <w:tc>
          <w:tcPr>
            <w:tcW w:w="0" w:type="dxa"/>
            <w:vAlign w:val="bottom"/>
          </w:tcPr>
          <w:p>
            <w:pPr>
              <w:spacing w:after="0"/>
              <w:rPr>
                <w:sz w:val="1"/>
                <w:szCs w:val="1"/>
                <w:color w:val="auto"/>
              </w:rPr>
            </w:pPr>
          </w:p>
        </w:tc>
      </w:tr>
      <w:tr>
        <w:trPr>
          <w:trHeight w:val="157"/>
        </w:trPr>
        <w:tc>
          <w:tcPr>
            <w:tcW w:w="160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6"/>
              </w:rPr>
              <w:t>announced plans or</w:t>
            </w:r>
          </w:p>
        </w:tc>
        <w:tc>
          <w:tcPr>
            <w:tcW w:w="15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88"/>
              </w:rPr>
              <w:t>under the plans or</w:t>
            </w: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1500" w:type="dxa"/>
            <w:vAlign w:val="bottom"/>
          </w:tcPr>
          <w:p>
            <w:pPr>
              <w:jc w:val="right"/>
              <w:ind w:right="741"/>
              <w:spacing w:after="0"/>
              <w:rPr>
                <w:sz w:val="20"/>
                <w:szCs w:val="20"/>
                <w:color w:val="auto"/>
              </w:rPr>
            </w:pPr>
            <w:r>
              <w:rPr>
                <w:rFonts w:ascii="Arial" w:cs="Arial" w:eastAsia="Arial" w:hAnsi="Arial"/>
                <w:sz w:val="16"/>
                <w:szCs w:val="16"/>
                <w:b w:val="1"/>
                <w:bCs w:val="1"/>
                <w:color w:val="auto"/>
                <w:w w:val="89"/>
              </w:rPr>
              <w:t>per Share</w:t>
            </w:r>
          </w:p>
        </w:tc>
        <w:tc>
          <w:tcPr>
            <w:tcW w:w="4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9"/>
              </w:rPr>
              <w:t>programs</w:t>
            </w:r>
          </w:p>
        </w:tc>
        <w:tc>
          <w:tcPr>
            <w:tcW w:w="0" w:type="dxa"/>
            <w:vAlign w:val="bottom"/>
          </w:tcPr>
          <w:p>
            <w:pPr>
              <w:spacing w:after="0"/>
              <w:rPr>
                <w:sz w:val="1"/>
                <w:szCs w:val="1"/>
                <w:color w:val="auto"/>
              </w:rPr>
            </w:pPr>
          </w:p>
        </w:tc>
      </w:tr>
      <w:tr>
        <w:trPr>
          <w:trHeight w:val="209"/>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201"/>
              <w:spacing w:after="0"/>
              <w:rPr>
                <w:sz w:val="20"/>
                <w:szCs w:val="20"/>
                <w:color w:val="auto"/>
              </w:rPr>
            </w:pPr>
            <w:r>
              <w:rPr>
                <w:rFonts w:ascii="Arial" w:cs="Arial" w:eastAsia="Arial" w:hAnsi="Arial"/>
                <w:sz w:val="16"/>
                <w:szCs w:val="16"/>
                <w:color w:val="auto"/>
              </w:rPr>
              <w:t>18.47</w:t>
            </w:r>
          </w:p>
        </w:tc>
        <w:tc>
          <w:tcPr>
            <w:tcW w:w="400" w:type="dxa"/>
            <w:vAlign w:val="bottom"/>
          </w:tcPr>
          <w:p>
            <w:pPr>
              <w:spacing w:after="0"/>
              <w:rPr>
                <w:sz w:val="18"/>
                <w:szCs w:val="18"/>
                <w:color w:val="auto"/>
              </w:rPr>
            </w:pP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500</w:t>
            </w:r>
          </w:p>
        </w:tc>
        <w:tc>
          <w:tcPr>
            <w:tcW w:w="1540" w:type="dxa"/>
            <w:vAlign w:val="bottom"/>
          </w:tcPr>
          <w:p>
            <w:pPr>
              <w:jc w:val="right"/>
              <w:spacing w:after="0"/>
              <w:rPr>
                <w:sz w:val="20"/>
                <w:szCs w:val="20"/>
                <w:color w:val="auto"/>
              </w:rPr>
            </w:pPr>
            <w:r>
              <w:rPr>
                <w:rFonts w:ascii="Arial" w:cs="Arial" w:eastAsia="Arial" w:hAnsi="Arial"/>
                <w:sz w:val="16"/>
                <w:szCs w:val="16"/>
                <w:color w:val="auto"/>
              </w:rPr>
              <w:t>498,135</w:t>
            </w:r>
          </w:p>
        </w:tc>
        <w:tc>
          <w:tcPr>
            <w:tcW w:w="0" w:type="dxa"/>
            <w:vAlign w:val="bottom"/>
          </w:tcPr>
          <w:p>
            <w:pPr>
              <w:spacing w:after="0"/>
              <w:rPr>
                <w:sz w:val="1"/>
                <w:szCs w:val="1"/>
                <w:color w:val="auto"/>
              </w:rPr>
            </w:pPr>
          </w:p>
        </w:tc>
      </w:tr>
      <w:tr>
        <w:trPr>
          <w:trHeight w:val="124"/>
        </w:trPr>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vMerge w:val="restart"/>
          </w:tcPr>
          <w:p>
            <w:pPr>
              <w:jc w:val="right"/>
              <w:ind w:right="201"/>
              <w:spacing w:after="0"/>
              <w:rPr>
                <w:sz w:val="20"/>
                <w:szCs w:val="20"/>
                <w:color w:val="auto"/>
              </w:rPr>
            </w:pPr>
            <w:r>
              <w:rPr>
                <w:rFonts w:ascii="Arial" w:cs="Arial" w:eastAsia="Arial" w:hAnsi="Arial"/>
                <w:sz w:val="16"/>
                <w:szCs w:val="16"/>
                <w:color w:val="auto"/>
              </w:rPr>
              <w:t>21.97</w:t>
            </w:r>
          </w:p>
        </w:tc>
        <w:tc>
          <w:tcPr>
            <w:tcW w:w="400" w:type="dxa"/>
            <w:vAlign w:val="bottom"/>
          </w:tcPr>
          <w:p>
            <w:pPr>
              <w:jc w:val="right"/>
              <w:spacing w:after="0"/>
              <w:rPr>
                <w:sz w:val="20"/>
                <w:szCs w:val="20"/>
                <w:color w:val="auto"/>
              </w:rPr>
            </w:pPr>
            <w:r>
              <w:rPr>
                <w:rFonts w:ascii="Arial" w:cs="Arial" w:eastAsia="Arial" w:hAnsi="Arial"/>
                <w:sz w:val="9"/>
                <w:szCs w:val="9"/>
                <w:color w:val="auto"/>
              </w:rPr>
              <w:t>(3)</w:t>
            </w:r>
          </w:p>
        </w:tc>
        <w:tc>
          <w:tcPr>
            <w:tcW w:w="1600" w:type="dxa"/>
            <w:vAlign w:val="bottom"/>
            <w:vMerge w:val="restart"/>
          </w:tcPr>
          <w:p>
            <w:pPr>
              <w:jc w:val="right"/>
              <w:ind w:right="21"/>
              <w:spacing w:after="0"/>
              <w:rPr>
                <w:sz w:val="20"/>
                <w:szCs w:val="20"/>
                <w:color w:val="auto"/>
              </w:rPr>
            </w:pPr>
            <w:r>
              <w:rPr>
                <w:rFonts w:ascii="Arial" w:cs="Arial" w:eastAsia="Arial" w:hAnsi="Arial"/>
                <w:sz w:val="16"/>
                <w:szCs w:val="16"/>
                <w:color w:val="auto"/>
              </w:rPr>
              <w:t>—</w:t>
            </w: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85"/>
        </w:trPr>
        <w:tc>
          <w:tcPr>
            <w:tcW w:w="100" w:type="dxa"/>
            <w:vAlign w:val="bottom"/>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5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ind w:right="201"/>
              <w:spacing w:after="0"/>
              <w:rPr>
                <w:sz w:val="20"/>
                <w:szCs w:val="20"/>
                <w:color w:val="auto"/>
              </w:rPr>
            </w:pPr>
            <w:r>
              <w:rPr>
                <w:rFonts w:ascii="Arial" w:cs="Arial" w:eastAsia="Arial" w:hAnsi="Arial"/>
                <w:sz w:val="16"/>
                <w:szCs w:val="16"/>
                <w:color w:val="auto"/>
              </w:rPr>
              <w:t>21.93</w:t>
            </w:r>
          </w:p>
        </w:tc>
        <w:tc>
          <w:tcPr>
            <w:tcW w:w="400" w:type="dxa"/>
            <w:vAlign w:val="bottom"/>
          </w:tcPr>
          <w:p>
            <w:pPr>
              <w:spacing w:after="0"/>
              <w:rPr>
                <w:sz w:val="18"/>
                <w:szCs w:val="18"/>
                <w:color w:val="auto"/>
              </w:rPr>
            </w:pPr>
          </w:p>
        </w:tc>
        <w:tc>
          <w:tcPr>
            <w:tcW w:w="1600" w:type="dxa"/>
            <w:vAlign w:val="bottom"/>
          </w:tcPr>
          <w:p>
            <w:pPr>
              <w:jc w:val="right"/>
              <w:ind w:right="21"/>
              <w:spacing w:after="0"/>
              <w:rPr>
                <w:sz w:val="20"/>
                <w:szCs w:val="20"/>
                <w:color w:val="auto"/>
              </w:rPr>
            </w:pPr>
            <w:r>
              <w:rPr>
                <w:rFonts w:ascii="Arial" w:cs="Arial" w:eastAsia="Arial" w:hAnsi="Arial"/>
                <w:sz w:val="16"/>
                <w:szCs w:val="16"/>
                <w:color w:val="auto"/>
              </w:rPr>
              <w:t>500</w:t>
            </w:r>
          </w:p>
        </w:tc>
        <w:tc>
          <w:tcPr>
            <w:tcW w:w="1540" w:type="dxa"/>
            <w:vAlign w:val="bottom"/>
          </w:tcPr>
          <w:p>
            <w:pPr>
              <w:jc w:val="right"/>
              <w:spacing w:after="0"/>
              <w:rPr>
                <w:sz w:val="20"/>
                <w:szCs w:val="20"/>
                <w:color w:val="auto"/>
              </w:rPr>
            </w:pPr>
            <w:r>
              <w:rPr>
                <w:rFonts w:ascii="Arial" w:cs="Arial" w:eastAsia="Arial" w:hAnsi="Arial"/>
                <w:sz w:val="16"/>
                <w:szCs w:val="16"/>
                <w:color w:val="auto"/>
              </w:rPr>
              <w:t>498,135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-3402330</wp:posOffset>
            </wp:positionH>
            <wp:positionV relativeFrom="paragraph">
              <wp:posOffset>-535940</wp:posOffset>
            </wp:positionV>
            <wp:extent cx="6703695" cy="133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03695" cy="133350"/>
                    </a:xfrm>
                    <a:prstGeom prst="rect">
                      <a:avLst/>
                    </a:prstGeom>
                    <a:noFill/>
                  </pic:spPr>
                </pic:pic>
              </a:graphicData>
            </a:graphic>
          </wp:anchor>
        </w:drawing>
        <w:drawing>
          <wp:anchor simplePos="0" relativeHeight="251657728" behindDoc="1" locked="0" layoutInCell="0" allowOverlap="1">
            <wp:simplePos x="0" y="0"/>
            <wp:positionH relativeFrom="column">
              <wp:posOffset>-3402330</wp:posOffset>
            </wp:positionH>
            <wp:positionV relativeFrom="paragraph">
              <wp:posOffset>-269875</wp:posOffset>
            </wp:positionV>
            <wp:extent cx="6703695" cy="141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03695"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820" w:space="500"/>
            <w:col w:w="100" w:space="520"/>
            <w:col w:w="5300"/>
          </w:cols>
          <w:pgMar w:left="320" w:top="1440" w:right="339" w:bottom="1440" w:gutter="0" w:footer="0" w:header="0"/>
          <w:type w:val="continuous"/>
        </w:sectPr>
      </w:pPr>
    </w:p>
    <w:p>
      <w:pPr>
        <w:spacing w:after="0" w:line="121" w:lineRule="exact"/>
        <w:rPr>
          <w:sz w:val="20"/>
          <w:szCs w:val="20"/>
          <w:color w:val="auto"/>
        </w:rPr>
      </w:pPr>
    </w:p>
    <w:p>
      <w:pPr>
        <w:jc w:val="both"/>
        <w:ind w:left="320" w:hanging="315"/>
        <w:spacing w:after="0" w:line="234" w:lineRule="auto"/>
        <w:tabs>
          <w:tab w:leader="none" w:pos="308"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In August 2021, our Board authorized a common share repurchase program to repurchase up to 5.0% of our total common shares which are issued and outstanding, or 715,814 common shares, over a twelve month period. We repurchased an aggregate of 500 of our common shares outstanding for approximately $9.2 thousand during the three months ended March 31, 2022.</w:t>
      </w:r>
    </w:p>
    <w:p>
      <w:pPr>
        <w:spacing w:after="0" w:line="1" w:lineRule="exact"/>
        <w:rPr>
          <w:rFonts w:ascii="Arial" w:cs="Arial" w:eastAsia="Arial" w:hAnsi="Arial"/>
          <w:sz w:val="23"/>
          <w:szCs w:val="23"/>
          <w:color w:val="auto"/>
          <w:vertAlign w:val="superscript"/>
        </w:rPr>
      </w:pPr>
    </w:p>
    <w:p>
      <w:pPr>
        <w:ind w:left="320" w:hanging="315"/>
        <w:spacing w:after="0" w:line="218" w:lineRule="auto"/>
        <w:tabs>
          <w:tab w:leader="none" w:pos="308"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Consists of shares surrendered to us by participants in our 2014 Equity Participation Plan to settle the participants' personal tax liabilities that resulted from the lapsing of restrictions on shares awarded to the participants under the plan.</w:t>
      </w:r>
    </w:p>
    <w:p>
      <w:pPr>
        <w:spacing w:after="0" w:line="1" w:lineRule="exact"/>
        <w:rPr>
          <w:rFonts w:ascii="Arial" w:cs="Arial" w:eastAsia="Arial" w:hAnsi="Arial"/>
          <w:sz w:val="23"/>
          <w:szCs w:val="23"/>
          <w:color w:val="auto"/>
          <w:vertAlign w:val="superscript"/>
        </w:rPr>
      </w:pPr>
    </w:p>
    <w:p>
      <w:pPr>
        <w:ind w:left="320" w:hanging="315"/>
        <w:spacing w:after="0" w:line="218" w:lineRule="auto"/>
        <w:tabs>
          <w:tab w:leader="none" w:pos="308" w:val="left"/>
        </w:tabs>
        <w:numPr>
          <w:ilvl w:val="0"/>
          <w:numId w:val="15"/>
        </w:numPr>
        <w:rPr>
          <w:rFonts w:ascii="Arial" w:cs="Arial" w:eastAsia="Arial" w:hAnsi="Arial"/>
          <w:sz w:val="23"/>
          <w:szCs w:val="23"/>
          <w:color w:val="auto"/>
          <w:vertAlign w:val="superscript"/>
        </w:rPr>
      </w:pPr>
      <w:r>
        <w:rPr>
          <w:rFonts w:ascii="Arial" w:cs="Arial" w:eastAsia="Arial" w:hAnsi="Arial"/>
          <w:sz w:val="17"/>
          <w:szCs w:val="17"/>
          <w:color w:val="auto"/>
        </w:rPr>
        <w:t>The price paid per share was based on the closing price of our common shares on February 25, 2022, the respective date as of which the restrictions lapsed on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256" w:lineRule="exact"/>
        <w:rPr>
          <w:sz w:val="20"/>
          <w:szCs w:val="20"/>
          <w:color w:val="auto"/>
        </w:rPr>
      </w:pPr>
    </w:p>
    <w:p>
      <w:pPr>
        <w:ind w:left="640" w:hanging="478"/>
        <w:spacing w:after="0"/>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INDEX OF EXHIBITS</w:t>
      </w:r>
    </w:p>
    <w:p>
      <w:pPr>
        <w:spacing w:after="0" w:line="41"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4"/>
              </w:rPr>
              <w:t>Exhibit No.</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1"/>
              </w:rPr>
              <w:t>Description</w:t>
            </w:r>
          </w:p>
        </w:tc>
        <w:tc>
          <w:tcPr>
            <w:tcW w:w="37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700"/>
        </w:trPr>
        <w:tc>
          <w:tcPr>
            <w:tcW w:w="860" w:type="dxa"/>
            <w:vAlign w:val="bottom"/>
          </w:tcPr>
          <w:p>
            <w:pPr>
              <w:spacing w:after="0"/>
              <w:rPr>
                <w:sz w:val="20"/>
                <w:szCs w:val="20"/>
                <w:color w:val="auto"/>
              </w:rPr>
            </w:pPr>
            <w:r>
              <w:rPr>
                <w:rFonts w:ascii="Arial" w:cs="Arial" w:eastAsia="Arial" w:hAnsi="Arial"/>
                <w:sz w:val="17"/>
                <w:szCs w:val="17"/>
                <w:color w:val="auto"/>
              </w:rPr>
              <w:t>31.1*</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280" w:type="dxa"/>
            <w:vAlign w:val="bottom"/>
            <w:tcBorders>
              <w:bottom w:val="single" w:sz="8" w:color="0000FF"/>
            </w:tcBorders>
            <w:gridSpan w:val="6"/>
          </w:tcPr>
          <w:p>
            <w:pPr>
              <w:spacing w:after="0"/>
              <w:rPr>
                <w:rFonts w:ascii="Arial" w:cs="Arial" w:eastAsia="Arial" w:hAnsi="Arial"/>
                <w:sz w:val="17"/>
                <w:szCs w:val="17"/>
                <w:color w:val="0000FF"/>
                <w:w w:val="98"/>
              </w:rPr>
            </w:pPr>
            <w:hyperlink w:anchor="page33">
              <w:r>
                <w:rPr>
                  <w:rFonts w:ascii="Arial" w:cs="Arial" w:eastAsia="Arial" w:hAnsi="Arial"/>
                  <w:sz w:val="17"/>
                  <w:szCs w:val="17"/>
                  <w:color w:val="0000FF"/>
                  <w:w w:val="98"/>
                </w:rPr>
                <w:t>Certification of Chief Executive Officer of Civeo Corporation pursuant to Rules 13a-14(a) or 15d-14(a) under the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40" w:type="dxa"/>
            <w:vAlign w:val="bottom"/>
            <w:tcBorders>
              <w:bottom w:val="single" w:sz="8" w:color="0000FF"/>
            </w:tcBorders>
            <w:gridSpan w:val="2"/>
          </w:tcPr>
          <w:p>
            <w:pPr>
              <w:spacing w:after="0" w:line="150" w:lineRule="exact"/>
              <w:rPr>
                <w:rFonts w:ascii="Arial" w:cs="Arial" w:eastAsia="Arial" w:hAnsi="Arial"/>
                <w:sz w:val="17"/>
                <w:szCs w:val="17"/>
                <w:color w:val="0000FF"/>
                <w:w w:val="92"/>
              </w:rPr>
            </w:pPr>
            <w:hyperlink w:anchor="page33">
              <w:r>
                <w:rPr>
                  <w:rFonts w:ascii="Arial" w:cs="Arial" w:eastAsia="Arial" w:hAnsi="Arial"/>
                  <w:sz w:val="17"/>
                  <w:szCs w:val="17"/>
                  <w:color w:val="0000FF"/>
                  <w:w w:val="92"/>
                </w:rPr>
                <w:t>Securities Exchange Act of 1934.</w:t>
              </w:r>
            </w:hyperlink>
          </w:p>
        </w:tc>
        <w:tc>
          <w:tcPr>
            <w:tcW w:w="62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860" w:type="dxa"/>
            <w:vAlign w:val="bottom"/>
          </w:tcPr>
          <w:p>
            <w:pPr>
              <w:spacing w:after="0"/>
              <w:rPr>
                <w:sz w:val="20"/>
                <w:szCs w:val="20"/>
                <w:color w:val="auto"/>
              </w:rPr>
            </w:pPr>
            <w:r>
              <w:rPr>
                <w:rFonts w:ascii="Arial" w:cs="Arial" w:eastAsia="Arial" w:hAnsi="Arial"/>
                <w:sz w:val="17"/>
                <w:szCs w:val="17"/>
                <w:color w:val="auto"/>
              </w:rPr>
              <w:t>31.2*</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00" w:type="dxa"/>
            <w:vAlign w:val="bottom"/>
            <w:tcBorders>
              <w:bottom w:val="single" w:sz="8" w:color="0000FF"/>
            </w:tcBorders>
            <w:gridSpan w:val="7"/>
          </w:tcPr>
          <w:p>
            <w:pPr>
              <w:spacing w:after="0"/>
              <w:rPr>
                <w:rFonts w:ascii="Arial" w:cs="Arial" w:eastAsia="Arial" w:hAnsi="Arial"/>
                <w:sz w:val="17"/>
                <w:szCs w:val="17"/>
                <w:color w:val="0000FF"/>
                <w:w w:val="99"/>
              </w:rPr>
            </w:pPr>
            <w:hyperlink w:anchor="page34">
              <w:r>
                <w:rPr>
                  <w:rFonts w:ascii="Arial" w:cs="Arial" w:eastAsia="Arial" w:hAnsi="Arial"/>
                  <w:sz w:val="17"/>
                  <w:szCs w:val="17"/>
                  <w:color w:val="0000FF"/>
                  <w:w w:val="99"/>
                </w:rPr>
                <w:t>Certification of Chief Financial Officer of Civeo Corporation pursuant to Rules 13a-14(a) or 15d-14(a) under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340" w:type="dxa"/>
            <w:vAlign w:val="bottom"/>
            <w:tcBorders>
              <w:bottom w:val="single" w:sz="8" w:color="0000FF"/>
            </w:tcBorders>
            <w:gridSpan w:val="2"/>
          </w:tcPr>
          <w:p>
            <w:pPr>
              <w:spacing w:after="0" w:line="150" w:lineRule="exact"/>
              <w:rPr>
                <w:rFonts w:ascii="Arial" w:cs="Arial" w:eastAsia="Arial" w:hAnsi="Arial"/>
                <w:sz w:val="17"/>
                <w:szCs w:val="17"/>
                <w:color w:val="0000FF"/>
                <w:w w:val="92"/>
              </w:rPr>
            </w:pPr>
            <w:hyperlink w:anchor="page34">
              <w:r>
                <w:rPr>
                  <w:rFonts w:ascii="Arial" w:cs="Arial" w:eastAsia="Arial" w:hAnsi="Arial"/>
                  <w:sz w:val="17"/>
                  <w:szCs w:val="17"/>
                  <w:color w:val="0000FF"/>
                  <w:w w:val="92"/>
                </w:rPr>
                <w:t>Securities Exchange Act of 1934.</w:t>
              </w:r>
            </w:hyperlink>
          </w:p>
        </w:tc>
        <w:tc>
          <w:tcPr>
            <w:tcW w:w="62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860" w:type="dxa"/>
            <w:vAlign w:val="bottom"/>
          </w:tcPr>
          <w:p>
            <w:pPr>
              <w:spacing w:after="0"/>
              <w:rPr>
                <w:sz w:val="20"/>
                <w:szCs w:val="20"/>
                <w:color w:val="auto"/>
              </w:rPr>
            </w:pPr>
            <w:r>
              <w:rPr>
                <w:rFonts w:ascii="Arial" w:cs="Arial" w:eastAsia="Arial" w:hAnsi="Arial"/>
                <w:sz w:val="17"/>
                <w:szCs w:val="17"/>
                <w:color w:val="auto"/>
              </w:rPr>
              <w:t>32.1**</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tcBorders>
              <w:bottom w:val="single" w:sz="8" w:color="0000FF"/>
            </w:tcBorders>
            <w:gridSpan w:val="8"/>
          </w:tcPr>
          <w:p>
            <w:pPr>
              <w:spacing w:after="0"/>
              <w:rPr>
                <w:rFonts w:ascii="Arial" w:cs="Arial" w:eastAsia="Arial" w:hAnsi="Arial"/>
                <w:sz w:val="17"/>
                <w:szCs w:val="17"/>
                <w:color w:val="0000FF"/>
                <w:w w:val="99"/>
              </w:rPr>
            </w:pPr>
            <w:hyperlink w:anchor="page35">
              <w:r>
                <w:rPr>
                  <w:rFonts w:ascii="Arial" w:cs="Arial" w:eastAsia="Arial" w:hAnsi="Arial"/>
                  <w:sz w:val="17"/>
                  <w:szCs w:val="17"/>
                  <w:color w:val="0000FF"/>
                  <w:w w:val="99"/>
                </w:rPr>
                <w:t>Certification of Chief Executive Officer of Civeo Corporation pursuant to Rules 13a-14(b) or 15d-14(b) under the</w:t>
              </w:r>
            </w:hyperlink>
          </w:p>
        </w:tc>
        <w:tc>
          <w:tcPr>
            <w:tcW w:w="0" w:type="dxa"/>
            <w:vAlign w:val="bottom"/>
          </w:tcPr>
          <w:p>
            <w:pPr>
              <w:spacing w:after="0"/>
              <w:rPr>
                <w:sz w:val="1"/>
                <w:szCs w:val="1"/>
                <w:color w:val="auto"/>
              </w:rPr>
            </w:pPr>
          </w:p>
        </w:tc>
      </w:tr>
      <w:tr>
        <w:trPr>
          <w:trHeight w:val="150"/>
        </w:trPr>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20" w:type="dxa"/>
            <w:vAlign w:val="bottom"/>
            <w:gridSpan w:val="9"/>
          </w:tcPr>
          <w:p>
            <w:pPr>
              <w:spacing w:after="0" w:line="150" w:lineRule="exact"/>
              <w:rPr>
                <w:rFonts w:ascii="Arial" w:cs="Arial" w:eastAsia="Arial" w:hAnsi="Arial"/>
                <w:sz w:val="17"/>
                <w:szCs w:val="17"/>
                <w:color w:val="0000FF"/>
              </w:rPr>
            </w:pPr>
            <w:hyperlink w:anchor="page35">
              <w:r>
                <w:rPr>
                  <w:rFonts w:ascii="Arial" w:cs="Arial" w:eastAsia="Arial" w:hAnsi="Arial"/>
                  <w:sz w:val="17"/>
                  <w:szCs w:val="17"/>
                  <w:color w:val="0000FF"/>
                </w:rPr>
                <w:t>Securities Exchange Act of 1934 and 18 U.S.C. Section 1350.</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0" w:type="dxa"/>
            <w:vAlign w:val="bottom"/>
          </w:tcPr>
          <w:p>
            <w:pPr>
              <w:spacing w:after="0"/>
              <w:rPr>
                <w:sz w:val="20"/>
                <w:szCs w:val="20"/>
                <w:color w:val="auto"/>
              </w:rPr>
            </w:pPr>
            <w:r>
              <w:rPr>
                <w:rFonts w:ascii="Arial" w:cs="Arial" w:eastAsia="Arial" w:hAnsi="Arial"/>
                <w:sz w:val="17"/>
                <w:szCs w:val="17"/>
                <w:color w:val="auto"/>
              </w:rPr>
              <w:t>32.2**</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gridSpan w:val="8"/>
          </w:tcPr>
          <w:p>
            <w:pPr>
              <w:spacing w:after="0"/>
              <w:rPr>
                <w:rFonts w:ascii="Arial" w:cs="Arial" w:eastAsia="Arial" w:hAnsi="Arial"/>
                <w:sz w:val="17"/>
                <w:szCs w:val="17"/>
                <w:color w:val="0000FF"/>
                <w:w w:val="99"/>
              </w:rPr>
            </w:pPr>
            <w:hyperlink w:anchor="page36">
              <w:r>
                <w:rPr>
                  <w:rFonts w:ascii="Arial" w:cs="Arial" w:eastAsia="Arial" w:hAnsi="Arial"/>
                  <w:sz w:val="17"/>
                  <w:szCs w:val="17"/>
                  <w:color w:val="0000FF"/>
                  <w:w w:val="99"/>
                </w:rPr>
                <w:t>Certification of Chief Financial Officer of Civeo Corporation pursuant to Rules 13a-14(b) or 15d-14(b) under the</w:t>
              </w:r>
            </w:hyperlink>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60" w:type="dxa"/>
            <w:vAlign w:val="bottom"/>
            <w:gridSpan w:val="5"/>
            <w:shd w:val="clear" w:color="auto" w:fill="0000FF"/>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560" w:type="dxa"/>
            <w:vAlign w:val="bottom"/>
            <w:gridSpan w:val="6"/>
          </w:tcPr>
          <w:p>
            <w:pPr>
              <w:spacing w:after="0" w:line="150" w:lineRule="exact"/>
              <w:rPr>
                <w:rFonts w:ascii="Arial" w:cs="Arial" w:eastAsia="Arial" w:hAnsi="Arial"/>
                <w:sz w:val="17"/>
                <w:szCs w:val="17"/>
                <w:color w:val="0000FF"/>
              </w:rPr>
            </w:pPr>
            <w:hyperlink w:anchor="page36">
              <w:r>
                <w:rPr>
                  <w:rFonts w:ascii="Arial" w:cs="Arial" w:eastAsia="Arial" w:hAnsi="Arial"/>
                  <w:sz w:val="17"/>
                  <w:szCs w:val="17"/>
                  <w:color w:val="0000FF"/>
                </w:rPr>
                <w:t>Securities Exchange Act of 1934 and 18 U.S.C. Section 1350.</w:t>
              </w:r>
            </w:hyperlink>
          </w:p>
        </w:tc>
        <w:tc>
          <w:tcPr>
            <w:tcW w:w="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20" w:type="dxa"/>
            <w:vAlign w:val="bottom"/>
            <w:gridSpan w:val="3"/>
            <w:shd w:val="clear" w:color="auto" w:fill="0000FF"/>
          </w:tcPr>
          <w:p>
            <w:pPr>
              <w:spacing w:after="0" w:line="20" w:lineRule="exact"/>
              <w:rPr>
                <w:sz w:val="1"/>
                <w:szCs w:val="1"/>
                <w:color w:val="auto"/>
              </w:rPr>
            </w:pPr>
          </w:p>
        </w:tc>
        <w:tc>
          <w:tcPr>
            <w:tcW w:w="43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40" w:type="dxa"/>
            <w:vAlign w:val="bottom"/>
            <w:gridSpan w:val="2"/>
          </w:tcPr>
          <w:p>
            <w:pPr>
              <w:spacing w:after="0"/>
              <w:rPr>
                <w:sz w:val="20"/>
                <w:szCs w:val="20"/>
                <w:color w:val="auto"/>
              </w:rPr>
            </w:pPr>
            <w:r>
              <w:rPr>
                <w:rFonts w:ascii="Arial" w:cs="Arial" w:eastAsia="Arial" w:hAnsi="Arial"/>
                <w:sz w:val="17"/>
                <w:szCs w:val="17"/>
                <w:color w:val="auto"/>
              </w:rPr>
              <w:t>101.INS*</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gridSpan w:val="8"/>
          </w:tcPr>
          <w:p>
            <w:pPr>
              <w:spacing w:after="0"/>
              <w:rPr>
                <w:sz w:val="20"/>
                <w:szCs w:val="20"/>
                <w:color w:val="auto"/>
              </w:rPr>
            </w:pPr>
            <w:r>
              <w:rPr>
                <w:rFonts w:ascii="Arial" w:cs="Arial" w:eastAsia="Arial" w:hAnsi="Arial"/>
                <w:sz w:val="17"/>
                <w:szCs w:val="17"/>
                <w:color w:val="auto"/>
                <w:w w:val="97"/>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222"/>
        </w:trPr>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20" w:type="dxa"/>
            <w:vAlign w:val="bottom"/>
            <w:gridSpan w:val="9"/>
          </w:tcPr>
          <w:p>
            <w:pPr>
              <w:spacing w:after="0"/>
              <w:rPr>
                <w:sz w:val="20"/>
                <w:szCs w:val="20"/>
                <w:color w:val="auto"/>
              </w:rPr>
            </w:pPr>
            <w:r>
              <w:rPr>
                <w:rFonts w:ascii="Arial" w:cs="Arial" w:eastAsia="Arial" w:hAnsi="Arial"/>
                <w:sz w:val="17"/>
                <w:szCs w:val="17"/>
                <w:color w:val="auto"/>
              </w:rPr>
              <w:t>XBRL tags are embedded within the Inline XBRL document</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7"/>
                <w:szCs w:val="17"/>
                <w:color w:val="auto"/>
              </w:rPr>
              <w:t>101.SCH*</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gridSpan w:val="8"/>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7"/>
                <w:szCs w:val="17"/>
                <w:color w:val="auto"/>
              </w:rPr>
              <w:t>101.CAL*</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gridSpan w:val="8"/>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7"/>
                <w:szCs w:val="17"/>
                <w:color w:val="auto"/>
              </w:rPr>
              <w:t>101.DEF*</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gridSpan w:val="8"/>
          </w:tcPr>
          <w:p>
            <w:pPr>
              <w:spacing w:after="0"/>
              <w:rPr>
                <w:sz w:val="20"/>
                <w:szCs w:val="20"/>
                <w:color w:val="auto"/>
              </w:rPr>
            </w:pPr>
            <w:r>
              <w:rPr>
                <w:rFonts w:ascii="Arial" w:cs="Arial" w:eastAsia="Arial" w:hAnsi="Arial"/>
                <w:sz w:val="17"/>
                <w:szCs w:val="17"/>
                <w:color w:val="auto"/>
              </w:rPr>
              <w:t>Inline Taxonomy Extension Definition Linkbase Document</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7"/>
                <w:szCs w:val="17"/>
                <w:color w:val="auto"/>
              </w:rPr>
              <w:t>101.LAB*</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gridSpan w:val="8"/>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445"/>
        </w:trPr>
        <w:tc>
          <w:tcPr>
            <w:tcW w:w="1040" w:type="dxa"/>
            <w:vAlign w:val="bottom"/>
            <w:gridSpan w:val="2"/>
          </w:tcPr>
          <w:p>
            <w:pPr>
              <w:spacing w:after="0"/>
              <w:rPr>
                <w:sz w:val="20"/>
                <w:szCs w:val="20"/>
                <w:color w:val="auto"/>
              </w:rPr>
            </w:pPr>
            <w:r>
              <w:rPr>
                <w:rFonts w:ascii="Arial" w:cs="Arial" w:eastAsia="Arial" w:hAnsi="Arial"/>
                <w:sz w:val="17"/>
                <w:szCs w:val="17"/>
                <w:color w:val="auto"/>
              </w:rPr>
              <w:t>101.PRE*</w:t>
            </w: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gridSpan w:val="8"/>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472"/>
        </w:trPr>
        <w:tc>
          <w:tcPr>
            <w:tcW w:w="860" w:type="dxa"/>
            <w:vAlign w:val="bottom"/>
          </w:tcPr>
          <w:p>
            <w:pPr>
              <w:spacing w:after="0"/>
              <w:rPr>
                <w:sz w:val="20"/>
                <w:szCs w:val="20"/>
                <w:color w:val="auto"/>
              </w:rPr>
            </w:pPr>
            <w:r>
              <w:rPr>
                <w:rFonts w:ascii="Arial" w:cs="Arial" w:eastAsia="Arial" w:hAnsi="Arial"/>
                <w:sz w:val="17"/>
                <w:szCs w:val="17"/>
                <w:color w:val="auto"/>
              </w:rPr>
              <w:t>104</w:t>
            </w:r>
          </w:p>
        </w:tc>
        <w:tc>
          <w:tcPr>
            <w:tcW w:w="180" w:type="dxa"/>
            <w:vAlign w:val="bottom"/>
          </w:tcPr>
          <w:p>
            <w:pPr>
              <w:spacing w:after="0"/>
              <w:rPr>
                <w:sz w:val="24"/>
                <w:szCs w:val="24"/>
                <w:color w:val="auto"/>
              </w:rPr>
            </w:pPr>
          </w:p>
        </w:tc>
        <w:tc>
          <w:tcPr>
            <w:tcW w:w="400" w:type="dxa"/>
            <w:vAlign w:val="bottom"/>
          </w:tcPr>
          <w:p>
            <w:pPr>
              <w:ind w:lef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8320" w:type="dxa"/>
            <w:vAlign w:val="bottom"/>
            <w:gridSpan w:val="8"/>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71" w:lineRule="exact"/>
        <w:rPr>
          <w:sz w:val="20"/>
          <w:szCs w:val="20"/>
          <w:color w:val="auto"/>
        </w:rPr>
      </w:pPr>
    </w:p>
    <w:p>
      <w:pPr>
        <w:ind w:left="420" w:hanging="398"/>
        <w:spacing w:after="0"/>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53" w:lineRule="exact"/>
        <w:rPr>
          <w:sz w:val="20"/>
          <w:szCs w:val="20"/>
          <w:color w:val="auto"/>
        </w:rPr>
      </w:pPr>
    </w:p>
    <w:p>
      <w:pPr>
        <w:ind w:left="420" w:hanging="398"/>
        <w:spacing w:after="0"/>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32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PLEASE NOTE: Pursuant to the rules and regulations of the Securities and Exchange Commission, we have filed or incorporated by reference the agreements referenced above as exhibits to this Quarterly Report on Form 10-Q. The agreements have been filed to provide investors with information regarding their respective terms. The agreements are not intended to provide any other factual information about Civeo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Civeo or its business or operations on the date hereof.</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53975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1" w:name="page32"/>
    <w:bookmarkEnd w:id="31"/>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firstLine="472"/>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ind w:left="380"/>
        <w:spacing w:after="0"/>
        <w:rPr>
          <w:sz w:val="20"/>
          <w:szCs w:val="20"/>
          <w:color w:val="auto"/>
        </w:rPr>
      </w:pPr>
      <w:r>
        <w:rPr>
          <w:rFonts w:ascii="Arial" w:cs="Arial" w:eastAsia="Arial" w:hAnsi="Arial"/>
          <w:sz w:val="17"/>
          <w:szCs w:val="17"/>
          <w:color w:val="auto"/>
        </w:rPr>
        <w:t>CIVEO CORPORATION</w:t>
      </w:r>
    </w:p>
    <w:p>
      <w:pPr>
        <w:spacing w:after="0" w:line="349"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7"/>
          <w:szCs w:val="17"/>
          <w:u w:val="single" w:color="auto"/>
          <w:color w:val="auto"/>
        </w:rPr>
        <w:t>Date: April 29, 2022</w:t>
      </w:r>
      <w:r>
        <w:rPr>
          <w:sz w:val="20"/>
          <w:szCs w:val="20"/>
          <w:color w:val="auto"/>
        </w:rPr>
        <w:tab/>
      </w:r>
      <w:r>
        <w:rPr>
          <w:rFonts w:ascii="Arial" w:cs="Arial" w:eastAsia="Arial" w:hAnsi="Arial"/>
          <w:sz w:val="16"/>
          <w:szCs w:val="16"/>
          <w:b w:val="1"/>
          <w:bCs w:val="1"/>
          <w:color w:val="auto"/>
        </w:rPr>
        <w:t>By /s/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-3810</wp:posOffset>
            </wp:positionV>
            <wp:extent cx="16421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42110" cy="825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Arial" w:cs="Arial" w:eastAsia="Arial" w:hAnsi="Arial"/>
          <w:sz w:val="17"/>
          <w:szCs w:val="17"/>
          <w:b w:val="1"/>
          <w:bCs w:val="1"/>
          <w:color w:val="auto"/>
        </w:rPr>
        <w:t>Carolyn J. Stone</w:t>
      </w:r>
    </w:p>
    <w:p>
      <w:pPr>
        <w:spacing w:after="0" w:line="17" w:lineRule="exact"/>
        <w:rPr>
          <w:sz w:val="20"/>
          <w:szCs w:val="20"/>
          <w:color w:val="auto"/>
        </w:rPr>
      </w:pPr>
    </w:p>
    <w:p>
      <w:pPr>
        <w:ind w:left="5460"/>
        <w:spacing w:after="0"/>
        <w:rPr>
          <w:sz w:val="20"/>
          <w:szCs w:val="20"/>
          <w:color w:val="auto"/>
        </w:rPr>
      </w:pPr>
      <w:r>
        <w:rPr>
          <w:rFonts w:ascii="Arial" w:cs="Arial" w:eastAsia="Arial" w:hAnsi="Arial"/>
          <w:sz w:val="17"/>
          <w:szCs w:val="17"/>
          <w:b w:val="1"/>
          <w:bCs w:val="1"/>
          <w:color w:val="auto"/>
        </w:rPr>
        <w:t>Senior Vice President, Chief Financial Officer and Treasurer (Duly</w:t>
      </w:r>
    </w:p>
    <w:p>
      <w:pPr>
        <w:ind w:left="5460"/>
        <w:spacing w:after="0"/>
        <w:rPr>
          <w:sz w:val="20"/>
          <w:szCs w:val="20"/>
          <w:color w:val="auto"/>
        </w:rPr>
      </w:pPr>
      <w:r>
        <w:rPr>
          <w:rFonts w:ascii="Arial" w:cs="Arial" w:eastAsia="Arial" w:hAnsi="Arial"/>
          <w:sz w:val="17"/>
          <w:szCs w:val="17"/>
          <w:b w:val="1"/>
          <w:bCs w:val="1"/>
          <w:color w:val="auto"/>
        </w:rPr>
        <w:t>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1440"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b w:val="1"/>
          <w:bCs w:val="1"/>
          <w:color w:val="auto"/>
        </w:rPr>
        <w:t>EXHIBIT 31.1</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Bradley J. Dodson, certify that:</w:t>
      </w:r>
    </w:p>
    <w:p>
      <w:pPr>
        <w:spacing w:after="0" w:line="355" w:lineRule="exact"/>
        <w:rPr>
          <w:sz w:val="20"/>
          <w:szCs w:val="20"/>
          <w:color w:val="auto"/>
        </w:rPr>
      </w:pPr>
    </w:p>
    <w:p>
      <w:pPr>
        <w:ind w:left="340" w:hanging="318"/>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Civeo Corporation (Registrant);</w:t>
      </w:r>
    </w:p>
    <w:p>
      <w:pPr>
        <w:spacing w:after="0" w:line="66" w:lineRule="exact"/>
        <w:rPr>
          <w:sz w:val="20"/>
          <w:szCs w:val="20"/>
          <w:color w:val="auto"/>
        </w:rPr>
      </w:pPr>
    </w:p>
    <w:p>
      <w:pPr>
        <w:jc w:val="both"/>
        <w:ind w:left="340" w:right="2320" w:hanging="318"/>
        <w:spacing w:after="0" w:line="230"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sz w:val="20"/>
          <w:szCs w:val="20"/>
          <w:color w:val="auto"/>
        </w:rPr>
      </w:pPr>
    </w:p>
    <w:p>
      <w:pPr>
        <w:jc w:val="both"/>
        <w:ind w:left="340" w:right="2300" w:hanging="318"/>
        <w:spacing w:after="0" w:line="230"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sz w:val="20"/>
          <w:szCs w:val="20"/>
          <w:color w:val="auto"/>
        </w:rPr>
      </w:pPr>
    </w:p>
    <w:p>
      <w:pPr>
        <w:jc w:val="both"/>
        <w:ind w:left="340" w:right="2300" w:hanging="318"/>
        <w:spacing w:after="0" w:line="230"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Arial" w:cs="Arial" w:eastAsia="Arial" w:hAnsi="Arial"/>
          <w:sz w:val="17"/>
          <w:szCs w:val="17"/>
          <w:color w:val="auto"/>
        </w:rPr>
      </w:pPr>
    </w:p>
    <w:p>
      <w:pPr>
        <w:ind w:left="700" w:right="2300" w:hanging="367"/>
        <w:spacing w:after="0" w:line="224" w:lineRule="auto"/>
        <w:rPr>
          <w:rFonts w:ascii="Arial" w:cs="Arial" w:eastAsia="Arial" w:hAnsi="Arial"/>
          <w:sz w:val="17"/>
          <w:szCs w:val="17"/>
          <w:color w:val="auto"/>
        </w:rPr>
      </w:pPr>
      <w:r>
        <w:rPr>
          <w:rFonts w:ascii="Arial" w:cs="Arial" w:eastAsia="Arial" w:hAnsi="Arial"/>
          <w:sz w:val="17"/>
          <w:szCs w:val="17"/>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700" w:right="2320" w:hanging="367"/>
        <w:spacing w:after="0" w:line="224" w:lineRule="auto"/>
        <w:rPr>
          <w:rFonts w:ascii="Arial" w:cs="Arial" w:eastAsia="Arial" w:hAnsi="Arial"/>
          <w:sz w:val="17"/>
          <w:szCs w:val="17"/>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 w:lineRule="exact"/>
        <w:rPr>
          <w:rFonts w:ascii="Arial" w:cs="Arial" w:eastAsia="Arial" w:hAnsi="Arial"/>
          <w:sz w:val="17"/>
          <w:szCs w:val="17"/>
          <w:color w:val="auto"/>
        </w:rPr>
      </w:pPr>
    </w:p>
    <w:p>
      <w:pPr>
        <w:ind w:left="700" w:right="2300" w:hanging="367"/>
        <w:spacing w:after="0" w:line="230" w:lineRule="auto"/>
        <w:rPr>
          <w:rFonts w:ascii="Arial" w:cs="Arial" w:eastAsia="Arial" w:hAnsi="Arial"/>
          <w:sz w:val="17"/>
          <w:szCs w:val="17"/>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700" w:right="2320" w:hanging="363"/>
        <w:spacing w:after="0" w:line="224"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sz w:val="20"/>
          <w:szCs w:val="20"/>
          <w:color w:val="auto"/>
        </w:rPr>
      </w:pPr>
    </w:p>
    <w:p>
      <w:pPr>
        <w:jc w:val="both"/>
        <w:ind w:left="340" w:right="2300" w:hanging="318"/>
        <w:spacing w:after="0" w:line="230" w:lineRule="auto"/>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700" w:right="2320" w:hanging="367"/>
        <w:spacing w:after="0" w:line="230" w:lineRule="auto"/>
        <w:rPr>
          <w:rFonts w:ascii="Arial" w:cs="Arial" w:eastAsia="Arial" w:hAnsi="Arial"/>
          <w:sz w:val="17"/>
          <w:szCs w:val="17"/>
          <w:color w:val="auto"/>
        </w:rPr>
      </w:pPr>
      <w:r>
        <w:rPr>
          <w:rFonts w:ascii="Arial" w:cs="Arial" w:eastAsia="Arial" w:hAnsi="Arial"/>
          <w:sz w:val="17"/>
          <w:szCs w:val="17"/>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700" w:right="2300" w:hanging="367"/>
        <w:spacing w:after="0" w:line="241" w:lineRule="auto"/>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Date: April 29, 2022</w:t>
      </w:r>
    </w:p>
    <w:p>
      <w:pPr>
        <w:spacing w:after="0" w:line="14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16510</wp:posOffset>
            </wp:positionV>
            <wp:extent cx="28778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Bradley J. Dodson</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President and Chief Executive Officer</w:t>
      </w:r>
    </w:p>
    <w:p>
      <w:pPr>
        <w:sectPr>
          <w:pgSz w:w="11900" w:h="16838" w:orient="portrait"/>
          <w:cols w:equalWidth="0" w:num="1">
            <w:col w:w="11240"/>
          </w:cols>
          <w:pgMar w:left="320" w:top="86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b w:val="1"/>
          <w:bCs w:val="1"/>
          <w:color w:val="auto"/>
        </w:rPr>
        <w:t>EXHIBIT 31.2</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RULE 13a–14(a) UNDER THE</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SECURITIES EXCHANGE ACT OF 1934</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I, Carolyn J. Stone, certify that:</w:t>
      </w:r>
    </w:p>
    <w:p>
      <w:pPr>
        <w:spacing w:after="0" w:line="355" w:lineRule="exact"/>
        <w:rPr>
          <w:sz w:val="20"/>
          <w:szCs w:val="20"/>
          <w:color w:val="auto"/>
        </w:rPr>
      </w:pPr>
    </w:p>
    <w:p>
      <w:pPr>
        <w:ind w:left="320" w:hanging="298"/>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Civeo Corporation (Registrant);</w:t>
      </w:r>
    </w:p>
    <w:p>
      <w:pPr>
        <w:spacing w:after="0" w:line="66" w:lineRule="exact"/>
        <w:rPr>
          <w:sz w:val="20"/>
          <w:szCs w:val="20"/>
          <w:color w:val="auto"/>
        </w:rPr>
      </w:pPr>
    </w:p>
    <w:p>
      <w:pPr>
        <w:jc w:val="both"/>
        <w:ind w:left="320" w:right="2400" w:hanging="298"/>
        <w:spacing w:after="0" w:line="230" w:lineRule="auto"/>
        <w:tabs>
          <w:tab w:leader="none" w:pos="3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sz w:val="20"/>
          <w:szCs w:val="20"/>
          <w:color w:val="auto"/>
        </w:rPr>
      </w:pPr>
    </w:p>
    <w:p>
      <w:pPr>
        <w:jc w:val="both"/>
        <w:ind w:left="320" w:right="2400" w:hanging="298"/>
        <w:spacing w:after="0" w:line="230" w:lineRule="auto"/>
        <w:tabs>
          <w:tab w:leader="none" w:pos="3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sz w:val="20"/>
          <w:szCs w:val="20"/>
          <w:color w:val="auto"/>
        </w:rPr>
      </w:pPr>
    </w:p>
    <w:p>
      <w:pPr>
        <w:jc w:val="both"/>
        <w:ind w:left="320" w:right="2400" w:hanging="298"/>
        <w:spacing w:after="0" w:line="230" w:lineRule="auto"/>
        <w:tabs>
          <w:tab w:leader="none" w:pos="3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3" w:lineRule="exact"/>
        <w:rPr>
          <w:rFonts w:ascii="Arial" w:cs="Arial" w:eastAsia="Arial" w:hAnsi="Arial"/>
          <w:sz w:val="17"/>
          <w:szCs w:val="17"/>
          <w:color w:val="auto"/>
        </w:rPr>
      </w:pPr>
    </w:p>
    <w:p>
      <w:pPr>
        <w:ind w:left="720" w:right="2400" w:hanging="393"/>
        <w:spacing w:after="0" w:line="224" w:lineRule="auto"/>
        <w:rPr>
          <w:rFonts w:ascii="Arial" w:cs="Arial" w:eastAsia="Arial" w:hAnsi="Arial"/>
          <w:sz w:val="17"/>
          <w:szCs w:val="17"/>
          <w:color w:val="auto"/>
        </w:rPr>
      </w:pPr>
      <w:r>
        <w:rPr>
          <w:rFonts w:ascii="Arial" w:cs="Arial" w:eastAsia="Arial" w:hAnsi="Arial"/>
          <w:sz w:val="17"/>
          <w:szCs w:val="17"/>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720" w:right="2400" w:hanging="393"/>
        <w:spacing w:after="0" w:line="224" w:lineRule="auto"/>
        <w:rPr>
          <w:rFonts w:ascii="Arial" w:cs="Arial" w:eastAsia="Arial" w:hAnsi="Arial"/>
          <w:sz w:val="17"/>
          <w:szCs w:val="17"/>
          <w:color w:val="auto"/>
        </w:rPr>
      </w:pPr>
      <w:r>
        <w:rPr>
          <w:rFonts w:ascii="Arial" w:cs="Arial" w:eastAsia="Arial" w:hAnsi="Arial"/>
          <w:sz w:val="17"/>
          <w:szCs w:val="17"/>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7"/>
          <w:szCs w:val="17"/>
          <w:color w:val="auto"/>
        </w:rPr>
      </w:pPr>
    </w:p>
    <w:p>
      <w:pPr>
        <w:ind w:left="720" w:right="2400" w:hanging="393"/>
        <w:spacing w:after="0" w:line="230" w:lineRule="auto"/>
        <w:rPr>
          <w:rFonts w:ascii="Arial" w:cs="Arial" w:eastAsia="Arial" w:hAnsi="Arial"/>
          <w:sz w:val="17"/>
          <w:szCs w:val="17"/>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sz w:val="20"/>
          <w:szCs w:val="20"/>
          <w:color w:val="auto"/>
        </w:rPr>
      </w:pPr>
    </w:p>
    <w:p>
      <w:pPr>
        <w:jc w:val="both"/>
        <w:ind w:left="720" w:right="2400" w:hanging="397"/>
        <w:spacing w:after="0" w:line="224"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sz w:val="20"/>
          <w:szCs w:val="20"/>
          <w:color w:val="auto"/>
        </w:rPr>
      </w:pPr>
    </w:p>
    <w:p>
      <w:pPr>
        <w:jc w:val="both"/>
        <w:ind w:left="320" w:right="2400" w:hanging="298"/>
        <w:spacing w:after="0" w:line="230" w:lineRule="auto"/>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Arial" w:cs="Arial" w:eastAsia="Arial" w:hAnsi="Arial"/>
          <w:sz w:val="17"/>
          <w:szCs w:val="17"/>
          <w:color w:val="auto"/>
        </w:rPr>
      </w:pPr>
    </w:p>
    <w:p>
      <w:pPr>
        <w:ind w:left="720" w:right="2400" w:hanging="393"/>
        <w:spacing w:after="0" w:line="230" w:lineRule="auto"/>
        <w:rPr>
          <w:rFonts w:ascii="Arial" w:cs="Arial" w:eastAsia="Arial" w:hAnsi="Arial"/>
          <w:sz w:val="17"/>
          <w:szCs w:val="17"/>
          <w:color w:val="auto"/>
        </w:rPr>
      </w:pPr>
      <w:r>
        <w:rPr>
          <w:rFonts w:ascii="Arial" w:cs="Arial" w:eastAsia="Arial" w:hAnsi="Arial"/>
          <w:sz w:val="17"/>
          <w:szCs w:val="17"/>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Arial" w:cs="Arial" w:eastAsia="Arial" w:hAnsi="Arial"/>
          <w:sz w:val="17"/>
          <w:szCs w:val="17"/>
          <w:color w:val="auto"/>
        </w:rPr>
      </w:pPr>
    </w:p>
    <w:p>
      <w:pPr>
        <w:ind w:left="720" w:right="2400" w:hanging="393"/>
        <w:spacing w:after="0" w:line="241" w:lineRule="auto"/>
        <w:rPr>
          <w:rFonts w:ascii="Arial" w:cs="Arial" w:eastAsia="Arial" w:hAnsi="Arial"/>
          <w:sz w:val="17"/>
          <w:szCs w:val="17"/>
          <w:color w:val="auto"/>
        </w:rPr>
      </w:pPr>
      <w:r>
        <w:rPr>
          <w:rFonts w:ascii="Arial" w:cs="Arial" w:eastAsia="Arial" w:hAnsi="Arial"/>
          <w:sz w:val="17"/>
          <w:szCs w:val="17"/>
          <w:color w:val="auto"/>
        </w:rPr>
        <w:t>b 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Date: April 29, 2022</w:t>
      </w:r>
    </w:p>
    <w:p>
      <w:pPr>
        <w:spacing w:after="0" w:line="35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Carolyn J.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4244975</wp:posOffset>
            </wp:positionH>
            <wp:positionV relativeFrom="paragraph">
              <wp:posOffset>16510</wp:posOffset>
            </wp:positionV>
            <wp:extent cx="28778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77820" cy="8255"/>
                    </a:xfrm>
                    <a:prstGeom prst="rect">
                      <a:avLst/>
                    </a:prstGeom>
                    <a:noFill/>
                  </pic:spPr>
                </pic:pic>
              </a:graphicData>
            </a:graphic>
          </wp:anchor>
        </w:drawing>
      </w:r>
    </w:p>
    <w:p>
      <w:pPr>
        <w:spacing w:after="0" w:line="20"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Carolyn J. Stone</w:t>
      </w:r>
    </w:p>
    <w:p>
      <w:pPr>
        <w:spacing w:after="0" w:line="27"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Senior Vice President, Chief Financial Officer and Treasurer</w:t>
      </w:r>
    </w:p>
    <w:p>
      <w:pPr>
        <w:sectPr>
          <w:pgSz w:w="11900" w:h="16838" w:orient="portrait"/>
          <w:cols w:equalWidth="0" w:num="1">
            <w:col w:w="11240"/>
          </w:cols>
          <w:pgMar w:left="320" w:top="868"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b w:val="1"/>
          <w:bCs w:val="1"/>
          <w:color w:val="auto"/>
        </w:rPr>
        <w:t>EXHIBIT 32.1</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EXECUTIVE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21" w:lineRule="exact"/>
        <w:rPr>
          <w:sz w:val="20"/>
          <w:szCs w:val="20"/>
          <w:color w:val="auto"/>
        </w:rPr>
      </w:pPr>
    </w:p>
    <w:p>
      <w:pPr>
        <w:jc w:val="both"/>
        <w:ind w:firstLine="786"/>
        <w:spacing w:after="0" w:line="267" w:lineRule="auto"/>
        <w:rPr>
          <w:sz w:val="20"/>
          <w:szCs w:val="20"/>
          <w:color w:val="auto"/>
        </w:rPr>
      </w:pPr>
      <w:r>
        <w:rPr>
          <w:rFonts w:ascii="Arial" w:cs="Arial" w:eastAsia="Arial" w:hAnsi="Arial"/>
          <w:sz w:val="17"/>
          <w:szCs w:val="17"/>
          <w:color w:val="auto"/>
        </w:rPr>
        <w:t>In connection with the Quarterly Report on Form 10-Q of Civeo Corporation (the “Company”) for the quarterly period ended March 31, 2022, as filed with the Securities and Exchange Commission on the date hereof (the “Report”), I, Bradley J. Dodson, President and Chief Executive Officer of the Company, hereby certify, pursuant to 18 U.S.C. Section 1350, as adopted pursuant to Section 906 of the Sarbanes-Oxley Act of 2002, to the best of my knowledge, that:</w:t>
      </w:r>
    </w:p>
    <w:p>
      <w:pPr>
        <w:spacing w:after="0" w:line="309"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1" w:lineRule="auto"/>
        <w:tabs>
          <w:tab w:leader="none" w:pos="2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3"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/s/ Bradley J. Dodson</w:t>
      </w:r>
    </w:p>
    <w:p>
      <w:pPr>
        <w:spacing w:after="0" w:line="26" w:lineRule="exact"/>
        <w:rPr>
          <w:sz w:val="20"/>
          <w:szCs w:val="20"/>
          <w:color w:val="auto"/>
        </w:rPr>
      </w:pPr>
    </w:p>
    <w:tbl>
      <w:tblPr>
        <w:tblLayout w:type="fixed"/>
        <w:tblInd w:w="5920" w:type="dxa"/>
        <w:tblCellMar>
          <w:top w:w="0" w:type="dxa"/>
          <w:left w:w="0" w:type="dxa"/>
          <w:bottom w:w="0" w:type="dxa"/>
          <w:right w:w="0" w:type="dxa"/>
        </w:tblCellMar>
      </w:tblPr>
      <w:tr>
        <w:trPr>
          <w:trHeight w:val="217"/>
        </w:trPr>
        <w:tc>
          <w:tcPr>
            <w:tcW w:w="6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Name:</w:t>
            </w:r>
          </w:p>
        </w:tc>
        <w:tc>
          <w:tcPr>
            <w:tcW w:w="3440" w:type="dxa"/>
            <w:vAlign w:val="bottom"/>
            <w:tcBorders>
              <w:top w:val="single" w:sz="8" w:color="auto"/>
            </w:tcBorders>
          </w:tcPr>
          <w:p>
            <w:pPr>
              <w:ind w:left="140"/>
              <w:spacing w:after="0"/>
              <w:rPr>
                <w:sz w:val="20"/>
                <w:szCs w:val="20"/>
                <w:color w:val="auto"/>
              </w:rPr>
            </w:pPr>
            <w:r>
              <w:rPr>
                <w:rFonts w:ascii="Arial" w:cs="Arial" w:eastAsia="Arial" w:hAnsi="Arial"/>
                <w:sz w:val="17"/>
                <w:szCs w:val="17"/>
                <w:color w:val="auto"/>
              </w:rPr>
              <w:t>Bradley J. Dodson</w:t>
            </w:r>
          </w:p>
        </w:tc>
      </w:tr>
      <w:tr>
        <w:trPr>
          <w:trHeight w:val="222"/>
        </w:trPr>
        <w:tc>
          <w:tcPr>
            <w:tcW w:w="600" w:type="dxa"/>
            <w:vAlign w:val="bottom"/>
          </w:tcPr>
          <w:p>
            <w:pPr>
              <w:spacing w:after="0"/>
              <w:rPr>
                <w:sz w:val="20"/>
                <w:szCs w:val="20"/>
                <w:color w:val="auto"/>
              </w:rPr>
            </w:pPr>
            <w:r>
              <w:rPr>
                <w:rFonts w:ascii="Arial" w:cs="Arial" w:eastAsia="Arial" w:hAnsi="Arial"/>
                <w:sz w:val="17"/>
                <w:szCs w:val="17"/>
                <w:color w:val="auto"/>
              </w:rPr>
              <w:t>Date:</w:t>
            </w:r>
          </w:p>
        </w:tc>
        <w:tc>
          <w:tcPr>
            <w:tcW w:w="3440" w:type="dxa"/>
            <w:vAlign w:val="bottom"/>
          </w:tcPr>
          <w:p>
            <w:pPr>
              <w:ind w:left="140"/>
              <w:spacing w:after="0"/>
              <w:rPr>
                <w:sz w:val="20"/>
                <w:szCs w:val="20"/>
                <w:color w:val="auto"/>
              </w:rPr>
            </w:pPr>
            <w:r>
              <w:rPr>
                <w:rFonts w:ascii="Arial" w:cs="Arial" w:eastAsia="Arial" w:hAnsi="Arial"/>
                <w:sz w:val="17"/>
                <w:szCs w:val="17"/>
                <w:color w:val="auto"/>
              </w:rPr>
              <w:t>April 29, 2022</w:t>
            </w:r>
          </w:p>
        </w:tc>
      </w:tr>
    </w:tbl>
    <w:p>
      <w:pPr>
        <w:sectPr>
          <w:pgSz w:w="11900" w:h="16838" w:orient="portrait"/>
          <w:cols w:equalWidth="0" w:num="1">
            <w:col w:w="11240"/>
          </w:cols>
          <w:pgMar w:left="320" w:top="868"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b w:val="1"/>
          <w:bCs w:val="1"/>
          <w:color w:val="auto"/>
        </w:rPr>
        <w:t>EXHIBIT 32.2</w:t>
      </w: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CERTIFICATION OF</w:t>
      </w:r>
    </w:p>
    <w:p>
      <w:pPr>
        <w:spacing w:after="0" w:line="32"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CHIEF FINANCIAL OFFICER</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OF CIVEO CORPORATION</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PURSUANT TO 18 U.S.C. § 1350, AS ADOPTED PURSUANT TO</w:t>
      </w:r>
    </w:p>
    <w:p>
      <w:pPr>
        <w:spacing w:after="0" w:line="1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2" w:lineRule="exact"/>
        <w:rPr>
          <w:sz w:val="20"/>
          <w:szCs w:val="20"/>
          <w:color w:val="auto"/>
        </w:rPr>
      </w:pPr>
    </w:p>
    <w:p>
      <w:pPr>
        <w:jc w:val="both"/>
        <w:ind w:firstLine="786"/>
        <w:spacing w:after="0" w:line="267" w:lineRule="auto"/>
        <w:rPr>
          <w:sz w:val="20"/>
          <w:szCs w:val="20"/>
          <w:color w:val="auto"/>
        </w:rPr>
      </w:pPr>
      <w:r>
        <w:rPr>
          <w:rFonts w:ascii="Arial" w:cs="Arial" w:eastAsia="Arial" w:hAnsi="Arial"/>
          <w:sz w:val="17"/>
          <w:szCs w:val="17"/>
          <w:color w:val="auto"/>
        </w:rPr>
        <w:t>In connection with the Quarterly Report on Form 10-Q of Civeo Corporation (the “Company”) for the quarterly period ended March 31, 2022, as filed with the Securities and Exchange Commission on the date hereof (the “Report”), I, Carolyn J. Stone, Senior Vice President, Chief Financial Officer and Treasurer of the Company, hereby certify, pursuant to 18 U.S.C. Section 1350, as adopted pursuant to Section 906 of the Sarbanes-Oxley Act of 2002, to the best of my knowledge, that:</w:t>
      </w:r>
    </w:p>
    <w:p>
      <w:pPr>
        <w:spacing w:after="0" w:line="309" w:lineRule="exact"/>
        <w:rPr>
          <w:sz w:val="20"/>
          <w:szCs w:val="20"/>
          <w:color w:val="auto"/>
        </w:rPr>
      </w:pPr>
    </w:p>
    <w:p>
      <w:pPr>
        <w:ind w:left="20"/>
        <w:spacing w:after="0"/>
        <w:tabs>
          <w:tab w:leader="none" w:pos="26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5"/>
          <w:szCs w:val="15"/>
          <w:color w:val="auto"/>
        </w:rPr>
        <w:t>The Report fully complies with the requirements of Section 13(a) or 15(d) of the Securities Exchange Act of 1934; and</w:t>
      </w:r>
    </w:p>
    <w:p>
      <w:pPr>
        <w:spacing w:after="0" w:line="66" w:lineRule="exact"/>
        <w:rPr>
          <w:sz w:val="20"/>
          <w:szCs w:val="20"/>
          <w:color w:val="auto"/>
        </w:rPr>
      </w:pPr>
    </w:p>
    <w:p>
      <w:pPr>
        <w:ind w:left="280" w:right="2320" w:hanging="258"/>
        <w:spacing w:after="0" w:line="241" w:lineRule="auto"/>
        <w:tabs>
          <w:tab w:leader="none" w:pos="2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67"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 Carolyn J. Stone</w:t>
      </w:r>
    </w:p>
    <w:p>
      <w:pPr>
        <w:spacing w:after="0" w:line="26" w:lineRule="exact"/>
        <w:rPr>
          <w:sz w:val="20"/>
          <w:szCs w:val="20"/>
          <w:color w:val="auto"/>
        </w:rPr>
      </w:pPr>
    </w:p>
    <w:tbl>
      <w:tblPr>
        <w:tblLayout w:type="fixed"/>
        <w:tblInd w:w="5760" w:type="dxa"/>
        <w:tblCellMar>
          <w:top w:w="0" w:type="dxa"/>
          <w:left w:w="0" w:type="dxa"/>
          <w:bottom w:w="0" w:type="dxa"/>
          <w:right w:w="0" w:type="dxa"/>
        </w:tblCellMar>
      </w:tblPr>
      <w:tr>
        <w:trPr>
          <w:trHeight w:val="217"/>
        </w:trPr>
        <w:tc>
          <w:tcPr>
            <w:tcW w:w="72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Name:</w:t>
            </w:r>
          </w:p>
        </w:tc>
        <w:tc>
          <w:tcPr>
            <w:tcW w:w="3480" w:type="dxa"/>
            <w:vAlign w:val="bottom"/>
            <w:tcBorders>
              <w:top w:val="single" w:sz="8" w:color="auto"/>
            </w:tcBorders>
          </w:tcPr>
          <w:p>
            <w:pPr>
              <w:ind w:left="200"/>
              <w:spacing w:after="0"/>
              <w:rPr>
                <w:sz w:val="20"/>
                <w:szCs w:val="20"/>
                <w:color w:val="auto"/>
              </w:rPr>
            </w:pPr>
            <w:r>
              <w:rPr>
                <w:rFonts w:ascii="Arial" w:cs="Arial" w:eastAsia="Arial" w:hAnsi="Arial"/>
                <w:sz w:val="17"/>
                <w:szCs w:val="17"/>
                <w:color w:val="auto"/>
              </w:rPr>
              <w:t>Carolyn J. Stone</w:t>
            </w:r>
          </w:p>
        </w:tc>
      </w:tr>
      <w:tr>
        <w:trPr>
          <w:trHeight w:val="222"/>
        </w:trPr>
        <w:tc>
          <w:tcPr>
            <w:tcW w:w="720" w:type="dxa"/>
            <w:vAlign w:val="bottom"/>
          </w:tcPr>
          <w:p>
            <w:pPr>
              <w:ind w:left="20"/>
              <w:spacing w:after="0"/>
              <w:rPr>
                <w:sz w:val="20"/>
                <w:szCs w:val="20"/>
                <w:color w:val="auto"/>
              </w:rPr>
            </w:pPr>
            <w:r>
              <w:rPr>
                <w:rFonts w:ascii="Arial" w:cs="Arial" w:eastAsia="Arial" w:hAnsi="Arial"/>
                <w:sz w:val="17"/>
                <w:szCs w:val="17"/>
                <w:color w:val="auto"/>
              </w:rPr>
              <w:t>Date:</w:t>
            </w:r>
          </w:p>
        </w:tc>
        <w:tc>
          <w:tcPr>
            <w:tcW w:w="3480" w:type="dxa"/>
            <w:vAlign w:val="bottom"/>
          </w:tcPr>
          <w:p>
            <w:pPr>
              <w:ind w:left="200"/>
              <w:spacing w:after="0"/>
              <w:rPr>
                <w:sz w:val="20"/>
                <w:szCs w:val="20"/>
                <w:color w:val="auto"/>
              </w:rPr>
            </w:pPr>
            <w:r>
              <w:rPr>
                <w:rFonts w:ascii="Arial" w:cs="Arial" w:eastAsia="Arial" w:hAnsi="Arial"/>
                <w:sz w:val="17"/>
                <w:szCs w:val="17"/>
                <w:color w:val="auto"/>
              </w:rPr>
              <w:t>April 29, 2022</w:t>
            </w:r>
          </w:p>
        </w:tc>
      </w:tr>
    </w:tbl>
    <w:p>
      <w:pPr>
        <w:spacing w:after="0" w:line="1" w:lineRule="exact"/>
        <w:rPr>
          <w:sz w:val="20"/>
          <w:szCs w:val="20"/>
          <w:color w:val="auto"/>
        </w:rPr>
      </w:pPr>
    </w:p>
    <w:sectPr>
      <w:pgSz w:w="11900" w:h="16838" w:orient="portrait"/>
      <w:cols w:equalWidth="0" w:num="1">
        <w:col w:w="11240"/>
      </w:cols>
      <w:pgMar w:left="320" w:top="8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1)"/>
      <w:numFmt w:val="lowerLetter"/>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bullet"/>
      <w:start w:val="1"/>
    </w:lvl>
  </w:abstractNum>
  <w:abstractNum w:abstractNumId="19">
    <w:nsid w:val="B03E0C6"/>
    <w:multiLevelType w:val="hybridMultilevel"/>
    <w:lvl w:ilvl="0">
      <w:lvlJc w:val="left"/>
      <w:lvlText w:val="2"/>
      <w:numFmt w:val="bullet"/>
      <w:start w:val="1"/>
    </w:lvl>
  </w:abstractNum>
  <w:abstractNum w:abstractNumId="20">
    <w:nsid w:val="189A769B"/>
    <w:multiLevelType w:val="hybridMultilevel"/>
    <w:lvl w:ilvl="0">
      <w:lvlJc w:val="left"/>
      <w:lvlText w:val="3"/>
      <w:numFmt w:val="bullet"/>
      <w:start w:val="1"/>
    </w:lvl>
  </w:abstractNum>
  <w:abstractNum w:abstractNumId="21">
    <w:nsid w:val="54E49EB4"/>
    <w:multiLevelType w:val="hybridMultilevel"/>
    <w:lvl w:ilvl="0">
      <w:lvlJc w:val="left"/>
      <w:lvlText w:val="4"/>
      <w:numFmt w:val="bullet"/>
      <w:start w:val="1"/>
    </w:lvl>
  </w:abstractNum>
  <w:abstractNum w:abstractNumId="22">
    <w:nsid w:val="71F32454"/>
    <w:multiLevelType w:val="hybridMultilevel"/>
    <w:lvl w:ilvl="0">
      <w:lvlJc w:val="left"/>
      <w:lvlText w:val="d"/>
      <w:numFmt w:val="bullet"/>
      <w:start w:val="1"/>
    </w:lvl>
  </w:abstractNum>
  <w:abstractNum w:abstractNumId="23">
    <w:nsid w:val="2CA88611"/>
    <w:multiLevelType w:val="hybridMultilevel"/>
    <w:lvl w:ilvl="0">
      <w:lvlJc w:val="left"/>
      <w:lvlText w:val="5"/>
      <w:numFmt w:val="bullet"/>
      <w:start w:val="1"/>
    </w:lvl>
  </w:abstractNum>
  <w:abstractNum w:abstractNumId="24">
    <w:nsid w:val="836C40E"/>
    <w:multiLevelType w:val="hybridMultilevel"/>
    <w:lvl w:ilvl="0">
      <w:lvlJc w:val="left"/>
      <w:lvlText w:val="1"/>
      <w:numFmt w:val="bullet"/>
      <w:start w:val="1"/>
    </w:lvl>
  </w:abstractNum>
  <w:abstractNum w:abstractNumId="25">
    <w:nsid w:val="2901D82"/>
    <w:multiLevelType w:val="hybridMultilevel"/>
    <w:lvl w:ilvl="0">
      <w:lvlJc w:val="left"/>
      <w:lvlText w:val="2"/>
      <w:numFmt w:val="bullet"/>
      <w:start w:val="1"/>
    </w:lvl>
  </w:abstractNum>
  <w:abstractNum w:abstractNumId="26">
    <w:nsid w:val="3A95F874"/>
    <w:multiLevelType w:val="hybridMultilevel"/>
    <w:lvl w:ilvl="0">
      <w:lvlJc w:val="left"/>
      <w:lvlText w:val="3"/>
      <w:numFmt w:val="bullet"/>
      <w:start w:val="1"/>
    </w:lvl>
  </w:abstractNum>
  <w:abstractNum w:abstractNumId="27">
    <w:nsid w:val="8138641"/>
    <w:multiLevelType w:val="hybridMultilevel"/>
    <w:lvl w:ilvl="0">
      <w:lvlJc w:val="left"/>
      <w:lvlText w:val="4"/>
      <w:numFmt w:val="bullet"/>
      <w:start w:val="1"/>
    </w:lvl>
  </w:abstractNum>
  <w:abstractNum w:abstractNumId="28">
    <w:nsid w:val="1E7FF521"/>
    <w:multiLevelType w:val="hybridMultilevel"/>
    <w:lvl w:ilvl="0">
      <w:lvlJc w:val="left"/>
      <w:lvlText w:val="d"/>
      <w:numFmt w:val="bullet"/>
      <w:start w:val="1"/>
    </w:lvl>
  </w:abstractNum>
  <w:abstractNum w:abstractNumId="29">
    <w:nsid w:val="7C3DBD3D"/>
    <w:multiLevelType w:val="hybridMultilevel"/>
    <w:lvl w:ilvl="0">
      <w:lvlJc w:val="left"/>
      <w:lvlText w:val="5"/>
      <w:numFmt w:val="bullet"/>
      <w:start w:val="1"/>
    </w:lvl>
  </w:abstractNum>
  <w:abstractNum w:abstractNumId="30">
    <w:nsid w:val="737B8DDC"/>
    <w:multiLevelType w:val="hybridMultilevel"/>
    <w:lvl w:ilvl="0">
      <w:lvlJc w:val="left"/>
      <w:lvlText w:val="2"/>
      <w:numFmt w:val="bullet"/>
      <w:start w:val="1"/>
    </w:lvl>
  </w:abstractNum>
  <w:abstractNum w:abstractNumId="31">
    <w:nsid w:val="6CEAF08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2022-04-29T13:47:23Z</dcterms:created>
  <dcterms:modified xsi:type="dcterms:W3CDTF">2022-04-29T13:47:23Z</dcterms:modified>
</cp:coreProperties>
</file>