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Montelongo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Civeo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CVEO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restart"/>
          </w:tcPr>
          <w:p>
            <w:pPr>
              <w:spacing w:after="0"/>
              <w:rPr>
                <w:sz w:val="20"/>
                <w:szCs w:val="20"/>
                <w:color w:val="auto"/>
              </w:rPr>
            </w:pPr>
            <w:r>
              <w:rPr>
                <w:rFonts w:ascii="Arial" w:cs="Arial" w:eastAsia="Arial" w:hAnsi="Arial"/>
                <w:sz w:val="17"/>
                <w:szCs w:val="17"/>
                <w:color w:val="0000FF"/>
                <w:w w:val="96"/>
              </w:rPr>
              <w:t>333 CLAY STREET</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gridSpan w:val="6"/>
          </w:tcPr>
          <w:p>
            <w:pPr>
              <w:ind w:left="160"/>
              <w:spacing w:after="0"/>
              <w:rPr>
                <w:sz w:val="20"/>
                <w:szCs w:val="20"/>
                <w:color w:val="auto"/>
              </w:rPr>
            </w:pPr>
            <w:r>
              <w:rPr>
                <w:rFonts w:ascii="Arial" w:cs="Arial" w:eastAsia="Arial" w:hAnsi="Arial"/>
                <w:sz w:val="17"/>
                <w:szCs w:val="17"/>
                <w:color w:val="0000FF"/>
              </w:rPr>
              <w:t>08/16/2021</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4980</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77002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5,610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5,610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common share award under the Amended and Restated 2014 Equity Participation Plan of Civeo Corporation that vests on the earlier of one year from August 16, 2021 or the next annual shareholder meeting.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Bradley J. Dodson,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08/16/2021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2875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2021-08-16T15:24:23Z</dcterms:created>
  <dcterms:modified xsi:type="dcterms:W3CDTF">2021-08-16T15:24:23Z</dcterms:modified>
</cp:coreProperties>
</file>