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Three Allen Center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333 Clay Street, Suite 4980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Telephone: (713) 501-2400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November 6, 2017</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Real Estate &amp; Commodities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Attn:  Shannon Sobotka, Staff Accountant</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William Demarest, Staff Accountant</w:t>
      </w:r>
    </w:p>
    <w:p>
      <w:pPr>
        <w:spacing w:after="0" w:line="207" w:lineRule="exact"/>
        <w:rPr>
          <w:sz w:val="24"/>
          <w:szCs w:val="24"/>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Civeo Corporation</w:t>
      </w:r>
    </w:p>
    <w:p>
      <w:pPr>
        <w:spacing w:after="0" w:line="2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Form 10-K for the Year Ended December 31, 2016</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Filed February 23, 2017</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File No. 001-36246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This letter sets forth the responses of Civeo Corporation (the “Company,” “we,” and “our”) to the comment provided by the staff (the “Staff”) of the Division of Corporation Finance of the Securities and Exchange Commission received by letter dated October 31, 2017. We have repeated below the Staff’s comment and followed the comment with the Company’s response.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2016</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8. Financial Statements and Supplementary Data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3. Impairment Charges, page 104</w:t>
      </w:r>
    </w:p>
    <w:p>
      <w:pPr>
        <w:spacing w:after="0" w:line="225" w:lineRule="exact"/>
        <w:rPr>
          <w:sz w:val="24"/>
          <w:szCs w:val="24"/>
          <w:color w:val="auto"/>
        </w:rPr>
      </w:pPr>
    </w:p>
    <w:p>
      <w:pPr>
        <w:ind w:left="980" w:right="180" w:hanging="324"/>
        <w:spacing w:after="0" w:line="314" w:lineRule="auto"/>
        <w:tabs>
          <w:tab w:leader="none" w:pos="9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our prior comment 1. In future filings, please include disclosure similar to the first part of your response discussing asset groups and which properties are included in each. Also, consider revising your disclosure on pages 11 – 16 to indicate the level of impairment, if any, related to each of the closed properties or asset group including such properties.</w:t>
      </w:r>
    </w:p>
    <w:p>
      <w:pPr>
        <w:spacing w:after="0" w:line="142" w:lineRule="exact"/>
        <w:rPr>
          <w:sz w:val="24"/>
          <w:szCs w:val="24"/>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Response</w:t>
      </w:r>
      <w:r>
        <w:rPr>
          <w:rFonts w:ascii="Arial" w:cs="Arial" w:eastAsia="Arial" w:hAnsi="Arial"/>
          <w:sz w:val="18"/>
          <w:szCs w:val="18"/>
          <w:color w:val="auto"/>
        </w:rPr>
        <w:t>:</w:t>
      </w:r>
    </w:p>
    <w:p>
      <w:pPr>
        <w:spacing w:after="0" w:line="229" w:lineRule="exact"/>
        <w:rPr>
          <w:sz w:val="24"/>
          <w:szCs w:val="24"/>
          <w:color w:val="auto"/>
        </w:rPr>
      </w:pPr>
    </w:p>
    <w:p>
      <w:pPr>
        <w:ind w:left="660"/>
        <w:spacing w:after="0" w:line="264" w:lineRule="auto"/>
        <w:rPr>
          <w:sz w:val="20"/>
          <w:szCs w:val="20"/>
          <w:color w:val="auto"/>
        </w:rPr>
      </w:pPr>
      <w:r>
        <w:rPr>
          <w:rFonts w:ascii="Arial" w:cs="Arial" w:eastAsia="Arial" w:hAnsi="Arial"/>
          <w:sz w:val="18"/>
          <w:szCs w:val="18"/>
          <w:color w:val="auto"/>
        </w:rPr>
        <w:t>We acknowledge the Staff’s comment and will include in future filings the requested disclosure discussing our asset groups and which properties are included in each. We also will consider disclosing in future filings the level of impairment related to each of the closed properties or asset group including such properties.</w:t>
      </w:r>
    </w:p>
    <w:p>
      <w:pPr>
        <w:spacing w:after="0" w:line="181"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Should any member of the Staff have a question regarding our response to the comment set forth above, or need additional information, please do not hesitate to call Carolyn Stone, our Vice President, Controller and Corporate Secretary, at (713) 510-2414, or me at (713) 510-2410.</w:t>
      </w:r>
    </w:p>
    <w:p>
      <w:pPr>
        <w:spacing w:after="0" w:line="147" w:lineRule="exact"/>
        <w:rPr>
          <w:sz w:val="24"/>
          <w:szCs w:val="24"/>
          <w:color w:val="auto"/>
        </w:rPr>
      </w:pPr>
    </w:p>
    <w:p>
      <w:pPr>
        <w:ind w:left="6140"/>
        <w:spacing w:after="0"/>
        <w:rPr>
          <w:sz w:val="20"/>
          <w:szCs w:val="20"/>
          <w:color w:val="auto"/>
        </w:rPr>
      </w:pPr>
      <w:r>
        <w:rPr>
          <w:rFonts w:ascii="Arial" w:cs="Arial" w:eastAsia="Arial" w:hAnsi="Arial"/>
          <w:sz w:val="18"/>
          <w:szCs w:val="18"/>
          <w:color w:val="auto"/>
        </w:rPr>
        <w:t>Very truly yours,</w:t>
      </w:r>
    </w:p>
    <w:p>
      <w:pPr>
        <w:spacing w:after="0" w:line="200" w:lineRule="exact"/>
        <w:rPr>
          <w:sz w:val="24"/>
          <w:szCs w:val="24"/>
          <w:color w:val="auto"/>
        </w:rPr>
      </w:pPr>
    </w:p>
    <w:p>
      <w:pPr>
        <w:spacing w:after="0" w:line="241" w:lineRule="exact"/>
        <w:rPr>
          <w:sz w:val="24"/>
          <w:szCs w:val="24"/>
          <w:color w:val="auto"/>
        </w:rPr>
      </w:pPr>
    </w:p>
    <w:p>
      <w:pPr>
        <w:ind w:left="6140"/>
        <w:spacing w:after="0"/>
        <w:rPr>
          <w:sz w:val="20"/>
          <w:szCs w:val="20"/>
          <w:color w:val="auto"/>
        </w:rPr>
      </w:pPr>
      <w:r>
        <w:rPr>
          <w:rFonts w:ascii="Arial" w:cs="Arial" w:eastAsia="Arial" w:hAnsi="Arial"/>
          <w:sz w:val="18"/>
          <w:szCs w:val="18"/>
          <w:color w:val="auto"/>
        </w:rPr>
        <w:t>/s/ Frank. C. Steininger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3903980</wp:posOffset>
            </wp:positionH>
            <wp:positionV relativeFrom="paragraph">
              <wp:posOffset>-10160</wp:posOffset>
            </wp:positionV>
            <wp:extent cx="2063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63750" cy="8890"/>
                    </a:xfrm>
                    <a:prstGeom prst="rect">
                      <a:avLst/>
                    </a:prstGeom>
                    <a:noFill/>
                  </pic:spPr>
                </pic:pic>
              </a:graphicData>
            </a:graphic>
          </wp:anchor>
        </w:drawing>
      </w:r>
    </w:p>
    <w:p>
      <w:pPr>
        <w:spacing w:after="0" w:line="3" w:lineRule="exact"/>
        <w:rPr>
          <w:sz w:val="24"/>
          <w:szCs w:val="24"/>
          <w:color w:val="auto"/>
        </w:rPr>
      </w:pPr>
    </w:p>
    <w:p>
      <w:pPr>
        <w:ind w:left="6140"/>
        <w:spacing w:after="0"/>
        <w:rPr>
          <w:sz w:val="20"/>
          <w:szCs w:val="20"/>
          <w:color w:val="auto"/>
        </w:rPr>
      </w:pPr>
      <w:r>
        <w:rPr>
          <w:rFonts w:ascii="Arial" w:cs="Arial" w:eastAsia="Arial" w:hAnsi="Arial"/>
          <w:sz w:val="18"/>
          <w:szCs w:val="18"/>
          <w:color w:val="auto"/>
        </w:rPr>
        <w:t>Frank C. Steininger</w:t>
      </w:r>
    </w:p>
    <w:p>
      <w:pPr>
        <w:spacing w:after="0" w:line="9" w:lineRule="exact"/>
        <w:rPr>
          <w:sz w:val="24"/>
          <w:szCs w:val="24"/>
          <w:color w:val="auto"/>
        </w:rPr>
      </w:pPr>
    </w:p>
    <w:p>
      <w:pPr>
        <w:ind w:left="6140"/>
        <w:spacing w:after="0"/>
        <w:rPr>
          <w:sz w:val="20"/>
          <w:szCs w:val="20"/>
          <w:color w:val="auto"/>
        </w:rPr>
      </w:pPr>
      <w:r>
        <w:rPr>
          <w:rFonts w:ascii="Arial" w:cs="Arial" w:eastAsia="Arial" w:hAnsi="Arial"/>
          <w:sz w:val="18"/>
          <w:szCs w:val="18"/>
          <w:color w:val="auto"/>
        </w:rPr>
        <w:t>Senior Vice President, Chief Financial Officer and Treasurer</w:t>
      </w:r>
    </w:p>
    <w:p>
      <w:pPr>
        <w:spacing w:after="0" w:line="211" w:lineRule="exact"/>
        <w:rPr>
          <w:sz w:val="24"/>
          <w:szCs w:val="24"/>
          <w:color w:val="auto"/>
        </w:rPr>
      </w:pPr>
    </w:p>
    <w:p>
      <w:pPr>
        <w:spacing w:after="0"/>
        <w:tabs>
          <w:tab w:leader="none" w:pos="500" w:val="left"/>
        </w:tabs>
        <w:rPr>
          <w:sz w:val="20"/>
          <w:szCs w:val="20"/>
          <w:color w:val="auto"/>
        </w:rPr>
      </w:pPr>
      <w:r>
        <w:rPr>
          <w:rFonts w:ascii="Arial" w:cs="Arial" w:eastAsia="Arial" w:hAnsi="Arial"/>
          <w:sz w:val="18"/>
          <w:szCs w:val="18"/>
          <w:color w:val="auto"/>
        </w:rPr>
        <w:t>Cc:</w:t>
        <w:tab/>
        <w:t>Carolyn Stone, Civeo Corporation</w:t>
      </w:r>
    </w:p>
    <w:p>
      <w:pPr>
        <w:spacing w:after="0" w:line="23" w:lineRule="exact"/>
        <w:rPr>
          <w:sz w:val="24"/>
          <w:szCs w:val="24"/>
          <w:color w:val="auto"/>
        </w:rPr>
      </w:pPr>
    </w:p>
    <w:p>
      <w:pPr>
        <w:ind w:left="500"/>
        <w:spacing w:after="0"/>
        <w:rPr>
          <w:sz w:val="20"/>
          <w:szCs w:val="20"/>
          <w:color w:val="auto"/>
        </w:rPr>
      </w:pPr>
      <w:r>
        <w:rPr>
          <w:rFonts w:ascii="Arial" w:cs="Arial" w:eastAsia="Arial" w:hAnsi="Arial"/>
          <w:sz w:val="18"/>
          <w:szCs w:val="18"/>
          <w:color w:val="auto"/>
        </w:rPr>
        <w:t>Barclay Brewer, Civeo Corporation</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John Williamson, Ernst &amp; Young LLP</w:t>
      </w:r>
    </w:p>
    <w:p>
      <w:pPr>
        <w:spacing w:after="0" w:line="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Tull R. Florey, Gibson, Dunn &amp; Crutcher LLP</w:t>
      </w:r>
    </w:p>
    <w:sectPr>
      <w:pgSz w:w="11900" w:h="16838" w:orient="portrait"/>
      <w:cols w:equalWidth="0" w:num="1">
        <w:col w:w="11360"/>
      </w:cols>
      <w:pgMar w:left="240" w:top="2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2019-12-07T21:30:07Z</dcterms:created>
  <dcterms:modified xsi:type="dcterms:W3CDTF">2019-12-07T21:30:07Z</dcterms:modified>
</cp:coreProperties>
</file>