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02/27/2020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SVP, Australia</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24,605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1.27</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441,361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29,353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1.14</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412,008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27, 2020, pursuant to a plan of disposition adopted in accordance with Rule 10b5-1 of the Securities Exchange Act of 1934 (the "10b5-1 Plan"), Mr. McCann sold 24,605 shares in multiple trades at prices ranging from $1.20 to $1.32.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pacing w:after="0" w:line="2" w:lineRule="exact"/>
        <w:rPr>
          <w:rFonts w:ascii="Arial" w:cs="Arial" w:eastAsia="Arial" w:hAnsi="Arial"/>
          <w:sz w:val="12"/>
          <w:szCs w:val="12"/>
          <w:color w:val="008000"/>
        </w:rPr>
      </w:pPr>
    </w:p>
    <w:p>
      <w:pPr>
        <w:ind w:left="40" w:right="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28, 2020, pursuant to a plan of disposition adopted in accordance with Rule 10b5-1 of the Securities Exchange Act of 1934 (the "10b5-1 Plan"), Mr. McCann sold 29,353 shares in multiple trades at prices ranging from $1.11 to $1.17.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Peter McCann, by Bradley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03/02/2020</w:t>
            </w:r>
          </w:p>
        </w:tc>
        <w:tc>
          <w:tcPr>
            <w:tcW w:w="0" w:type="dxa"/>
            <w:vAlign w:val="bottom"/>
          </w:tcPr>
          <w:p>
            <w:pPr>
              <w:spacing w:after="0"/>
              <w:rPr>
                <w:sz w:val="1"/>
                <w:szCs w:val="1"/>
                <w:color w:val="auto"/>
              </w:rPr>
            </w:pPr>
          </w:p>
        </w:tc>
      </w:tr>
      <w:tr>
        <w:trPr>
          <w:trHeight w:val="88"/>
        </w:trPr>
        <w:tc>
          <w:tcPr>
            <w:tcW w:w="19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J. Dodson, Attorney-in-Fact</w:t>
            </w:r>
          </w:p>
        </w:tc>
        <w:tc>
          <w:tcPr>
            <w:tcW w:w="2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2020-03-02T14:04:03Z</dcterms:created>
  <dcterms:modified xsi:type="dcterms:W3CDTF">2020-03-02T14:04:03Z</dcterms:modified>
</cp:coreProperties>
</file>