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60" w:right="1780" w:hanging="560"/>
        <w:spacing w:after="0" w:line="26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2016</w:t>
      </w:r>
    </w:p>
    <w:p>
      <w:pPr>
        <w:spacing w:after="0" w:line="184"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400"/>
        <w:spacing w:after="0"/>
        <w:tabs>
          <w:tab w:leader="none" w:pos="9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21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For the transition period from _______________________________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3927475</wp:posOffset>
            </wp:positionH>
            <wp:positionV relativeFrom="paragraph">
              <wp:posOffset>-10160</wp:posOffset>
            </wp:positionV>
            <wp:extent cx="2771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177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8" w:lineRule="exact"/>
        <w:rPr>
          <w:sz w:val="24"/>
          <w:szCs w:val="24"/>
          <w:color w:val="auto"/>
        </w:rPr>
      </w:pPr>
    </w:p>
    <w:tbl>
      <w:tblPr>
        <w:tblLayout w:type="fixed"/>
        <w:tblInd w:w="230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320" w:type="dxa"/>
            <w:vAlign w:val="bottom"/>
            <w:gridSpan w:val="4"/>
          </w:tcPr>
          <w:p>
            <w:pPr>
              <w:jc w:val="center"/>
              <w:ind w:right="1460"/>
              <w:spacing w:after="0"/>
              <w:rPr>
                <w:sz w:val="20"/>
                <w:szCs w:val="20"/>
                <w:color w:val="auto"/>
              </w:rPr>
            </w:pPr>
            <w:r>
              <w:rPr>
                <w:rFonts w:ascii="Arial" w:cs="Arial" w:eastAsia="Arial" w:hAnsi="Arial"/>
                <w:sz w:val="18"/>
                <w:szCs w:val="18"/>
                <w:color w:val="auto"/>
                <w:w w:val="91"/>
              </w:rPr>
              <w:t>British Columbia, Canada</w:t>
            </w:r>
          </w:p>
        </w:tc>
        <w:tc>
          <w:tcPr>
            <w:tcW w:w="1980" w:type="dxa"/>
            <w:vAlign w:val="bottom"/>
            <w:gridSpan w:val="5"/>
          </w:tcPr>
          <w:p>
            <w:pPr>
              <w:jc w:val="right"/>
              <w:ind w:right="240"/>
              <w:spacing w:after="0"/>
              <w:rPr>
                <w:sz w:val="20"/>
                <w:szCs w:val="20"/>
                <w:color w:val="auto"/>
              </w:rPr>
            </w:pPr>
            <w:r>
              <w:rPr>
                <w:rFonts w:ascii="Arial" w:cs="Arial" w:eastAsia="Arial" w:hAnsi="Arial"/>
                <w:sz w:val="18"/>
                <w:szCs w:val="18"/>
                <w:color w:val="auto"/>
              </w:rPr>
              <w:t>98-1253716</w:t>
            </w: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140" w:type="dxa"/>
            <w:vAlign w:val="bottom"/>
            <w:gridSpan w:val="5"/>
          </w:tcPr>
          <w:p>
            <w:pPr>
              <w:jc w:val="center"/>
              <w:ind w:right="640"/>
              <w:spacing w:after="0"/>
              <w:rPr>
                <w:sz w:val="20"/>
                <w:szCs w:val="20"/>
                <w:color w:val="auto"/>
              </w:rPr>
            </w:pPr>
            <w:r>
              <w:rPr>
                <w:rFonts w:ascii="Arial" w:cs="Arial" w:eastAsia="Arial" w:hAnsi="Arial"/>
                <w:sz w:val="18"/>
                <w:szCs w:val="18"/>
                <w:color w:val="auto"/>
                <w:w w:val="93"/>
              </w:rPr>
              <w:t>(State or other jurisdiction of</w:t>
            </w:r>
          </w:p>
        </w:tc>
        <w:tc>
          <w:tcPr>
            <w:tcW w:w="1980" w:type="dxa"/>
            <w:vAlign w:val="bottom"/>
            <w:gridSpan w:val="5"/>
          </w:tcPr>
          <w:p>
            <w:pPr>
              <w:jc w:val="center"/>
              <w:ind w:left="550"/>
              <w:spacing w:after="0"/>
              <w:rPr>
                <w:sz w:val="20"/>
                <w:szCs w:val="20"/>
                <w:color w:val="auto"/>
              </w:rPr>
            </w:pPr>
            <w:r>
              <w:rPr>
                <w:rFonts w:ascii="Arial" w:cs="Arial" w:eastAsia="Arial" w:hAnsi="Arial"/>
                <w:sz w:val="18"/>
                <w:szCs w:val="18"/>
                <w:color w:val="auto"/>
                <w:w w:val="92"/>
              </w:rPr>
              <w:t>(I.R.S. Employer</w:t>
            </w:r>
          </w:p>
        </w:tc>
      </w:tr>
      <w:tr>
        <w:trPr>
          <w:trHeight w:val="230"/>
        </w:trPr>
        <w:tc>
          <w:tcPr>
            <w:tcW w:w="4140" w:type="dxa"/>
            <w:vAlign w:val="bottom"/>
            <w:gridSpan w:val="5"/>
          </w:tcPr>
          <w:p>
            <w:pPr>
              <w:jc w:val="center"/>
              <w:ind w:right="640"/>
              <w:spacing w:after="0"/>
              <w:rPr>
                <w:sz w:val="20"/>
                <w:szCs w:val="20"/>
                <w:color w:val="auto"/>
              </w:rPr>
            </w:pPr>
            <w:r>
              <w:rPr>
                <w:rFonts w:ascii="Arial" w:cs="Arial" w:eastAsia="Arial" w:hAnsi="Arial"/>
                <w:sz w:val="18"/>
                <w:szCs w:val="18"/>
                <w:color w:val="auto"/>
                <w:w w:val="93"/>
              </w:rPr>
              <w:t>incorporation or organization)</w:t>
            </w:r>
          </w:p>
        </w:tc>
        <w:tc>
          <w:tcPr>
            <w:tcW w:w="1980" w:type="dxa"/>
            <w:vAlign w:val="bottom"/>
            <w:gridSpan w:val="5"/>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414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Allen Center, 333 Clay Street, Suite 4980,</w:t>
            </w:r>
          </w:p>
        </w:tc>
        <w:tc>
          <w:tcPr>
            <w:tcW w:w="10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320" w:type="dxa"/>
            <w:vAlign w:val="bottom"/>
            <w:gridSpan w:val="4"/>
          </w:tcPr>
          <w:p>
            <w:pPr>
              <w:jc w:val="center"/>
              <w:ind w:right="1460"/>
              <w:spacing w:after="0" w:line="196" w:lineRule="exact"/>
              <w:rPr>
                <w:sz w:val="20"/>
                <w:szCs w:val="20"/>
                <w:color w:val="auto"/>
              </w:rPr>
            </w:pPr>
            <w:r>
              <w:rPr>
                <w:rFonts w:ascii="Arial" w:cs="Arial" w:eastAsia="Arial" w:hAnsi="Arial"/>
                <w:sz w:val="18"/>
                <w:szCs w:val="18"/>
                <w:color w:val="auto"/>
                <w:w w:val="87"/>
              </w:rPr>
              <w:t>Houston, Texas</w:t>
            </w:r>
          </w:p>
        </w:tc>
        <w:tc>
          <w:tcPr>
            <w:tcW w:w="880" w:type="dxa"/>
            <w:vAlign w:val="bottom"/>
          </w:tcPr>
          <w:p>
            <w:pPr>
              <w:spacing w:after="0"/>
              <w:rPr>
                <w:sz w:val="17"/>
                <w:szCs w:val="17"/>
                <w:color w:val="auto"/>
              </w:rPr>
            </w:pPr>
          </w:p>
        </w:tc>
        <w:tc>
          <w:tcPr>
            <w:tcW w:w="1100" w:type="dxa"/>
            <w:vAlign w:val="bottom"/>
            <w:gridSpan w:val="4"/>
          </w:tcPr>
          <w:p>
            <w:pPr>
              <w:jc w:val="center"/>
              <w:ind w:right="240"/>
              <w:spacing w:after="0" w:line="196" w:lineRule="exact"/>
              <w:rPr>
                <w:sz w:val="20"/>
                <w:szCs w:val="20"/>
                <w:color w:val="auto"/>
              </w:rPr>
            </w:pPr>
            <w:r>
              <w:rPr>
                <w:rFonts w:ascii="Arial" w:cs="Arial" w:eastAsia="Arial" w:hAnsi="Arial"/>
                <w:sz w:val="18"/>
                <w:szCs w:val="18"/>
                <w:color w:val="auto"/>
                <w:w w:val="91"/>
              </w:rPr>
              <w:t>(Zip Code)</w:t>
            </w:r>
          </w:p>
        </w:tc>
      </w:tr>
      <w:tr>
        <w:trPr>
          <w:trHeight w:val="20"/>
        </w:trPr>
        <w:tc>
          <w:tcPr>
            <w:tcW w:w="120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4140" w:type="dxa"/>
            <w:vAlign w:val="bottom"/>
            <w:gridSpan w:val="5"/>
          </w:tcPr>
          <w:p>
            <w:pPr>
              <w:jc w:val="center"/>
              <w:ind w:right="640"/>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(713) 510-2400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800"/>
        <w:spacing w:after="0"/>
        <w:tabs>
          <w:tab w:leader="none" w:pos="6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800"/>
        <w:spacing w:after="0"/>
        <w:tabs>
          <w:tab w:leader="none" w:pos="6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jc w:val="center"/>
        <w:ind w:right="-19"/>
        <w:spacing w:after="0"/>
        <w:rPr>
          <w:sz w:val="20"/>
          <w:szCs w:val="20"/>
          <w:color w:val="auto"/>
        </w:rPr>
      </w:pPr>
      <w:r>
        <w:rPr>
          <w:rFonts w:ascii="Arial" w:cs="Arial" w:eastAsia="Arial" w:hAnsi="Arial"/>
          <w:sz w:val="18"/>
          <w:szCs w:val="18"/>
          <w:color w:val="auto"/>
        </w:rPr>
        <w:t>(Check one):</w:t>
      </w:r>
    </w:p>
    <w:p>
      <w:pPr>
        <w:sectPr>
          <w:pgSz w:w="11900" w:h="16838" w:orient="portrait"/>
          <w:cols w:equalWidth="0" w:num="1">
            <w:col w:w="11420"/>
          </w:cols>
          <w:pgMar w:left="240" w:top="409" w:right="239" w:bottom="1440" w:gutter="0" w:footer="0" w:header="0"/>
        </w:sectPr>
      </w:pPr>
    </w:p>
    <w:p>
      <w:pPr>
        <w:spacing w:after="0" w:line="265"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2">
            <w:col w:w="6060" w:space="720"/>
            <w:col w:w="4640"/>
          </w:cols>
          <w:pgMar w:left="240" w:top="40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4"/>
          <w:szCs w:val="24"/>
          <w:color w:val="auto"/>
        </w:rPr>
      </w:pPr>
    </w:p>
    <w:p>
      <w:pPr>
        <w:sectPr>
          <w:pgSz w:w="11900" w:h="16838" w:orient="portrait"/>
          <w:cols w:equalWidth="0" w:num="2">
            <w:col w:w="6060" w:space="720"/>
            <w:col w:w="4640"/>
          </w:cols>
          <w:pgMar w:left="240" w:top="40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800"/>
        <w:spacing w:after="0"/>
        <w:tabs>
          <w:tab w:leader="none" w:pos="628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7"/>
          <w:szCs w:val="17"/>
          <w:color w:val="auto"/>
        </w:rPr>
        <w:t>NO [X]</w:t>
      </w:r>
    </w:p>
    <w:p>
      <w:pPr>
        <w:sectPr>
          <w:pgSz w:w="11900" w:h="16838" w:orient="portrait"/>
          <w:cols w:equalWidth="0" w:num="1">
            <w:col w:w="11420"/>
          </w:cols>
          <w:pgMar w:left="240" w:top="409" w:right="239" w:bottom="1440" w:gutter="0" w:footer="0" w:header="0"/>
          <w:type w:val="continuous"/>
        </w:sect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 Registrant had 108,098,786 common shares outstanding as of October 24, 2016.</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jc w:val="center"/>
              <w:ind w:left="250"/>
              <w:spacing w:after="0"/>
              <w:rPr>
                <w:sz w:val="20"/>
                <w:szCs w:val="20"/>
                <w:color w:val="auto"/>
              </w:rPr>
            </w:pPr>
            <w:r>
              <w:rPr>
                <w:rFonts w:ascii="Arial" w:cs="Arial" w:eastAsia="Arial" w:hAnsi="Arial"/>
                <w:sz w:val="18"/>
                <w:szCs w:val="18"/>
                <w:color w:val="auto"/>
                <w:w w:val="95"/>
              </w:rPr>
              <w:t>CIVEO CORPORATION</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60" w:type="dxa"/>
            <w:vAlign w:val="bottom"/>
          </w:tcPr>
          <w:p>
            <w:pPr>
              <w:jc w:val="center"/>
              <w:ind w:left="270"/>
              <w:spacing w:after="0"/>
              <w:rPr>
                <w:sz w:val="20"/>
                <w:szCs w:val="20"/>
                <w:color w:val="auto"/>
              </w:rPr>
            </w:pPr>
            <w:r>
              <w:rPr>
                <w:rFonts w:ascii="Arial" w:cs="Arial" w:eastAsia="Arial" w:hAnsi="Arial"/>
                <w:sz w:val="18"/>
                <w:szCs w:val="18"/>
                <w:color w:val="auto"/>
              </w:rPr>
              <w:t>INDEX</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Part I -- FINANCIAL INFORMATION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Item 1.</w:t>
            </w:r>
          </w:p>
        </w:tc>
        <w:tc>
          <w:tcPr>
            <w:tcW w:w="9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Financial Statements: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Financial Statements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w w:val="95"/>
              </w:rPr>
              <w:t>Unaudited Consolidated Statements of Operations for the Three and Nine Month Periods Ended September 30, 2016 and 2015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9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Unaudited Consolidated Statements of Comprehensive Income (Loss) for the Three and Nine Month Periods Ended September 30,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2016 and 2015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rPr>
              <w:t>Consolidated Balance Sheets – September 30, 2016 (unaudited) and December 31, 2015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9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Unaudited Consolidated Statements of Changes in Shareholders’ Equity for the Nine Months Ended September 30, 2016 and 2015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rPr>
              <w:t>Unaudited Consolidated Statements of Cash Flows for the Nine Months Ended September 30, 2016 and 2015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Unaudited Consolidated Financial Statements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Item 2.</w:t>
            </w:r>
          </w:p>
        </w:tc>
        <w:tc>
          <w:tcPr>
            <w:tcW w:w="9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Item 3.</w:t>
            </w:r>
          </w:p>
        </w:tc>
        <w:tc>
          <w:tcPr>
            <w:tcW w:w="9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Item 4.</w:t>
            </w:r>
          </w:p>
        </w:tc>
        <w:tc>
          <w:tcPr>
            <w:tcW w:w="9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Controls and Procedures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480"/>
              <w:spacing w:after="0"/>
              <w:rPr>
                <w:sz w:val="20"/>
                <w:szCs w:val="20"/>
                <w:color w:val="auto"/>
              </w:rPr>
            </w:pPr>
            <w:r>
              <w:rPr>
                <w:rFonts w:ascii="Arial" w:cs="Arial" w:eastAsia="Arial" w:hAnsi="Arial"/>
                <w:sz w:val="18"/>
                <w:szCs w:val="18"/>
                <w:color w:val="auto"/>
              </w:rPr>
              <w:t>Part II -- OTHER INFORMATION</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9960" w:type="dxa"/>
            <w:vAlign w:val="bottom"/>
          </w:tcPr>
          <w:p>
            <w:pPr>
              <w:ind w:left="60"/>
              <w:spacing w:after="0"/>
              <w:rPr>
                <w:sz w:val="20"/>
                <w:szCs w:val="20"/>
                <w:color w:val="auto"/>
              </w:rPr>
            </w:pPr>
            <w:r>
              <w:rPr>
                <w:rFonts w:ascii="Arial" w:cs="Arial" w:eastAsia="Arial" w:hAnsi="Arial"/>
                <w:sz w:val="18"/>
                <w:szCs w:val="18"/>
                <w:color w:val="auto"/>
              </w:rPr>
              <w:t>Legal Proceedings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0" w:type="dxa"/>
            <w:vAlign w:val="bottom"/>
          </w:tcPr>
          <w:p>
            <w:pPr>
              <w:spacing w:after="0" w:line="201" w:lineRule="exact"/>
              <w:rPr>
                <w:sz w:val="20"/>
                <w:szCs w:val="20"/>
                <w:color w:val="auto"/>
              </w:rPr>
            </w:pPr>
            <w:r>
              <w:rPr>
                <w:rFonts w:ascii="Arial" w:cs="Arial" w:eastAsia="Arial" w:hAnsi="Arial"/>
                <w:sz w:val="18"/>
                <w:szCs w:val="18"/>
                <w:color w:val="auto"/>
              </w:rPr>
              <w:t>Item</w:t>
            </w:r>
          </w:p>
        </w:tc>
        <w:tc>
          <w:tcPr>
            <w:tcW w:w="9960" w:type="dxa"/>
            <w:vAlign w:val="bottom"/>
            <w:vMerge w:val="restart"/>
          </w:tcPr>
          <w:p>
            <w:pPr>
              <w:ind w:left="60"/>
              <w:spacing w:after="0"/>
              <w:rPr>
                <w:sz w:val="20"/>
                <w:szCs w:val="20"/>
                <w:color w:val="auto"/>
              </w:rPr>
            </w:pPr>
            <w:r>
              <w:rPr>
                <w:rFonts w:ascii="Arial" w:cs="Arial" w:eastAsia="Arial" w:hAnsi="Arial"/>
                <w:sz w:val="18"/>
                <w:szCs w:val="18"/>
                <w:color w:val="auto"/>
              </w:rPr>
              <w:t>Risk Factors</w:t>
            </w: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22"/>
        </w:trPr>
        <w:tc>
          <w:tcPr>
            <w:tcW w:w="560" w:type="dxa"/>
            <w:vAlign w:val="bottom"/>
            <w:gridSpan w:val="2"/>
            <w:vMerge w:val="restart"/>
          </w:tcPr>
          <w:p>
            <w:pPr>
              <w:spacing w:after="0"/>
              <w:rPr>
                <w:sz w:val="20"/>
                <w:szCs w:val="20"/>
                <w:color w:val="auto"/>
              </w:rPr>
            </w:pPr>
            <w:r>
              <w:rPr>
                <w:rFonts w:ascii="Arial" w:cs="Arial" w:eastAsia="Arial" w:hAnsi="Arial"/>
                <w:sz w:val="18"/>
                <w:szCs w:val="18"/>
                <w:color w:val="auto"/>
              </w:rPr>
              <w:t>1A.</w:t>
            </w:r>
          </w:p>
        </w:tc>
        <w:tc>
          <w:tcPr>
            <w:tcW w:w="9960" w:type="dxa"/>
            <w:vAlign w:val="bottom"/>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 w:type="dxa"/>
            <w:vAlign w:val="bottom"/>
            <w:gridSpan w:val="2"/>
            <w:vMerge w:val="continue"/>
          </w:tcPr>
          <w:p>
            <w:pPr>
              <w:spacing w:after="0"/>
              <w:rPr>
                <w:sz w:val="9"/>
                <w:szCs w:val="9"/>
                <w:color w:val="auto"/>
              </w:rPr>
            </w:pPr>
          </w:p>
        </w:tc>
        <w:tc>
          <w:tcPr>
            <w:tcW w:w="9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4"/>
              </w:rPr>
              <w:t>Item 6.</w:t>
            </w:r>
          </w:p>
        </w:tc>
        <w:tc>
          <w:tcPr>
            <w:tcW w:w="9960" w:type="dxa"/>
            <w:vAlign w:val="bottom"/>
          </w:tcPr>
          <w:p>
            <w:pPr>
              <w:ind w:left="60"/>
              <w:spacing w:after="0"/>
              <w:rPr>
                <w:sz w:val="20"/>
                <w:szCs w:val="20"/>
                <w:color w:val="auto"/>
              </w:rPr>
            </w:pPr>
            <w:r>
              <w:rPr>
                <w:rFonts w:ascii="Arial" w:cs="Arial" w:eastAsia="Arial" w:hAnsi="Arial"/>
                <w:sz w:val="18"/>
                <w:szCs w:val="18"/>
                <w:color w:val="auto"/>
              </w:rPr>
              <w:t>Exhibits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 Index of Exhibits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Signature Page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60" w:type="dxa"/>
            <w:vAlign w:val="bottom"/>
          </w:tcPr>
          <w:p>
            <w:pPr>
              <w:jc w:val="center"/>
              <w:ind w:left="25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9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Service and other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97,792</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101,258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290,307</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104,238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106,544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306,309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420,678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Service and other costs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61,534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63,732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181,510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costs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13,644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16,691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42,056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36,172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Impairment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37,729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110,715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operating expense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229,384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387,478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552,779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(122,840)</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(1,474)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(129,915)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22,745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17,217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(107,170)</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Less: Net income attributable to noncontrolling interest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 Corporation.</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(80,439)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Per Share Data (see Note 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1"/>
              </w:rPr>
              <w:t>Basic net loss per share attributable to Civeo Corporation common shareholders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loss per share attributable to Civeo Corporation common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106,661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106,989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106,661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(41,969)</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(79,997)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320"/>
              <w:spacing w:after="0" w:line="201" w:lineRule="exact"/>
              <w:rPr>
                <w:sz w:val="20"/>
                <w:szCs w:val="20"/>
                <w:color w:val="auto"/>
              </w:rPr>
            </w:pPr>
            <w:r>
              <w:rPr>
                <w:rFonts w:ascii="Arial" w:cs="Arial" w:eastAsia="Arial" w:hAnsi="Arial"/>
                <w:sz w:val="18"/>
                <w:szCs w:val="18"/>
                <w:color w:val="auto"/>
                <w:w w:val="92"/>
              </w:rPr>
              <w:t>Foreign currency translation adjustment, net of taxes of zero, zero, zero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9,599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(79,262)</w:t>
            </w:r>
          </w:p>
        </w:tc>
        <w:tc>
          <w:tcPr>
            <w:tcW w:w="18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26,511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(171,985)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$1.9 million, respectively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(32,370)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(186,432)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Comprehensive income attributable to noncontrolling interest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Civeo Corporation.</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(32,493)</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(186,549)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2,530</w:t>
            </w:r>
          </w:p>
        </w:tc>
        <w:tc>
          <w:tcPr>
            <w:tcW w:w="140" w:type="dxa"/>
            <w:vAlign w:val="bottom"/>
          </w:tcPr>
          <w:p>
            <w:pPr>
              <w:spacing w:after="0"/>
              <w:rPr>
                <w:sz w:val="18"/>
                <w:szCs w:val="18"/>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31,503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978,051</w:t>
            </w:r>
          </w:p>
        </w:tc>
        <w:tc>
          <w:tcPr>
            <w:tcW w:w="140" w:type="dxa"/>
            <w:vAlign w:val="bottom"/>
          </w:tcPr>
          <w:p>
            <w:pPr>
              <w:spacing w:after="0"/>
              <w:rPr>
                <w:sz w:val="18"/>
                <w:szCs w:val="18"/>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1,066,529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14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27,755</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16,161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15,819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463,297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502,759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shares (no par value; 550,000,000 shares authorized, 108,167,067 shares and 107,470,861 shares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issued, respectively, and 108,098,786 shares and 107,470,861 shares outstanding, respectively)</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1,310,465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1,305,930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(456,815)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Common shares held in treasury at cost, 68,281 and zero shares, respectively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(339,799)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Civeo Corporation shareholders’ equity</w:t>
            </w: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513,786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563,245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514,754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563,770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978,051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Attributable to Civeo</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5"/>
              </w:rPr>
              <w:t>Common 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Paid-in</w:t>
            </w: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Treasury</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Comprehensive</w:t>
            </w: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Noncontrolling</w:t>
            </w:r>
          </w:p>
        </w:tc>
        <w:tc>
          <w:tcPr>
            <w:tcW w:w="8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Par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Shares</w:t>
            </w:r>
          </w:p>
        </w:tc>
        <w:tc>
          <w:tcPr>
            <w:tcW w:w="22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1,300,042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(244,617)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(198,491)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860,109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(121,162)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(120,209)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(171,461)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Redomicile Transaction</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1,304,928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(365,779</w:t>
            </w:r>
          </w:p>
        </w:tc>
        <w:tc>
          <w:tcPr>
            <w:tcW w:w="20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(369,952)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569,601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Balance, December 31, 2015</w:t>
            </w: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2"/>
              </w:rPr>
              <w:t>1,305,930</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(376,376)</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(366,309)</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525</w:t>
            </w:r>
          </w:p>
        </w:tc>
        <w:tc>
          <w:tcPr>
            <w:tcW w:w="260" w:type="dxa"/>
            <w:vAlign w:val="bottom"/>
            <w:gridSpan w:val="2"/>
          </w:tcPr>
          <w:p>
            <w:pPr>
              <w:jc w:val="right"/>
              <w:ind w:right="1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563,770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(80,439)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26,510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Balance, September 30, 2016</w:t>
            </w: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2"/>
              </w:rPr>
              <w:t>1,310,465</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(456,815)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(339,799)</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968</w:t>
            </w:r>
          </w:p>
        </w:tc>
        <w:tc>
          <w:tcPr>
            <w:tcW w:w="260" w:type="dxa"/>
            <w:vAlign w:val="bottom"/>
            <w:gridSpan w:val="2"/>
          </w:tcPr>
          <w:p>
            <w:pPr>
              <w:jc w:val="right"/>
              <w:ind w:right="1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514,754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9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(79,997)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100,444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Inventory write-down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Deferred income tax benefit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(25,239)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 charge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(Gain) loss on disposal of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(benefit) for loss on receivables, net of recoveries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(2,920)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(7,062)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(15,246)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issuance of common shares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borrowings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Term loan repayments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(37,107)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credit borrowings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Revolving credit repayments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(236,939)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Net cash flows used in financing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(45,760)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(347,347)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(36,819)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8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On May 30, 2014, Oil States International, Inc. (Oil States) spun-off its Accommodations Segment (Accommodations) into a standalone, publicly traded Delaware corporation (Civeo US). In accordance with the Separation and Distribution Agreement, the two companies were separated by Oil States distributing to its stockholders all 106,538,044 shares of common stock of Civeo US it held after the market closed on May 30, 2014 (the Spin-Off).</w:t>
      </w:r>
    </w:p>
    <w:p>
      <w:pPr>
        <w:spacing w:after="0" w:line="147"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On July 17, 2015, we changed our place of incorporation, pursuant to which Civeo Corporation, a British Columbia, Canada limited company formerly named Civeo Canadian Holdings ULC (Civeo Canada), became the publicly traded parent company of the Civeo group of companies (the Redomicile Transaction). The Redomicile Transaction was effected pursuant to an Agreement and Plan of Merger, dated as of April 6, 2015, between Civeo US, Civeo US Merger Co, a Delaware corporation and wholly owned subsidiary of Civeo Canada (US Merger Co), and Civeo Canada. At the effective time of the merger, (i) US Merger Co was merged with Civeo US, with Civeo US surviving the merger as a wholly owned subsidiary of Civeo Canada, and (ii)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at the effective time as merger consideration. The Civeo Canada common shares are listed on the NYSE under the symbol “CVEO,” the same symbol under which the Civeo US common stock traded prior to the effective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periods prior to July 17, 2015 refer to Civeo US and its consolidated subsidiaries. For time periods after July 17, 2015, these terms refer to Civeo Canada and its consolidated subsidiaries.</w:t>
      </w:r>
    </w:p>
    <w:p>
      <w:pPr>
        <w:spacing w:after="0" w:line="181"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(SEC) pertaining to interim financial information. Certain information in footnote disclosures normally included in financial statements prepared in accordance with Generally Accepted Accounting Principles (GAAP) has been condensed or omitted pursuant to these rules and regulations. The unaudited financial statements included in this report reflect all the adjustments, consisting of normal recurring adjustments, which the Company considers necessary for a fair presentation of the results of operations for the interim periods covered and for the financial condition of the Company at the date of the interim balance sheet. Results for the interim periods are not necessarily indicative of results for the full year. Certain reclassifications have been made to the December 31, 2015 consolidated balance sheet to conform to current year presentation.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(continued)</w:t>
      </w:r>
    </w:p>
    <w:p>
      <w:pPr>
        <w:spacing w:after="0" w:line="219" w:lineRule="exact"/>
        <w:rPr>
          <w:sz w:val="20"/>
          <w:szCs w:val="20"/>
          <w:color w:val="auto"/>
        </w:rPr>
      </w:pPr>
    </w:p>
    <w:p>
      <w:pPr>
        <w:ind w:right="46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2015.</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RECENT ACCOUNTING PRONOUNCEMENTS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June 2016, the FASB issued Accounting Standards Update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March 2016, the FASB issued ASU 2016-09, “Improvements to Employee Share-Based Payment Accounting” (ASU 2016-09). This new standard requires companies to recognize the income tax effects of awards in the income statement when the awards vest or are settled. ASU 2016-09 is effective for financial statements issued for reporting periods beginning after December 15, 2016 and interim periods within the reporting periods. We are currently evaluating the impact of this new standard on our consolidated financial statements.</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An entity will be required to recognize and measure leases at the beginning of the earliest period presented using a modified retrospective approach. We are currently evaluating the impact of this new standard on our consolidated financial statements.</w:t>
      </w:r>
    </w:p>
    <w:p>
      <w:pPr>
        <w:spacing w:after="0" w:line="17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April 2015, the FASB issued ASU 2015-03 “Interest - Imputation of Interest: Simplifying the Presentation of Debt Issuance Costs” (ASU 2015-03). ASU 2015-03 simplifies the presentation of debt issuance costs by requiring that such costs be presented as a deduction from the corresponding debt liability. Effective with our quarterly report on Form 10-Q for the quarter ended March 31, 2016, we have adopted the provisions of ASU 2015-03. At December 31, 2015, as a result of our adoption of ASU 2015-03, we reclassified $4.7 million of debt issuance costs to reduce our recognized debt liabilities from other current assets ($1.3 million) and other non-current assets ($3.4 million) on the accompanying unaudited consolidated balance sheet. A portion of our debt issuance costs relate to revolving lines of credit and will accordingly continue to be included in “Other current assets” or “Other non-current assets”.</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reporting periods beginning after December 15, 2017. Accordingly, we plan to adopt this standard in the first quarter of 2018. ASC 606 allows either full retrospective or modified retrospective transition, and early adoption is not permitted. We continue to evaluate both the impact of this new standard on our consolidated financial statements and the transition method we will utilize for adoption.</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(continued)</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As of September 30, 2016 and December 31, 2015, we believe the carrying value of our floating-rate debt outstanding under our term loans and revolving credit facilities approximates their fair values because their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color w:val="auto"/>
        </w:rPr>
        <w:t>During the first and third quarters of 2016 and the first, second and third quarters of 2015, we wrote down certain long-lived assets to their fair values. Our estimates of fair value required us to use significant unobservable inputs, representative of Level 3 fair value measurements, including numerous assumptions with respect to future circumstances that might directly impact each of the asset groups’ operations in the future and are therefore uncertain. These assumptions with respect to future circumstances included future oil, coal and natural gas prices, anticipated spending by our customers, the cost of capital, and industry and/or local market conditions. During the third quarter of 2016, our estimates of fair value of certain undeveloped land positions in British Columbia were based on appraisals from third parties.</w:t>
      </w:r>
    </w:p>
    <w:p>
      <w:pPr>
        <w:spacing w:after="0" w:line="178" w:lineRule="exact"/>
        <w:rPr>
          <w:sz w:val="20"/>
          <w:szCs w:val="20"/>
          <w:color w:val="auto"/>
        </w:rPr>
      </w:pPr>
    </w:p>
    <w:p>
      <w:pPr>
        <w:ind w:right="460" w:firstLine="324"/>
        <w:spacing w:after="0" w:line="312" w:lineRule="auto"/>
        <w:rPr>
          <w:sz w:val="20"/>
          <w:szCs w:val="20"/>
          <w:color w:val="auto"/>
        </w:rPr>
      </w:pPr>
      <w:r>
        <w:rPr>
          <w:rFonts w:ascii="Arial" w:cs="Arial" w:eastAsia="Arial" w:hAnsi="Arial"/>
          <w:sz w:val="16"/>
          <w:szCs w:val="16"/>
          <w:color w:val="auto"/>
        </w:rPr>
        <w:t>During the third quarter of 2015, we also wrote down our goodwill to its implied fair value (IFV). Our estimate of IFV required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w:t>
      </w:r>
    </w:p>
    <w:p>
      <w:pPr>
        <w:spacing w:after="0" w:line="143"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Additional information regarding selected balance sheet accounts at September 30, 2016 and December 31, 2015 is presented below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Trade</w:t>
            </w:r>
          </w:p>
        </w:tc>
        <w:tc>
          <w:tcPr>
            <w:tcW w:w="18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47,600</w:t>
            </w:r>
          </w:p>
        </w:tc>
        <w:tc>
          <w:tcPr>
            <w:tcW w:w="12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44,650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(1,121)</w:t>
            </w: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68,478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2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1,911</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Raw materials</w:t>
            </w: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120" w:type="dxa"/>
            <w:vAlign w:val="bottom"/>
          </w:tcPr>
          <w:p>
            <w:pPr>
              <w:jc w:val="right"/>
              <w:ind w:right="10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(continued)</w:t>
      </w:r>
    </w:p>
    <w:p>
      <w:pPr>
        <w:spacing w:after="0" w:line="27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third quarter of 2016, we recorded a $0.9 million write-down of inventory at our modular construction and manufacturing plant in Canada, which is included in Cost of sales in our accompanying unaudited consolidated statements of operations.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Useful Life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Land</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43,085</w:t>
            </w:r>
          </w:p>
        </w:tc>
        <w:tc>
          <w:tcPr>
            <w:tcW w:w="12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47,825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1,592,789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1,482,842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ind w:left="40"/>
              <w:spacing w:after="0"/>
              <w:rPr>
                <w:sz w:val="20"/>
                <w:szCs w:val="20"/>
                <w:color w:val="auto"/>
              </w:rPr>
            </w:pPr>
            <w:r>
              <w:rPr>
                <w:rFonts w:ascii="Arial" w:cs="Arial" w:eastAsia="Arial" w:hAnsi="Arial"/>
                <w:sz w:val="18"/>
                <w:szCs w:val="18"/>
                <w:color w:val="auto"/>
              </w:rPr>
              <w:t>- 20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ind w:left="40"/>
              <w:spacing w:after="0"/>
              <w:rPr>
                <w:sz w:val="20"/>
                <w:szCs w:val="20"/>
                <w:color w:val="auto"/>
              </w:rPr>
            </w:pPr>
            <w:r>
              <w:rPr>
                <w:rFonts w:ascii="Arial" w:cs="Arial" w:eastAsia="Arial" w:hAnsi="Arial"/>
                <w:sz w:val="18"/>
                <w:szCs w:val="18"/>
                <w:color w:val="auto"/>
              </w:rPr>
              <w:t>- 7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30,953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52,558</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1,754,688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(909,887)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(734,177)</w:t>
            </w: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844,801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931,914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9,663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11,726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taxes, other than income taxes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16,161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14,834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IMPAIRMENT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Impairment Charges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pre-tax impairment charges recorded during the nine month period ended September 30, 2016, which are included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Impairment expense in our accompanying unaudited consolidated statements of operations (in thousands):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Canada</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Australia</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U.S.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2016</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Long-lived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8,400</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2016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Long-lived assets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37,729</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37,729</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37,729</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Quarter ended September 30, 2016. </w:t>
      </w:r>
      <w:r>
        <w:rPr>
          <w:rFonts w:ascii="Arial" w:cs="Arial" w:eastAsia="Arial" w:hAnsi="Arial"/>
          <w:sz w:val="17"/>
          <w:szCs w:val="17"/>
          <w:color w:val="auto"/>
        </w:rPr>
        <w:t>During the third quarter of 2016, we identified an indicator that certain asset groups used, or expected to be used,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conjunction with potential LNG projects in British Columbia may be impaired due to market developments occurring in the third quarter of 2016, including the delay in the final investment decision regarding an LNG project in British Columbia. We assessed the carrying value of each of the asset groups to determine if they continued to be recoverable based on their estimated future cash flows. Based on the assessment, the carrying values of the mobile camp assets and certain undeveloped land positions in British Columbia were determined to not be fully recoverable, and we proceeded to compare the estimated fair value of those assets groups to their respective carrying values. Accordingly, the mobile camp assets and undeveloped land positions were written down to their estimated fair values of $26.6 million and $5.6 million, respectively.</w:t>
      </w:r>
    </w:p>
    <w:p>
      <w:pPr>
        <w:spacing w:after="0" w:line="17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a result of the analysis described above, we recorded an impairment expense of $37.7 million associated with our mobile camp assets in Canada and undeveloped land positions in the British Columbia LNG market.</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(continued)</w:t>
      </w:r>
    </w:p>
    <w:p>
      <w:pPr>
        <w:spacing w:after="0" w:line="21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Quarter ended March 31, 2016. </w:t>
      </w:r>
      <w:r>
        <w:rPr>
          <w:rFonts w:ascii="Arial" w:cs="Arial" w:eastAsia="Arial" w:hAnsi="Arial"/>
          <w:sz w:val="18"/>
          <w:szCs w:val="18"/>
          <w:color w:val="auto"/>
        </w:rPr>
        <w:t>During the first quarter of 2016, we recorded an impairment expense of $8.4 million, resulting from the impairment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assets in our U.S. segment, due to a continued reduction of U.S. drilling activity in the Bakken Shale region. These fixed assets were written down to their fair value of $3.8 million. We assessed the carrying values of the asset groups to determine if they continued to be recoverable based on estimated future cash flows. Based on the assessment, the carrying values were determined to not be recoverable, and we proceeded to compare the fair value of those assets groups to their respective carrying values.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Impairment Charges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pre-tax impairment charges recorded during the nine month period ended September 30, 2015 which are included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Impairment expense in our accompanying unaudited consolidated statements of operations (in thousands):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Canada</w:t>
            </w:r>
          </w:p>
        </w:tc>
        <w:tc>
          <w:tcPr>
            <w:tcW w:w="1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Australia</w:t>
            </w:r>
          </w:p>
        </w:tc>
        <w:tc>
          <w:tcPr>
            <w:tcW w:w="28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2015</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Long-lived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June 30, 2015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Long-lived assets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9,473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9,473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2015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43,194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43,194</w:t>
            </w:r>
          </w:p>
        </w:tc>
      </w:tr>
      <w:tr>
        <w:trPr>
          <w:trHeight w:val="216"/>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23,980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65,061</w:t>
            </w: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b w:val="1"/>
          <w:bCs w:val="1"/>
          <w:i w:val="1"/>
          <w:iCs w:val="1"/>
          <w:color w:val="auto"/>
        </w:rPr>
        <w:t xml:space="preserve">Quarter ended September 30, 2015. </w:t>
      </w:r>
      <w:r>
        <w:rPr>
          <w:rFonts w:ascii="Arial" w:cs="Arial" w:eastAsia="Arial" w:hAnsi="Arial"/>
          <w:sz w:val="18"/>
          <w:szCs w:val="18"/>
          <w:color w:val="auto"/>
        </w:rPr>
        <w:t>During the third quarter of 2015, we recorded impairment expense related to goodwill, long-lived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Due to the sustained reduction of our share price throughout 2015, our market capitalization implied an enterprise value which was significantly less than the sum of the estimated fair values of our reporting units. As a result of our market capitalization at September 30, 2015, coupled with (1) the continued depression of worldwide oil prices, including the substantial declines experienced in the third quarter of 2015, and (2) continued weakness in the Canadian dollar in the third quarter of 2015, we determined that an indicator of a goodwill impairment was present as of September 30, 2015. Accordingly, as a result of then-current macroeconomic conditions, we performed an interim goodwill impairment test as of September 30, 2015, and we reduced the value of our goodwill in our Canadian reporting unit to zero. This resulted in an impairment charge in the third quarter of 2015 which totaled $43.2 million.</w:t>
      </w:r>
    </w:p>
    <w:p>
      <w:pPr>
        <w:spacing w:after="0" w:line="16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Furthermore, due to the goodwill impairment in our Canadian segment, we determined all asset groups within this segment had experienced a triggering event indicating that the carrying values might not be recoverable. Accordingly, we compared the carrying value of each asset group to estimates of the undiscounted cash flows for such asset group. Based on the assessment, carrying values of certain asset groups were determined to be unrecoverable, and we proceeded to compare the fair value of those asset groups to their respective carrying values. Accordingly, we recorded an impairment loss of $11.1 million related to long-lived assets in our Canadian segment. These fixed assets were written down to their fair value of $12.6 million.</w:t>
      </w:r>
    </w:p>
    <w:p>
      <w:pPr>
        <w:spacing w:after="0" w:line="15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Additionally, also due to the sustained reduction of our share price throughout 2015, we reviewed the long-lived assets in our U.S. and Australia reportable segments to determine if an indicator of impairment had occurred that would indicate that the carrying values of the asset groups in these segments might not be recoverable. We determined that certain asset groups within the U.S. and Australia segments had experienced an indicator of impairment, and thus compared the carrying value of the respective asset group to estimates of the undiscounted future cash flows for such asset group. Based on the assessment, the carrying values of three of our asset groups were determined to not be recoverable, and we proceeded to compare the fair value of the asset groups to their carrying value. Accordingly, we recorded an impairment loss of $20.5 million related to our U.S. segment. Of the $20.5 million impairment, $18.0 million reduced the value of our fixed assets and $2.5 million reduced the value of our amortizable intangible assets. These fixed assets were written down to their fair value of $9.5 million. In addition, we recorded an impairment loss of $24.0 million related to our Australian segment that reduced the value of our fixed assets. These fixed assets were written down to their fair value of $10.3 million.</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(continued)</w:t>
      </w:r>
    </w:p>
    <w:p>
      <w:pPr>
        <w:spacing w:after="0" w:line="21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Finally, during the third quarter of 2015, we identified assets in our Canadian segment that should have been impaired in the fourth quarter of 2014. We determined that the error was not material to our financial statements for the year ended December 31, 2014 and therefore corrected the error in the third quarter of 2015. This resulted in an additional impairment expense of $11.9 million.</w:t>
      </w:r>
    </w:p>
    <w:p>
      <w:pPr>
        <w:spacing w:after="0" w:line="181"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b w:val="1"/>
          <w:bCs w:val="1"/>
          <w:i w:val="1"/>
          <w:iCs w:val="1"/>
          <w:color w:val="auto"/>
        </w:rPr>
        <w:t xml:space="preserve">Quarter ended June 30, 2015. </w:t>
      </w:r>
      <w:r>
        <w:rPr>
          <w:rFonts w:ascii="Arial" w:cs="Arial" w:eastAsia="Arial" w:hAnsi="Arial"/>
          <w:sz w:val="17"/>
          <w:szCs w:val="17"/>
          <w:color w:val="auto"/>
        </w:rPr>
        <w:t>During the second quarter of 2015, we recorded an impairment expense of $9.5 million, resulting from the impairment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fixed assets in a village located in Western Australia, due to the continued downturn in gold mining activity and lack of contract renewals. These fixed assets were written down to their fair value of $0.1 million. We assessed the carrying value of the asset group to determine if it continued to be recoverable based on estimated future cash flows. Based on the assessment, the carrying value was determined to not be recoverable.</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Quarter ended March 31, 2015. </w:t>
      </w:r>
      <w:r>
        <w:rPr>
          <w:rFonts w:ascii="Arial" w:cs="Arial" w:eastAsia="Arial" w:hAnsi="Arial"/>
          <w:sz w:val="18"/>
          <w:szCs w:val="18"/>
          <w:color w:val="auto"/>
        </w:rPr>
        <w:t>During the first quarter of 2015, we made the decision to dispose of our manufacturing facility in Johnstown, Colorado.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Accordingly, the facility met the criteria of held for sale, and its carrying value was adjusted downward to $8.7 million, which represents its estimated fair value less the cost to sell. Accordingly, we recorded a pre-tax impairment expense of $2.7 million and an additional $1.1 million write-down of our inventory. During the fourth quarter of 2015, we completed the sale of the facility.</w:t>
      </w:r>
    </w:p>
    <w:p>
      <w:pPr>
        <w:spacing w:after="0" w:line="18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calculation of earnings per share attributable to the Company is presented below for the periods indicated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per Share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attributable to Civeo</w:t>
            </w:r>
          </w:p>
        </w:tc>
        <w:tc>
          <w:tcPr>
            <w:tcW w:w="12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(42,131)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(107,685)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(80,439)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2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(42,131)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(107,685)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(80,439)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106,661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106,989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Basic loss per share</w:t>
            </w:r>
          </w:p>
        </w:tc>
        <w:tc>
          <w:tcPr>
            <w:tcW w:w="12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2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(42,131)</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(80,439)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diluted</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(80,439)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106,661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106,583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2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0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(continued)</w:t>
      </w:r>
    </w:p>
    <w:p>
      <w:pPr>
        <w:spacing w:after="0" w:line="21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2016 and December 31, 2015, long-term debt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U.S. term loan, which matures on May 28, 2019; weighted average interest rate of 3.7% for the nine</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month period ended September 30, 2016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Canadian term loan, which matures on May 28, 2019; 1.25% of aggregate principal repayable per</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quarter beginning December 31, 2015; weighted average interest rate of 3.9% for the nine month</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 ended September 30, 2016</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304,713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300,165</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U.S. revolving credit facility, which matures on May 28, 2019, with available commitments up to</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$50.0 million; weighted average interest rate of 5.6% for the nine month period ended September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30, 2016</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May 28, 2019, with available commitments up to</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$100.0 million; weighted average interest rate of 4.1% for the nine month period ended September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30, 2016</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May 28, 2019, with available commitments up to</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$100.0 million; weighted average interest rate of 4.8% for the nine month period ended September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30, 2016</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Australian revolving credit facility, which matures on May 28, 2019, with available commitments up</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$100.0 million; weighted average interest rate of 5.3% for the nine month period ended</w:t>
            </w:r>
          </w:p>
        </w:tc>
        <w:tc>
          <w:tcPr>
            <w:tcW w:w="14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September 30, 2016</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378,346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401,560</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373,864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396,877</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long-term debt, including unamortized debt issuance costs, net</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160"/>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358,045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379,416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Interest expense on the accompanying unaudited consolidated statements of operations is net of capitalized interest of zero and $0.5 million for the three month periods ended September 30, 2016 and 2015, respectively. Interest expense on the accompanying unaudited consolidated statements of income is net of capitalized interest of zero and $1.2 million for the nine months ended September 30,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Facility</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As of December 31, 2015, our revolving credit facility consisted of (i) a $375.0 million, 5-year revolving credit facility allocated as follows: (A) a $50.0 million senior secured revolving credit facility in favor of Civeo, as borrower, (B) a $100.0 million senior secured revolving credit facility in favor of certain of our Canadian subsidiaries, as borrowers, (C) a $125.0 million senior secured revolving credit facility in favor of certain of our Canadian subsidiaries, as borrowers, and (D) a $100.0 million senior secured revolving credit facility in favor of one of our Australian subsidiaries, as borrower, and (ii) a $375.0 million, 5-year term loan facility in favor of Civeo (collectively, the Amended Credit Facility).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(continued)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18, 2016, the second amendment to the Amended Credit Facility became effective, which provided for the following:</w:t>
      </w:r>
    </w:p>
    <w:p>
      <w:pPr>
        <w:spacing w:after="0" w:line="225" w:lineRule="exact"/>
        <w:rPr>
          <w:sz w:val="20"/>
          <w:szCs w:val="20"/>
          <w:color w:val="auto"/>
        </w:rPr>
      </w:pPr>
    </w:p>
    <w:p>
      <w:pPr>
        <w:ind w:left="660" w:right="2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Civeo Management LLC, an indirect wholly owned subsidiary of the Company, became a co-borrower under the US$50.0 million U.S. revolving credit facility under the Amended Credit Facility;</w:t>
      </w:r>
    </w:p>
    <w:p>
      <w:pPr>
        <w:spacing w:after="0" w:line="170"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partial prepayment of the U.S. term loan under the Amended Credit Facility in the aggregate principal amount of US$25.0 million and the reduction by US$25.0 million of the aggregate revolving loan commitments under the Canadian revolving credit facility under the Amended Credit Facility to a maximum principal amount of US$100.0 million;</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Increased the interest rate margin by 0.25% when the leverage ratio is less than 1.50x (by removing the lowest level in the leverage-based interest rate margin grid), (ii) established two additional levels to the total leverage-based grid such that the interest rates for the loans range from LIBOR +2.25% to LIBOR +5.00% and (iii) increased the undrawn commitment fee from a range of 0.45% to 0.90% to a range of 0.51% to 1.13% based on total leverage;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80" w:type="dxa"/>
            <w:vAlign w:val="bottom"/>
            <w:gridSpan w:val="3"/>
            <w:vMerge w:val="restart"/>
          </w:tcPr>
          <w:p>
            <w:pPr>
              <w:ind w:left="2200"/>
              <w:spacing w:after="0"/>
              <w:rPr>
                <w:sz w:val="20"/>
                <w:szCs w:val="20"/>
                <w:color w:val="auto"/>
              </w:rPr>
            </w:pPr>
            <w:r>
              <w:rPr>
                <w:rFonts w:ascii="Arial" w:cs="Arial" w:eastAsia="Arial" w:hAnsi="Arial"/>
                <w:sz w:val="18"/>
                <w:szCs w:val="18"/>
                <w:b w:val="1"/>
                <w:bCs w:val="1"/>
                <w:color w:val="auto"/>
              </w:rPr>
              <w:t>Period Ended</w:t>
            </w:r>
          </w:p>
        </w:tc>
        <w:tc>
          <w:tcPr>
            <w:tcW w:w="43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3"/>
              </w:rPr>
              <w:t>Maximum Leverage Ratio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gridSpan w:val="3"/>
            <w:vMerge w:val="continue"/>
          </w:tcPr>
          <w:p>
            <w:pPr>
              <w:spacing w:after="0"/>
              <w:rPr>
                <w:sz w:val="17"/>
                <w:szCs w:val="17"/>
                <w:color w:val="auto"/>
              </w:rPr>
            </w:pPr>
          </w:p>
        </w:tc>
        <w:tc>
          <w:tcPr>
            <w:tcW w:w="150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4.00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March 31, 2016</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4.25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2016</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5.25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September 30, 2016</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5.50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5.50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March 31, 2017</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5.25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2017</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5.25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September 30, 2017</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5.00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5.00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March 31, 2018</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4.75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2018</w:t>
            </w:r>
          </w:p>
        </w:tc>
        <w:tc>
          <w:tcPr>
            <w:tcW w:w="352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3.75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September 30, 2018 &amp; thereafter</w:t>
            </w:r>
          </w:p>
        </w:tc>
        <w:tc>
          <w:tcPr>
            <w:tcW w:w="352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3.50 : 1.00</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8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Included a provision for a mandatory prepayment of the revolving credit facilities under the Amended Credit Facility in the event the Company and its subsidiaries hold an aggregate amount of cash exceeding US$40.0 million for a period of more than three consecutive business days, such mandatory prepayment to be made within two business days in an amount equal to the lesser of (a) an amount sufficient to reduce the aggregate amount of cash and permitted investments on hand at the Company and its subsidiaries to less than US$40.0 million or (b) an amount sufficient to repay all of the outstanding commitments under the revolving credit facilities under the Amended Credit Facility; and</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technical changes and amendments to the Amended Credit Facility.</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As a result of the second amendment, we recognized a loss during the first quarter of 2016 of approximately $0.3 million related to unamortized debt issuance costs, which is included in “Loss on extinguishment of debt” on the accompanying unaudited consolidated statements of operations.</w:t>
      </w:r>
    </w:p>
    <w:p>
      <w:pPr>
        <w:spacing w:after="0" w:line="12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2.25% to 5.00%, or a base rate plus 1.25% to 4.00%, in each case based on a ratio of our total leverage to EBITDA (as defined in the Amended Credit Facility). Canadian dollar amounts outstanding under the Amended Credit Facility bear interest at a variable rate equal to CDOR plus a margin of 2.25% to 5.00%, or a base rate plus a margin of 1.25% to 4.00%, in each case based on a ratio of our consolidated total leverage to EBITDA (as defined in the Amended Credit Facility). Australian dollar amounts outstanding under the Amended Credit Facility bear interest at a variable rate equal to BBSY plus a margin of 2.25% to 5.00%, based on a ratio of our consolidated total leverage to EBITDA (as defined in the Amended Credit Facility).</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(continued)</w:t>
      </w:r>
    </w:p>
    <w:p>
      <w:pPr>
        <w:spacing w:after="0" w:line="21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our maximum leverage ratio, defined as the ratio of total debt to consolidated EBITDA, of no greater than 5.50 to 1.0 (as of September 30, 2016). As noted above, the permitted maximum leverage ratio changes over time. Each of the factors considered in the calculations of these ratios are defined in the Amended Credit Facility. EBITDA and consolidated interest, as defined, exclude goodwill and asset impairments, debt discount amortization and other non-cash charges. We were in compliance with these covenants as of September 30,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have 15 lenders in our Amended Credit Facility with commitments ranging from $1.2 million to $135.7 million.</w:t>
      </w:r>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Company’s operations are conducted through its various subsidiaries in a number of countries throughout the world. The Company has provided for income taxes based upon the tax laws and rates in the countries in which operations are conducted and income is earned. For the three and nine months ended September 30, 2016, and portions of the three and nine months ended September 30, 2015, Civeo Canada is the public parent registered under the laws of British Columbia, Canada. Prior to the Company’s migration to Canada on July 17, 2015, Civeo US, a Delaware corporation, was the public parent registered in the U.S.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27% to 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period to period based on changes in earnings mix between these different jurisdictions.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compute our quarterly taxes under the effective tax rate method by applying an anticipated annual effective rate to our year-to-date income, except for significant unusual or extraordinary transactions. As Australia and the U.S. are now loss jurisdictions for tax accounting purposes, Australia and the U.S. have been removed from the annual effective tax rate computation for purposes of computing the interim tax provision. Income taxes for significant and unusual or extraordinary transactions are computed and recorded in the period that the specific transaction occurs.</w:t>
      </w:r>
    </w:p>
    <w:p>
      <w:pPr>
        <w:spacing w:after="0" w:line="17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Our income tax benefit for the nine months ended September 30, 2016 totaled $17.2 million, or 17.7% of pretax loss, compared to a benefit of $27.5 million, or 18.6% of pretax loss, for the nine months ended September 30, 2015. As noted above, our effective tax rate in 2016 was lower than the Canadian statutory rate of 27% primarily due to the exclusion of Australia and U.S. for purposes of computing the interim tax provision.</w:t>
      </w:r>
    </w:p>
    <w:p>
      <w:pPr>
        <w:spacing w:after="0" w:line="16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For the nine months ended September 30, 2015, our income tax rate of 18.6% was lower than the Canadian statutory rate in part due to the exclusion of the U.S. for purposes of computing the interim tax provision. In addition, the rate was impacted by the following items: (i) an income tax expense of approximately $10 million related to unrecognized tax benefits; (ii) an income tax expense of approximately $12 million resulting from the impairment of goodwill not deductible for tax purposes; and (iii) an income tax expense of approximately $2.7 million related to an increase in statutory tax rates in Alberta, Canada included in our 2015 tax benefit. Finally, during the third quarter of 2015, management determined that, based on evidence available as of September 30, 2015, it was not more likely than not that the U.S. net operating loss would be realized. This evidence was largely comprised of the reversal of the U.S. jurisdiction from a net deferred tax liability as of December 31, 2014 to a net deferred tax asset as of September 30, 2015. Deferred tax assets generated in 2015 were realized to the extent of the net deferred tax liabilities as of December 31, 2014, resulting in a tax benefit of approximately $20 million. A valuation allowance was recorded discretely in the third quarter on the remaining deferred tax assets generated in 2015, with the result of no further tax benefit from the U.S. pretax losses.</w:t>
      </w:r>
    </w:p>
    <w:p>
      <w:pPr>
        <w:spacing w:after="0" w:line="178"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Our income tax benefit for the three months ended September 30, 2016 totaled $11.7 million, or 21.8% of pretax loss, compared to a benefit of $22.7 million, or 17.5% of pretax loss, for the three months ended September 30, 2015. Our three month effective rates for 2016 and 2015 were lower than the Canadian statutory rates of 27% primarily due to the reasons identified above for the nine month periods.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(continued)</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COMMITMENTS AND CONTINGENCIES</w:t>
      </w:r>
    </w:p>
    <w:p>
      <w:pPr>
        <w:spacing w:after="0" w:line="229" w:lineRule="exact"/>
        <w:rPr>
          <w:sz w:val="20"/>
          <w:szCs w:val="20"/>
          <w:color w:val="auto"/>
        </w:rPr>
      </w:pPr>
    </w:p>
    <w:p>
      <w:pPr>
        <w:ind w:right="44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accumulated other comprehensive loss decreased $26.5 million from $366.3 million at December 31, 2015 to $339.8 million at September 30, 2016, as a result of foreign currency exchange rate fluctuations. Changes in other comprehensive loss during the first nine months of 2016 were primarily driven by the Australian dollar and Canadian dollar increasing in value compared to the U.S. dollar. Excluding intercompany balances, our Canadian dollar and Australian dollar functional currency net assets totaled approximately C$0.2 billion and A$0.5 billion, respectively, at September 30,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BASED COMPENSATION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employees and non-employee directors participate in the Amended and Restated 2014 Equity Participation Plan of Civeo Corporation (the Civeo Plan). The Civeo Plan authorizes the Board of Directors to grant options, awards of restricted shares, performance awards, dividend equivalents, awards of deferred shares, and share payments to our employees and non-employee directors. No more than 14.0 million Civeo common shares may be awarded under the Civeo Plan.</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Upon effectiveness of the Redomicile Transaction, Civeo Canada assumed the Civeo US employee equity plans and related award agreements, including all options and awards issued or granted under such plans, as well as certain Civeo US benefit plans and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Compensation expense associated with options recognized in the three month periods ended September 30, 2016 and 2015 totaled zero and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Compensation expense associated with options recognized in the nine month periods ended September 30, 2016 and 2015 totaled $0.1 million and $0.2 million, respectively. At September 30, 2016, unrecognized compensation cost related to options was $0.1 million, which is expected to be recognized over a weighted average period of 1.1 years.</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Restricted Share / Deferred Share Awards. </w:t>
      </w:r>
      <w:r>
        <w:rPr>
          <w:rFonts w:ascii="Arial" w:cs="Arial" w:eastAsia="Arial" w:hAnsi="Arial"/>
          <w:sz w:val="18"/>
          <w:szCs w:val="18"/>
          <w:color w:val="auto"/>
        </w:rPr>
        <w:t>On February 23, 2016, we granted 231,934 restricted share and deferred share awards under the Civeo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vest in three equal annual installments beginning on February 23, 2017. On May 12, 2016, we granted 401,070 restricted share awards to our directors, which vest in their entirety on May 12, 2017.</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Compensation expense associated with restricted share awards and deferred share awards recognized in the three month periods ended September 30, 2016 and 2015 totaled $1.0 million and $1.1 million, respectively. Compensation expense associated with restricted share awards and deferred share awards recognized in the nine month periods ended September 30, 2016 and 2015 totaled $3.0 million and $3.2 million, respectively. The total fair value of restricted share awards and deferred share awards that vested during each of the three months ended September 30, 2016 and 2015 was de minimis. The total fair value of restricted share awards and deferred share awards that vested during the nine months ended September 30, 2016 and 2015 was $0.6 million and $0.9 million, respectively.</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(continued)</w:t>
      </w:r>
    </w:p>
    <w:p>
      <w:pPr>
        <w:spacing w:after="0" w:line="2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September 30, 2016, unrecognized compensation cost related to restricted share awards and deferred share awards was $5.4 million, which is expected to be recognized over a weighted average period of 1.8 years.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23, 2016, we granted 2,917,130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23, 2017. We also granted 3,099,194 phantom share awards under the Canadian Long-Term Incentive Plan, which vest in three equal annual installments beginning on February 23, 2017.</w:t>
      </w:r>
    </w:p>
    <w:p>
      <w:pPr>
        <w:spacing w:after="0" w:line="181"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16"/>
          <w:szCs w:val="16"/>
          <w:color w:val="auto"/>
        </w:rPr>
        <w:t>During both the three month periods ended September 30, 2016 and 2015, we recognized a de minims amount of compensation expense associated with phantom shares. During the nine month periods ended September 30, 2016 and 2015, we recognized compensation expense associated with phantom shares totaling $1.8 million and $0.8 million, respectively. At September 30, 2016, unrecognized compensation cost related to phantom shares was $6.0 million, as remeasured at September 30, 2016, which is expected to be recognized over a weighted average period of 2.3 years.</w:t>
      </w:r>
    </w:p>
    <w:p>
      <w:pPr>
        <w:spacing w:after="0" w:line="15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Performance Awards. </w:t>
      </w:r>
      <w:r>
        <w:rPr>
          <w:rFonts w:ascii="Arial" w:cs="Arial" w:eastAsia="Arial" w:hAnsi="Arial"/>
          <w:sz w:val="18"/>
          <w:szCs w:val="18"/>
          <w:color w:val="auto"/>
        </w:rPr>
        <w:t>On February 23, 2016, we granted 2,400,606 performance awards under the Civeo Plan, which cliff vest in three years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23, 2019. These awards will be earned in amounts between 0% and 200% of the participant’s target performance share award, based on the payout percentage associated with Civeo’s relative total shareholder return rank among a peer group of 12 other companies. Shareholder approval to grant these awards as equity awards to be settled in shares was obtained on May 12, 2016. Accordingly, the awards are being accounted for as equity awards, with a fair value of $3.18 calculated as of May 12, 2016.</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During the three month periods ended September 30, 2016 and 2015, we recognized compensation expense associated with performance awards totaling $0.5 million and zero, respectively. During the nine month periods ended September 30, 2016 and 2015, we recognized compensation expense associated with performance awards totaling $1.4 million and zero, respectively. At September 30, 2016, unrecognized compensation cost related to performance shares was $4.9 million, which is expected to be recognized over a weighted average period of 2.6 years.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RELATED INFORMATION</w:t>
      </w:r>
    </w:p>
    <w:p>
      <w:pPr>
        <w:spacing w:after="0" w:line="229"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Canada, Australia and U.S., which represent our strategic focus on workforce accommodations.</w:t>
      </w:r>
    </w:p>
    <w:p>
      <w:pPr>
        <w:spacing w:after="0" w:line="14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and nine months ended September 30, 2016 and 2015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Less: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Depreciation</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Operating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Intersegment</w:t>
            </w:r>
          </w:p>
        </w:tc>
        <w:tc>
          <w:tcPr>
            <w:tcW w:w="1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unaffiliated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Revenues</w:t>
            </w:r>
          </w:p>
        </w:tc>
        <w:tc>
          <w:tcPr>
            <w:tcW w:w="14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customers</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(loss)</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6"/>
              </w:rPr>
              <w:t>expenditures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assets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Three months ended September 30, 2016</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73,539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73,539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20,702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(44,742)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576,945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1,274</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(3,271)</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104,238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104,238</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33,721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(48,958)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978,051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w w:val="96"/>
              </w:rPr>
              <w:t>Three months ended September 30, 2015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71,500</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29,177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29,177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12,166</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(25,995)</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416,033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(24,916)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(122,840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1,117,801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Nine months ended September 30, 2016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216,168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216,168</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62,494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(53,758)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576,945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34,348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4,462</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(20,662)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306,309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306,309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100,444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(81,169)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15,246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978,051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w w:val="99"/>
              </w:rPr>
              <w:t>Nine months ended September 30, 2015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278,472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278,472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109,304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39,878</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(24,150)</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416,033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(11,731)</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(132,101</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1,117,801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19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9" w:name="page20"/>
    <w:bookmarkEnd w:id="19"/>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2015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Redomiciling to Canada</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July 17, 2015, we completed our change in place of incorporation from Delaware to British Columbia, Canada (the Redomicile Transaction). In the Redomicile Transaction, Civeo Corporation, a British Columbia, Canada limited company formerly named Civeo Canadian Holdings ULC (Civeo Canada), became the publicly traded parent company of the Civeo group of companies, and our former publicly traded Delaware parent (Civeo US) became a wholly owned subsidiary of Civeo Canada.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in the Redomicile Transaction. The Civeo Canada common shares are listed on the NYSE under the symbol “CVEO,” the same symbol under which the Civeo US common stock traded prior to the effective time.</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qualified for a self-directed redomiciling.</w:t>
      </w:r>
    </w:p>
    <w:p>
      <w:pPr>
        <w:spacing w:after="0" w:line="18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incurred costs related to the Redomicile Transaction totaling zero and $1.5 million for the three months ended September 30, 2016 and 2015, respectively. We incurred costs related to the Redomicile Transaction totaling $1.3 million and $5.1 million for the nine months ended September 30, 2016 and 2015,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and mining facilities. Industry capital spending programs are generally based on the outlook for commodity prices, economic growth and estimates of resource production. As a result, demand for our products and services is largely sensitive to expected commodity prices, principally related to crude oil, metallurgical (met) coal and natural gas.</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in the U.S. Gulf Coast. The WCS Differential has varied depending on the extent of transportation capacity availability.</w:t>
      </w:r>
    </w:p>
    <w:p>
      <w:pPr>
        <w:spacing w:after="0" w:line="15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first quarter of 2016, global oil prices dropped to their lowest level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With falling Brent Crude and WTI oil prices, WCS also fell. Prices began to increase in March 2016. WCS prices in the third quarter of 2016 averaged $30.67 per barrel compared to a low of $20.26 in the first quarter of 2016 and a high of $83.78 in the second quarter of 2014. The WCS Differential increased modestly from $13.25 per barrel at the end of the fourth quarter of 2015 to $14.00 per barrel at the end of the third quarter of 2016. As of October 24, 2016, the WTI price was $50.12 and the WCS price was $36.12, resulting in a WCS Differential of $14.00.</w:t>
      </w:r>
    </w:p>
    <w:p>
      <w:pPr>
        <w:spacing w:after="0" w:line="18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There remains a significant risk that prices for Canadian oil sands crude oil related products could continue to deteriorate or remain at current depressed levels for an extended period of time, and the discount between WCS crude prices and WTI crude prices could widen. The continuation of these depressed price levels has negatively impacted exploration, development, maintenance and production spending and activity by Canadian operators and, therefore, demand for our services in late 2014, 2015 and 2016. Our Canadian oil sands customers could continue to delay maintenance spending and additional investments in their oil sands assets as well.</w:t>
      </w:r>
    </w:p>
    <w:p>
      <w:pPr>
        <w:spacing w:after="0" w:line="18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Australia, approximately 80% of our rooms are located in the Bowen Basin and primarily serve met coal mines in that region. Met coal pricing and growth in production in the Bowen Basin region is predominantly influenced by the levels of Chinese steel production, which increased less than 1% for the first nine months of 2016 compared to the same period in 2015. As of October 24, 2016, contract met coal prices were approximately $200 per metric tonne, significantly higher than the September 2016 contract price of $92.50 per metric tonne, due to supply side factors that have restricted met coal volumes. Despite the increase, we have not seen a significant impact on customers’ willingness to increase activity. We expect that spot prices for met coal will need to be sustained at these levels for at least six to twelve months before we see an impact on customer activity levels, and therefore, the demand for accommodations. Long-term demand for steel will be driven by increased steel consumption per capita in developing economies, such as China and India, whose current consumption per capita is a fraction of developed countries. Our customers continue to actively implement cost productivity and efficiency measures to drive down their cost base.</w:t>
      </w:r>
    </w:p>
    <w:p>
      <w:pPr>
        <w:spacing w:after="0" w:line="18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Natural gas and WTI crude oil prices, discussed above, have an impact on the demand for our U.S. accommodations business. With limited export capabilities, U.S. natural gas prices are primarily influenced by domestic supply/demand dynamics and resultant inventory levels. U.S. natural gas production has continued to outpace demand, which has caused prices to continue to be weak relative to historical prices over the past decade. U.S. natural gas inventory levels at September 30, 2016 were 3.68 Tcf, 2% over inventory levels from September 30, 2015 and 6% over seasonally comparable average inventory levels over the past five years. Prices for natural gas in the U.S. averaged $2.79 per mcf in the third quarter of 2016, a 2% increase over the average price in the third quarter of 2015. These weak prices are expected to continue.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Recent WTI crude, WCS crude, met coal and natural gas pricing trends are as follows:</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right"/>
              <w:ind w:right="103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3"/>
              </w:rPr>
              <w:t>Henry</w:t>
            </w:r>
          </w:p>
        </w:tc>
        <w:tc>
          <w:tcPr>
            <w:tcW w:w="80" w:type="dxa"/>
            <w:vAlign w:val="bottom"/>
          </w:tcPr>
          <w:p>
            <w:pPr>
              <w:spacing w:after="0"/>
              <w:rPr>
                <w:sz w:val="16"/>
                <w:szCs w:val="16"/>
                <w:color w:val="auto"/>
              </w:rPr>
            </w:pPr>
          </w:p>
        </w:tc>
      </w:tr>
      <w:tr>
        <w:trPr>
          <w:trHeight w:val="216"/>
        </w:trPr>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left="410"/>
              <w:spacing w:after="0"/>
              <w:rPr>
                <w:sz w:val="20"/>
                <w:szCs w:val="20"/>
                <w:color w:val="auto"/>
              </w:rPr>
            </w:pPr>
            <w:r>
              <w:rPr>
                <w:rFonts w:ascii="Arial" w:cs="Arial" w:eastAsia="Arial" w:hAnsi="Arial"/>
                <w:sz w:val="18"/>
                <w:szCs w:val="18"/>
                <w:b w:val="1"/>
                <w:bCs w:val="1"/>
                <w:color w:val="auto"/>
              </w:rPr>
              <w:t>WTI</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left="350"/>
              <w:spacing w:after="0"/>
              <w:rPr>
                <w:sz w:val="20"/>
                <w:szCs w:val="20"/>
                <w:color w:val="auto"/>
              </w:rPr>
            </w:pPr>
            <w:r>
              <w:rPr>
                <w:rFonts w:ascii="Arial" w:cs="Arial" w:eastAsia="Arial" w:hAnsi="Arial"/>
                <w:sz w:val="18"/>
                <w:szCs w:val="18"/>
                <w:b w:val="1"/>
                <w:bCs w:val="1"/>
                <w:color w:val="auto"/>
                <w:w w:val="95"/>
              </w:rPr>
              <w:t>WCS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Hard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Hub</w:t>
            </w: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Coking Coal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Natural</w:t>
            </w:r>
          </w:p>
        </w:tc>
        <w:tc>
          <w:tcPr>
            <w:tcW w:w="80" w:type="dxa"/>
            <w:vAlign w:val="bottom"/>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18"/>
                <w:szCs w:val="18"/>
                <w:color w:val="auto"/>
              </w:rPr>
            </w:pPr>
          </w:p>
        </w:tc>
        <w:tc>
          <w:tcPr>
            <w:tcW w:w="1160" w:type="dxa"/>
            <w:vAlign w:val="bottom"/>
          </w:tcPr>
          <w:p>
            <w:pPr>
              <w:jc w:val="center"/>
              <w:ind w:left="410"/>
              <w:spacing w:after="0"/>
              <w:rPr>
                <w:sz w:val="20"/>
                <w:szCs w:val="20"/>
                <w:color w:val="auto"/>
              </w:rPr>
            </w:pPr>
            <w:r>
              <w:rPr>
                <w:rFonts w:ascii="Arial" w:cs="Arial" w:eastAsia="Arial" w:hAnsi="Arial"/>
                <w:sz w:val="18"/>
                <w:szCs w:val="18"/>
                <w:b w:val="1"/>
                <w:bCs w:val="1"/>
                <w:color w:val="auto"/>
                <w:w w:val="96"/>
              </w:rPr>
              <w:t>Crude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Crude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(Met Coal)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Gas</w:t>
            </w:r>
          </w:p>
        </w:tc>
        <w:tc>
          <w:tcPr>
            <w:tcW w:w="80" w:type="dxa"/>
            <w:vAlign w:val="bottom"/>
          </w:tcPr>
          <w:p>
            <w:pPr>
              <w:spacing w:after="0"/>
              <w:rPr>
                <w:sz w:val="18"/>
                <w:szCs w:val="18"/>
                <w:color w:val="auto"/>
              </w:rPr>
            </w:pPr>
          </w:p>
        </w:tc>
      </w:tr>
      <w:tr>
        <w:trPr>
          <w:trHeight w:val="234"/>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1"/>
              </w:rPr>
              <w:t>(per bbl)</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4"/>
              </w:rPr>
              <w:t>(per bbl)</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(per tonne)</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3"/>
              </w:rPr>
              <w:t>(per mcf)</w:t>
            </w:r>
          </w:p>
        </w:tc>
        <w:tc>
          <w:tcPr>
            <w:tcW w:w="80" w:type="dxa"/>
            <w:vAlign w:val="bottom"/>
          </w:tcPr>
          <w:p>
            <w:pPr>
              <w:spacing w:after="0"/>
              <w:rPr>
                <w:sz w:val="20"/>
                <w:szCs w:val="20"/>
                <w:color w:val="auto"/>
              </w:rPr>
            </w:pPr>
          </w:p>
        </w:tc>
      </w:tr>
      <w:tr>
        <w:trPr>
          <w:trHeight w:val="195"/>
        </w:trPr>
        <w:tc>
          <w:tcPr>
            <w:tcW w:w="1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Fourth Quarter</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through 10/24/2016</w:t>
            </w:r>
          </w:p>
        </w:tc>
        <w:tc>
          <w:tcPr>
            <w:tcW w:w="124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40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36.26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20"/>
                <w:szCs w:val="20"/>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9/30/2016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44.88</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92.50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6/30/2016</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3/31/2016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12/31/2015</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9/30/2015</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46.48</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6/30/2015</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3/31/2015</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48.49</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12/31/2014</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9/30/2014</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97.60</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78.69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6/30/2014</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103.06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3/31/2014</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98.68</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77.76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r>
      <w:tr>
        <w:trPr>
          <w:trHeight w:val="218"/>
        </w:trPr>
        <w:tc>
          <w:tcPr>
            <w:tcW w:w="1840" w:type="dxa"/>
            <w:vAlign w:val="bottom"/>
          </w:tcPr>
          <w:p>
            <w:pPr>
              <w:jc w:val="center"/>
              <w:spacing w:after="0"/>
              <w:rPr>
                <w:sz w:val="20"/>
                <w:szCs w:val="20"/>
                <w:color w:val="auto"/>
              </w:rPr>
            </w:pPr>
            <w:r>
              <w:rPr>
                <w:rFonts w:ascii="Arial" w:cs="Arial" w:eastAsia="Arial" w:hAnsi="Arial"/>
                <w:sz w:val="18"/>
                <w:szCs w:val="18"/>
                <w:color w:val="auto"/>
                <w:w w:val="92"/>
              </w:rPr>
              <w:t>9/30/2013</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105.83</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83.10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7" w:lineRule="exact"/>
        <w:rPr>
          <w:sz w:val="20"/>
          <w:szCs w:val="20"/>
          <w:color w:val="auto"/>
        </w:rPr>
      </w:pPr>
    </w:p>
    <w:p>
      <w:pPr>
        <w:ind w:left="260" w:hanging="9"/>
        <w:spacing w:after="0" w:line="26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WTI crude and natural gas prices are from U.S. Energy Information Administration (EIA), and WCS crude prices and Seaborne hard coking coal contract prices are from Bloomberg.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cost ineffective, our lodge and village facilities provide comprehensive accommodations services similar to those found in an urban hotel. We typically contract our facilities to our customers on a fee per day basis that covers lodging and meals and that is based on the duration of their needs which can range from several weeks to several years.</w:t>
      </w:r>
    </w:p>
    <w:p>
      <w:pPr>
        <w:spacing w:after="0" w:line="193" w:lineRule="exact"/>
        <w:rPr>
          <w:sz w:val="20"/>
          <w:szCs w:val="20"/>
          <w:color w:val="auto"/>
        </w:rPr>
      </w:pPr>
    </w:p>
    <w:p>
      <w:pPr>
        <w:jc w:val="both"/>
        <w:ind w:right="340" w:firstLine="324"/>
        <w:spacing w:after="0" w:line="279" w:lineRule="auto"/>
        <w:rPr>
          <w:sz w:val="20"/>
          <w:szCs w:val="20"/>
          <w:color w:val="auto"/>
        </w:rPr>
      </w:pPr>
      <w:r>
        <w:rPr>
          <w:rFonts w:ascii="Arial" w:cs="Arial" w:eastAsia="Arial" w:hAnsi="Arial"/>
          <w:sz w:val="17"/>
          <w:szCs w:val="17"/>
          <w:color w:val="auto"/>
        </w:rPr>
        <w:t>Generally, our customers are making multi-billion dollar investments to develop their prospects, which have estimated reserve lives ranging from ten years to in excess of thirty years. Consequently, these investments are dependent on those customers’ longer-term view of commodity demand and prices. Announcements of certain new and expanded oil sands projects can create the opportunity to extend existing accommodations contracts and incremental contracts for us in Canada. There have been few new or expanded projects announced in recent months.</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With the current commodity price environment and expected demand, concerns about take-away capacity out of the Canadian oil sands region and continued high costs including labor costs, the current outlook for Canadian oil sands activity has continued to deteriorate in 2016. Although we are currently the primary third-party accommodations provider for the two major construction projects in the Canadian oil sands region, the Fort Hills project and the Kearl project, outlook for additional major oil sands construction projects is limited. Oil sands operators are looking to reduce their costs and capital spending, limiting the demand for accommodations like we provide. As a result, we experienced materially lower revenues and earnings from our Canadian operations in the first nine months of 2016 compared to the same period in 2015 and expect this trend to continue for the rest of 2016.</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right="40" w:firstLine="324"/>
        <w:spacing w:after="0" w:line="302" w:lineRule="auto"/>
        <w:rPr>
          <w:sz w:val="20"/>
          <w:szCs w:val="20"/>
          <w:color w:val="auto"/>
        </w:rPr>
      </w:pPr>
      <w:r>
        <w:rPr>
          <w:rFonts w:ascii="Arial" w:cs="Arial" w:eastAsia="Arial" w:hAnsi="Arial"/>
          <w:sz w:val="16"/>
          <w:szCs w:val="16"/>
          <w:color w:val="auto"/>
        </w:rPr>
        <w:t>We began expansion of our room count in Kitimat, British Columbia during the second half of 2015 to support potential liquefied natural gas (LNG) projects on the west coast of British Columbia. We were awarded a contract with LNG Canada (LNGC) for the provision of open lodge rooms and associated services. To support this contract, we have developed a new accommodations facility, named Sitka Lodge, which includes private washrooms, recreational facilities and other amenities. This lodge currently has 436 rooms with the potential to expand to serve future accommodations demand in the region.</w:t>
      </w:r>
    </w:p>
    <w:p>
      <w:pPr>
        <w:spacing w:after="0" w:line="15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made a positive final investment decision (FID). The FID was originally planned for the end of 2016; however, this decision has been delayed until a future time that has not yet been determined. We are currently in discussions with LNGC to extend this contract until a positive FID is made. As further discussed below, the delay was considered to be an indicator that certain of our long-lived assets may be impaired. If the FID continues to be delayed, or if the investment is cancelled, the resulting impact may negatively affect our results of operations and the value of our existing long-lived assets in Canada, including our Sitka Lodge, and may require us to record further material impairment charges equal to the excess of the carrying value of these assets over fair value. With the delay in the FID, we currently expect that LNGC will continue to utilize rooms at our Sitka Lodge through September 2017 in accordance with the terms of our contract. However, this contract may be extended to a new FID date based upon our current discussions with LNGC. There can be no assurance that LNGC’s joint venture participants will reach a positive FID or that our contracts with LNGC will be extended.</w:t>
      </w:r>
    </w:p>
    <w:p>
      <w:pPr>
        <w:spacing w:after="0" w:line="16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During the third quarter of 2016, we identified an indicator that certain asset groups used, or expected to be used, in conjunction with potential LNG projects in British Columbia may be impaired as a result of recent market developments, including the delay in FID discussed above. As a result, we assessed the carrying values of each of the asset groups to determine if they continued to be recoverable based on their estimated future cash flows. Based on the assessment, the carrying values of our mobile camp assets and certain undeveloped land positions in British Columbia were determined to not be recoverable and an impairment charge totaling $37.7 million was recorded in the third quarter of 2016.</w:t>
      </w:r>
    </w:p>
    <w:p>
      <w:pPr>
        <w:spacing w:after="0" w:line="17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estimating future cash flows, we made numerous assumptions with respect to future circumstances that might directly impact each of the asset groups’ operations in the future and are therefore uncertain. These assumptions with respect to future circumstances included future oil, coal and natural gas prices, anticipated customer spending, and industry and/or local market conditions. These assumptions represented our best judgment based on the current facts and circumstances. However, different assumptions could result in a determination that the carrying values of additional asset groups are no longer recoverable based on estimated future cash flows. If estimates of future cash flows for certain of our assets included in this assessment that were not impaired were reduced by 10%, an additional impairment of between $25 million and $35 million could be indicated. Our estimate of fair value was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w:t>
      </w:r>
    </w:p>
    <w:p>
      <w:pPr>
        <w:spacing w:after="0" w:line="16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falling met coal prices, additional carbon and mining taxes on our Australian accommodations customers and several years of cost inflation caused several of our customers to curtail or cease production from higher cost mines and delay or materially reduce their growth plans. This has negatively affected our ability to expand our room count and has led to a decrease in occupancy levels. Despite the repeal of carbon and mining taxes, continued concerns about China’s economy, which significantly influences the global demand for steel, and therefore, met coal, the outlook for met coal demand continues to be negative. As a result, our Australian business experienced lower occupancy levels throughout 2015, and this trend has continued in 2016.</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p>
      <w:pPr>
        <w:ind w:firstLine="324"/>
        <w:spacing w:after="0" w:line="287" w:lineRule="auto"/>
        <w:rPr>
          <w:sz w:val="20"/>
          <w:szCs w:val="20"/>
          <w:color w:val="auto"/>
        </w:rPr>
      </w:pPr>
      <w:r>
        <w:rPr>
          <w:rFonts w:ascii="Arial" w:cs="Arial" w:eastAsia="Arial" w:hAnsi="Arial"/>
          <w:sz w:val="16"/>
          <w:szCs w:val="16"/>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Generally Accepted Accounting Principles (U.S. GAAP) financial reporting purposes. The Canadian dollar was valued at an average exchange rate of U.S. $0.77 for the third quarter of 2016 compared to U.S. $0.76 for the third quarter of 2015, an increase of approximately 0.3%. The Canadian dollar was valued at an average exchange rate of U.S. $0.76 for the first nine months of 2016 compared to U.S. $0.79 for the first nine months of 2015, a decrease of approximately 5%. The Canadian dollar was valued at an exchange rate of $0.76 on September 30, 2016 and $0.72 on December 31, 2015. The Australian dollar was valued at an average exchange rate of U.S. $0.76 for the third quarter of 2016 compared to U.S. $0.73 for the third quarter of 2015, an increase of approximately 5%. The Australian dollar was valued at an average exchange rate of U.S. $0.74 for the first nine months of 2016 compared to U.S. $0.76 for the first nine months of 2015, a decrease of approximately 3%. The Australian dollar was valued at an exchange rate of $0.77 on September 30, 2016 and $0.73 on December 31, 2015. These fluctuations of the Canadian and Australian dollars have had and will continue to have an impact on the translation of earnings generated from our Canadian and Australian subsidiaries and, therefore, our financial results.</w:t>
      </w:r>
    </w:p>
    <w:p>
      <w:pPr>
        <w:spacing w:after="0" w:line="1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continue to monitor the global economy, the demand for crude oil, met coal and natural gas and the resultant impact on the capital spending plans of our customers in order to plan our business. We currently expect that our 2016 capital expenditures will total approximately $20 million to $25 million, compared to 2015 capital expenditures of $62 million. Please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further discussion of 2016 capital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nine-month periods ended September 30, 2016, is based on a comparison to the corresponding period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September 30, 2016 Compared to Three Months Ended September 30, 2015</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Canada</w:t>
            </w:r>
          </w:p>
        </w:tc>
        <w:tc>
          <w:tcPr>
            <w:tcW w:w="6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73,539</w:t>
            </w:r>
          </w:p>
        </w:tc>
        <w:tc>
          <w:tcPr>
            <w:tcW w:w="8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71,500</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104,238</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106,544</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67,964</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69,751</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w w:val="98"/>
              </w:rPr>
              <w:t>Selling, general and administrative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110,715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(3,945)</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153,196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229,384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(76,188)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(48,958)</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(122,840)</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(7,336)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(129,915)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(41,969)</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(107,170)</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w w:val="99"/>
              </w:rPr>
              <w:t>Less: Net income attributable to noncontrolling</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(42,131)</w:t>
            </w:r>
          </w:p>
        </w:tc>
        <w:tc>
          <w:tcPr>
            <w:tcW w:w="40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(107,685)</w:t>
            </w:r>
          </w:p>
        </w:tc>
        <w:tc>
          <w:tcPr>
            <w:tcW w:w="34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reported net loss attributable to Civeo for the quarter ended September 30, 2016 of $42.1 million, or $0.39 per diluted share. As further discussed below, net loss included a $37.7 million pre-tax loss ($27.5 million after-tax, or $0.26 per diluted share) resulting from the impairment of fixed assets included in Impairment expense below.</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4" w:name="page25"/>
    <w:bookmarkEnd w:id="24"/>
    <w:p>
      <w:pPr>
        <w:ind w:right="20" w:firstLine="324"/>
        <w:spacing w:after="0" w:line="297" w:lineRule="auto"/>
        <w:rPr>
          <w:sz w:val="20"/>
          <w:szCs w:val="20"/>
          <w:color w:val="auto"/>
        </w:rPr>
      </w:pPr>
      <w:r>
        <w:rPr>
          <w:rFonts w:ascii="Arial" w:cs="Arial" w:eastAsia="Arial" w:hAnsi="Arial"/>
          <w:sz w:val="16"/>
          <w:szCs w:val="16"/>
          <w:color w:val="auto"/>
        </w:rPr>
        <w:t>We reported net loss attributable to Civeo for the quarter ended September 30, 2015 of $107.7 million, or $1.01 per diluted share. As further discussed in Impairment expense below, net loss for the 2015 period included $43.2 million of after-tax charges, or $0.40 per diluted share, resulting from the impairment of goodwill in our Canadian reporting unit. Net loss for the 2015 period also included $46.9 million of after-tax charges, or $0.44 per diluted share, resulting from the impairment of fixed assets. Net loss for the 2015 period also included $1.0 million (or $0.01 per diluted share) in after-tax loss from costs incurred in connection with the Redomicile Transaction and $1.5 million (or $0.01 per diluted share) in an after-tax loss from the write off of debt issuance costs.</w:t>
      </w:r>
    </w:p>
    <w:p>
      <w:pPr>
        <w:spacing w:after="0" w:line="154" w:lineRule="exact"/>
        <w:rPr>
          <w:sz w:val="20"/>
          <w:szCs w:val="20"/>
          <w:color w:val="auto"/>
        </w:rPr>
      </w:pPr>
    </w:p>
    <w:p>
      <w:pPr>
        <w:ind w:right="80" w:firstLine="324"/>
        <w:spacing w:after="0" w:line="314"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decreased $2.3 million, or 2%, in the third quarter of 2016 compared to the third quarter of 2015. This decline was</w:t>
      </w:r>
      <w:r>
        <w:rPr>
          <w:rFonts w:ascii="Arial" w:cs="Arial" w:eastAsia="Arial" w:hAnsi="Arial"/>
          <w:sz w:val="16"/>
          <w:szCs w:val="16"/>
          <w:b w:val="1"/>
          <w:bCs w:val="1"/>
          <w:color w:val="auto"/>
        </w:rPr>
        <w:t xml:space="preserve"> </w:t>
      </w:r>
      <w:r>
        <w:rPr>
          <w:rFonts w:ascii="Arial" w:cs="Arial" w:eastAsia="Arial" w:hAnsi="Arial"/>
          <w:sz w:val="16"/>
          <w:szCs w:val="16"/>
          <w:color w:val="auto"/>
        </w:rPr>
        <w:t>largely driven by decreases in the U.S. and Australia, due to lower occupancy and activity levels. This was partially offset by increases in Canada as well as stronger Canadian and Australian dollars in 2016 compared to 2015. Please see the discussion of segment results of operations below for further information.</w:t>
      </w:r>
    </w:p>
    <w:p>
      <w:pPr>
        <w:spacing w:after="0" w:line="14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$1.8 million, or 3%, in the third quarter of 2016 compared to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2015, primarily due to decreases in the U.S. and Australia, due to lower occupancy and activity levels. This was partially offset by increases in Canada as well as stronger Canadian and Australian dollars in 2016 compared to 2015. Please see the discussion of segment results of operations below for further information.</w:t>
      </w:r>
    </w:p>
    <w:p>
      <w:pPr>
        <w:spacing w:after="0" w:line="18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(SG&amp;A) expense decreased $3.0 million, or 18%, in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2016 compared to the third quarter of 2015. This decrease was primarily due to reduced compensation as a result of workforce reductions in 2015 and 2016, lower professional fees due to lower costs associated with the Redomicile Transaction and lower incentive compensation costs. These items were partially offset by severance costs and higher share based compensation expense associated with phantom share awards. The increase in share based compensation is due to a smaller decrease in our share price during the 2016 period compared to the 2015 period, which is used to remeasure these awards at each reporting date.</w:t>
      </w:r>
    </w:p>
    <w:p>
      <w:pPr>
        <w:spacing w:after="0" w:line="188" w:lineRule="exact"/>
        <w:rPr>
          <w:sz w:val="20"/>
          <w:szCs w:val="20"/>
          <w:color w:val="auto"/>
        </w:rPr>
      </w:pPr>
    </w:p>
    <w:p>
      <w:pPr>
        <w:ind w:right="100" w:firstLine="324"/>
        <w:spacing w:after="0" w:line="313"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$2.5 million, or 7%, in the third quarter of 2016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third quarter of 2015, primarily due to reduced depreciation expense resulting from impairments recorded in 2015 and early 2016.</w:t>
      </w:r>
    </w:p>
    <w:p>
      <w:pPr>
        <w:spacing w:after="0" w:line="138"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$37.7 million in the third quarter of 2016 consisted of pre-tax impairment losses of $37.7 million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mobile camp assets and certain undeveloped land positions in the British Columbia LNG market in our Canadian segment.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Impairment expense of $110.7 million in the third quarter of 2015 consisted of the following items:</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 impairment losses of $43.2 million in our Canadian reporting unit;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Pre-tax impairment losses totaling $20.5 million associated with long-lived assets in our U.S. segment;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Pre-tax impairment losses totaling $24.0 million associated with long-lived assets in our Australian segment; and</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Pre-tax impairment losses totaling $23.0 million associated with long-lived assets in our Canadian segment, including $11.9 million related to assets that should have been impaired in the fourth quarter of 2014. We determined that the error was not material to our financial statements for the year ended December 31, 2014 and therefore corrected the error in the third quarter of 2015.</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see Note 5 - Impairment Charges to the notes to the unaudited consolidated financial statements of this quarterly report for further discussion.</w:t>
      </w:r>
    </w:p>
    <w:p>
      <w:pPr>
        <w:spacing w:after="0" w:line="244" w:lineRule="exact"/>
        <w:rPr>
          <w:sz w:val="20"/>
          <w:szCs w:val="20"/>
          <w:color w:val="auto"/>
        </w:rPr>
      </w:pPr>
    </w:p>
    <w:p>
      <w:pPr>
        <w:jc w:val="both"/>
        <w:ind w:right="100" w:firstLine="324"/>
        <w:spacing w:after="0" w:line="266" w:lineRule="auto"/>
        <w:rPr>
          <w:sz w:val="20"/>
          <w:szCs w:val="20"/>
          <w:color w:val="auto"/>
        </w:rPr>
      </w:pPr>
      <w:r>
        <w:rPr>
          <w:rFonts w:ascii="Arial" w:cs="Arial" w:eastAsia="Arial" w:hAnsi="Arial"/>
          <w:sz w:val="18"/>
          <w:szCs w:val="18"/>
          <w:b w:val="1"/>
          <w:bCs w:val="1"/>
          <w:color w:val="auto"/>
        </w:rPr>
        <w:t xml:space="preserve">Other Operating Expense (Income). </w:t>
      </w:r>
      <w:r>
        <w:rPr>
          <w:rFonts w:ascii="Arial" w:cs="Arial" w:eastAsia="Arial" w:hAnsi="Arial"/>
          <w:sz w:val="18"/>
          <w:szCs w:val="18"/>
          <w:color w:val="auto"/>
        </w:rPr>
        <w:t>Other operating expense (income) changed from income of $3.9 million in the third quarter of 2015 to expense of</w:t>
      </w:r>
      <w:r>
        <w:rPr>
          <w:rFonts w:ascii="Arial" w:cs="Arial" w:eastAsia="Arial" w:hAnsi="Arial"/>
          <w:sz w:val="18"/>
          <w:szCs w:val="18"/>
          <w:b w:val="1"/>
          <w:bCs w:val="1"/>
          <w:color w:val="auto"/>
        </w:rPr>
        <w:t xml:space="preserve"> </w:t>
      </w:r>
      <w:r>
        <w:rPr>
          <w:rFonts w:ascii="Arial" w:cs="Arial" w:eastAsia="Arial" w:hAnsi="Arial"/>
          <w:sz w:val="18"/>
          <w:szCs w:val="18"/>
          <w:color w:val="auto"/>
        </w:rPr>
        <w:t>$0.1 million in the third quarter of 2016. The income recognized in the third quarter of 2015 is primarily due to foreign currency gains on the remeasurement of U.S. dollar denominated cash in Canadian bank accounts as a result of the strengthening of the U.S. dollar.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right="360" w:firstLine="324"/>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decreased by $73.9 million, or 60%, in the third quarter of 2016 compared to the third quarter of 2015,</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impairment expense, as well as lower depreciation and amortization expense.</w:t>
      </w:r>
    </w:p>
    <w:p>
      <w:pPr>
        <w:spacing w:after="0" w:line="162" w:lineRule="exact"/>
        <w:rPr>
          <w:sz w:val="20"/>
          <w:szCs w:val="20"/>
          <w:color w:val="auto"/>
        </w:rPr>
      </w:pPr>
    </w:p>
    <w:p>
      <w:pPr>
        <w:ind w:right="180" w:firstLine="324"/>
        <w:spacing w:after="0" w:line="313"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decreased by $1.3 million, or 18%, in the third quarter of 2016 compared to the third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2015, primarily due to the 2015 write-off of $1.5 million of debt issuance costs associated with the Amended Credit Facility.</w:t>
      </w:r>
    </w:p>
    <w:p>
      <w:pPr>
        <w:spacing w:after="0" w:line="138" w:lineRule="exact"/>
        <w:rPr>
          <w:sz w:val="20"/>
          <w:szCs w:val="20"/>
          <w:color w:val="auto"/>
        </w:rPr>
      </w:pPr>
    </w:p>
    <w:p>
      <w:pPr>
        <w:ind w:right="320" w:firstLine="324"/>
        <w:spacing w:after="0" w:line="347" w:lineRule="auto"/>
        <w:rPr>
          <w:sz w:val="20"/>
          <w:szCs w:val="20"/>
          <w:color w:val="auto"/>
        </w:rPr>
      </w:pPr>
      <w:r>
        <w:rPr>
          <w:rFonts w:ascii="Arial" w:cs="Arial" w:eastAsia="Arial" w:hAnsi="Arial"/>
          <w:sz w:val="16"/>
          <w:szCs w:val="16"/>
          <w:b w:val="1"/>
          <w:bCs w:val="1"/>
          <w:color w:val="auto"/>
        </w:rPr>
        <w:t xml:space="preserve">Other Income. </w:t>
      </w:r>
      <w:r>
        <w:rPr>
          <w:rFonts w:ascii="Arial" w:cs="Arial" w:eastAsia="Arial" w:hAnsi="Arial"/>
          <w:sz w:val="16"/>
          <w:szCs w:val="16"/>
          <w:color w:val="auto"/>
        </w:rPr>
        <w:t>Other income increased by $1.1 million, or 413%, in the third quarter of 2016 compared to the third quarter of 2015, primarily due to</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from an unconsolidated investment related to the engineering and planning work performed for LNGC’s accommodation center in Kitimat.</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three months ended September 30, 2016 totaled $11.7 million, or 21.8% of pre-tax income,</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a benefit of $22.7 million, or 17.5% of pre-tax income, for the three months ended September 30, 2015. Our effective tax rate in 2016 was lower than the Canadian statutory rate of 27% primarily due to the exclusion of Australia and U.S. for purposes of computing the interim tax provision since they are loss jurisdictions for tax accounting purposes. In addition, the effective tax rate for the three months ended September 30, 2016 was impacted by a reduction in the 2016 annual effective tax rate from June 30, 2016 to September 30, 2016 due to changes in estimated taxable loss. Under ASC 740-270, Accounting for Income Taxes, the quarterly tax provision is based on our current estimate of the annual effective tax rate less the prior quarter’s year-to-date tax provision.</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For the three months ended September 30, 2015, our effective tax rate of 18.6% was lower than the Canadian statutory rate in part due to the exclusion of the U.S. for purposes of computing the interim tax provision. In addition, the rate was impacted by the following items: (i) an income tax expense of approximately $10 million related to unrecognized tax benefits; and (ii) an income tax expense of approximately $12 million resulting from the impairment of goodwill not deductible for tax purposes. Finally, during the third quarter of 2015, management determined that, based on evidence available as of September 30, 2015, it was not more likely than not that the U.S. net operating loss would be realized. This evidence was largely comprised of the reversal of the U.S. jurisdiction from a net deferred tax liability as of December 31, 2014 to a net deferred tax asset as of September 30, 2015. Deferred tax assets generated in 2015 were realized to the extent of the net deferred tax liabilities as of December 31, 2014, resulting in a tax benefit of approximately $20 million. A valuation allowance has been recorded discretely in the third quarter on the remaining deferred tax assets generated in 2015, with the result of no further tax benefit from the U.S. pretax losses.</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 xml:space="preserve">Other Comprehensive Income (Loss). </w:t>
      </w:r>
      <w:r>
        <w:rPr>
          <w:rFonts w:ascii="Arial" w:cs="Arial" w:eastAsia="Arial" w:hAnsi="Arial"/>
          <w:sz w:val="17"/>
          <w:szCs w:val="17"/>
          <w:color w:val="auto"/>
        </w:rPr>
        <w:t>Other comprehensive income increased $88.9 million in the third quarter of 2016 compared to the third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of 2015, primarily as a result of foreign currency translation adjustments due to changes in the Canadian and Australian dollar exchange rates compared to the U.S. dollar. The Canadian dollar exchange rate compared to the U.S. dollar decreased 1% from June 30, 2016 to September 30, 2016 compared to a 7% decrease from June 30, 2015 to September 30, 2015. The Australian dollar exchange rate compared to the U.S. dollar increased 3% from June 30, 2016 to September 30,2016 compared to a 9% decrease from June 30, 2015 to September 30, 2015.</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jc w:val="right"/>
              <w:ind w:right="670"/>
              <w:spacing w:after="0"/>
              <w:rPr>
                <w:sz w:val="20"/>
                <w:szCs w:val="20"/>
                <w:color w:val="auto"/>
              </w:rPr>
            </w:pPr>
            <w:r>
              <w:rPr>
                <w:rFonts w:ascii="Arial" w:cs="Arial" w:eastAsia="Arial" w:hAnsi="Arial"/>
                <w:sz w:val="18"/>
                <w:szCs w:val="18"/>
                <w:b w:val="1"/>
                <w:bCs w:val="1"/>
                <w:i w:val="1"/>
                <w:iCs w:val="1"/>
                <w:color w:val="auto"/>
                <w:w w:val="85"/>
              </w:rPr>
              <w:t>Segment Results of Operations – Canadian Segment</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4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61,712</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55,708</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11,827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4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73,539</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71,500</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4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50,571</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49,652</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14,670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13,433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Rentable rooms for lodges (3)</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10,588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9,445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Average daily rate for lodges (4)</w:t>
            </w:r>
          </w:p>
        </w:tc>
        <w:tc>
          <w:tcPr>
            <w:tcW w:w="14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Occupancy in lodges (5)</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4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0.766</w:t>
            </w:r>
          </w:p>
        </w:tc>
        <w:tc>
          <w:tcPr>
            <w:tcW w:w="16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0.764</w:t>
            </w:r>
          </w:p>
        </w:tc>
        <w:tc>
          <w:tcPr>
            <w:tcW w:w="18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40" w:type="dxa"/>
            <w:vAlign w:val="bottom"/>
            <w:gridSpan w:val="2"/>
          </w:tcPr>
          <w:p>
            <w:pPr>
              <w:jc w:val="right"/>
              <w:ind w:right="2770"/>
              <w:spacing w:after="0"/>
              <w:rPr>
                <w:sz w:val="20"/>
                <w:szCs w:val="20"/>
                <w:color w:val="auto"/>
              </w:rPr>
            </w:pPr>
            <w:r>
              <w:rPr>
                <w:rFonts w:ascii="Arial" w:cs="Arial" w:eastAsia="Arial" w:hAnsi="Arial"/>
                <w:sz w:val="18"/>
                <w:szCs w:val="18"/>
                <w:color w:val="auto"/>
              </w:rPr>
              <w:t>____________</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33"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Canadian segment reported revenues in the third quarter of 2016 that were $2.0 million, or 3%, higher than the third quarter of 2015. This increase was driven by higher lodge occupancy due to the continued room needs related to the Fort McMurray fires, partially offset by lower room rates and declines in mobile, open camp and product revenues due to overall lower activity levels in the Canadian oil sands. The average exchange rates for the Canadian dollar relative to the U.S. dollar had minimal impact on revenues in the third quarter of 2016 compared to the third quarter of 2015.</w:t>
      </w:r>
    </w:p>
    <w:p>
      <w:pPr>
        <w:spacing w:after="0" w:line="154"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Our Canadian segment cost of sales and services increased $0.9 million, or 2%, in the third quarter of 2016 compared to the third quarter of 2015 primarily due to the increased lodge activity.</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Canadian segment gross margin as a percentage of revenues increased from 30% in the third quarter of 2015 to 31% in the third quarter of 2016. This increase was driven by an increase in occupancy due to the continued room needs related to the Fort McMurray fires and lower costs due to a focus on cost containment and operational efficiencies, partially offset by lower room rates.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jc w:val="right"/>
              <w:ind w:right="450"/>
              <w:spacing w:after="0"/>
              <w:rPr>
                <w:sz w:val="20"/>
                <w:szCs w:val="20"/>
                <w:color w:val="auto"/>
              </w:rPr>
            </w:pPr>
            <w:r>
              <w:rPr>
                <w:rFonts w:ascii="Arial" w:cs="Arial" w:eastAsia="Arial" w:hAnsi="Arial"/>
                <w:sz w:val="18"/>
                <w:szCs w:val="18"/>
                <w:b w:val="1"/>
                <w:bCs w:val="1"/>
                <w:i w:val="1"/>
                <w:iCs w:val="1"/>
                <w:color w:val="auto"/>
                <w:w w:val="85"/>
              </w:rPr>
              <w:t>Segment Results of Operations – Australian Segment</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5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27,679</w:t>
            </w:r>
          </w:p>
        </w:tc>
        <w:tc>
          <w:tcPr>
            <w:tcW w:w="16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29,177</w:t>
            </w:r>
          </w:p>
        </w:tc>
        <w:tc>
          <w:tcPr>
            <w:tcW w:w="20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27,679</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13,441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5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80" w:type="dxa"/>
            <w:vAlign w:val="bottom"/>
            <w:gridSpan w:val="2"/>
          </w:tcPr>
          <w:p>
            <w:pPr>
              <w:jc w:val="right"/>
              <w:ind w:right="2610"/>
              <w:spacing w:after="0"/>
              <w:rPr>
                <w:sz w:val="20"/>
                <w:szCs w:val="20"/>
                <w:color w:val="auto"/>
              </w:rPr>
            </w:pPr>
            <w:r>
              <w:rPr>
                <w:rFonts w:ascii="Arial" w:cs="Arial" w:eastAsia="Arial" w:hAnsi="Arial"/>
                <w:sz w:val="18"/>
                <w:szCs w:val="18"/>
                <w:color w:val="auto"/>
              </w:rPr>
              <w:t>____________</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33"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Australian segment reported revenues in the third quarter of 2016 that were $1.5 million, or 5%, lower than the third quarter of 2015. The strengthening of the average exchange rates for Australian dollars relative to the U.S. dollar by 5% in the third quarter of 2016 compared to the third quarter of 2015 resulted in a $1.2 million period-over-period increase in revenues. Excluding the impact of the stronger Australian exchange rates, the Australian segment experienced a 9% decline in revenues due to lower occupancy levels in the third quarter of 2016 compared to the third quarter of 2015, primarily as a result of the continued slowdown in mining activity.</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Australian segment cost of sales decreased $0.5 million, or 4%, in the third quarter of 2016 compared to the third quarter of 2015. The decrease was driven by lower occupancy levels in the third quarter of 2016 compared to the third quarter of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Australian segment gross margin as a percentage of revenues decreased to 51% in the third quarter of 2016 from 52% in the third quarter of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driven by reduced take or pay revenues on expired contracts and lower occupancy compared to the third quarter of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Segment Results of Operations – United States Segment</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5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8"/>
              </w:rPr>
              <w:t>5,867</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8"/>
              </w:rPr>
              <w:t>6,112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4"/>
              </w:rPr>
              <w:t>(4.2%)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United States segment reported revenues in the third quarter of 2016 that were $2.8 million, or 49%, lower than the third quarter of 2015. The reduction was primarily due to lower U.S. drilling activity in the Bakken, Rockies and Texas markets.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 w:name="page29"/>
    <w:bookmarkEnd w:id="28"/>
    <w:p>
      <w:pPr>
        <w:ind w:right="360" w:firstLine="324"/>
        <w:spacing w:after="0" w:line="277" w:lineRule="auto"/>
        <w:rPr>
          <w:sz w:val="20"/>
          <w:szCs w:val="20"/>
          <w:color w:val="auto"/>
        </w:rPr>
      </w:pPr>
      <w:r>
        <w:rPr>
          <w:rFonts w:ascii="Arial" w:cs="Arial" w:eastAsia="Arial" w:hAnsi="Arial"/>
          <w:sz w:val="18"/>
          <w:szCs w:val="18"/>
          <w:color w:val="auto"/>
        </w:rPr>
        <w:t>Our United States cost of sales decreased $2.2 million, or 35%, in the third quarter of 2016 compared to the third quarter of 2015. The decrease was driven by overall lower activity levels.</w:t>
      </w:r>
    </w:p>
    <w:p>
      <w:pPr>
        <w:spacing w:after="0" w:line="170"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Our United States segment gross margin as a percentage of revenues decreased from (4%) in the third quarter of 2015 to (31%) in the third quarter of 2016 primarily due to overall lower activity levels, which were insufficient to cover the fixed cost structure of our United States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Nine Months Ended September 30, 2016 Compared to Nine Months Ended September 30, 2015</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8"/>
          </w:tcPr>
          <w:p>
            <w:pPr>
              <w:jc w:val="center"/>
              <w:ind w:left="830"/>
              <w:spacing w:after="0"/>
              <w:rPr>
                <w:sz w:val="20"/>
                <w:szCs w:val="20"/>
                <w:color w:val="auto"/>
              </w:rPr>
            </w:pPr>
            <w:r>
              <w:rPr>
                <w:rFonts w:ascii="Arial" w:cs="Arial" w:eastAsia="Arial" w:hAnsi="Arial"/>
                <w:sz w:val="18"/>
                <w:szCs w:val="18"/>
                <w:b w:val="1"/>
                <w:bCs w:val="1"/>
                <w:color w:val="auto"/>
              </w:rPr>
              <w:t>NINE MONTHS ENDED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7"/>
              </w:rPr>
              <w:t>SEPTEMBER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Canada</w:t>
            </w:r>
          </w:p>
        </w:tc>
        <w:tc>
          <w:tcPr>
            <w:tcW w:w="6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216,168</w:t>
            </w:r>
          </w:p>
        </w:tc>
        <w:tc>
          <w:tcPr>
            <w:tcW w:w="12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278,472</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306,309</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420,678</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145,914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184,733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13,487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198,493</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262,086</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w w:val="98"/>
              </w:rPr>
              <w:t>Selling, general and administrative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42,056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122,926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(76,797)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(5,188)</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387,478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552,779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(165,301)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(81,169)</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(132,101)</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(17,103)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(17,384)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(97,214)</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(147,660)</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(79,997)</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(120,209)</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w w:val="99"/>
              </w:rPr>
              <w:t>Less: Net income attributable to noncontrolling</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(80,439)</w:t>
            </w:r>
          </w:p>
        </w:tc>
        <w:tc>
          <w:tcPr>
            <w:tcW w:w="36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(121,162)</w:t>
            </w:r>
          </w:p>
        </w:tc>
        <w:tc>
          <w:tcPr>
            <w:tcW w:w="34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reported net loss attributable to Civeo for the nine months ended September 30, 2016 of $80.4 million, or $0.75 per diluted share. As further discussed below, net loss included (i) an $46.1 million pre-tax loss ($35.9 million after-tax, or $0.34 per diluted share) resulting from the impairment of fixed assets, included in Impairment expense, and (ii) a $1.3 million pre-tax loss ($1.2 million after-tax, or $0.01 per diluted share) from costs incurred in connection with the Redomicile Transaction, included in Selling, general and administrative (SG&amp;A) expense below.</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results compare to net loss attributable to Civeo for the nine months ended September 30, 2015 of $121.2 million, or $1.14 per diluted share. As further discussed in Impairment expense below, net loss for the 2015 period included $43.2 million of after-tax charges, or $0.40 per diluted share, resulting from the impairment of goodwill in our Canadian reporting unit. Net loss for the 2015 period also included $56.0 million of after-tax charges, or $0.52 per diluted share, resulting from the impairment of fixed assets. Net loss for 2015 also included $3.4 million (or $0.04 per diluted share) in after-tax loss from costs incurred in connection with the Redomicile Transaction and $1.5 million (or $0.01 per diluted share) in an after-tax loss from the write off of debt issuance costs.</w:t>
      </w:r>
    </w:p>
    <w:p>
      <w:pPr>
        <w:spacing w:after="0" w:line="189"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decreased $114.4 million, or 27%, in the nine months ended September 30, 2016 compared to the nine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2015. This decline was largely driven by decreases in Canada, Australia and the U.S. due to lower occupancy, as well as weaker Canadian and Australian dollars in 2016 compared to 2015. Please see the discussion of segment results of operations below for further information.</w:t>
      </w:r>
    </w:p>
    <w:p>
      <w:pPr>
        <w:spacing w:after="0" w:line="142"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$63.6 million, or 24%, in the nine months ended September 30, 2016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2015, primarily due to decreases in occupancy in both Canada and Australia, as well as the weaker Canadian and Australian dollars in the nine months ended September 30, 2016 compared to the same period in 2015. Please see the discussion of segment results of operations below for further information.</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9" w:name="page30"/>
    <w:bookmarkEnd w:id="29"/>
    <w:p>
      <w:pPr>
        <w:ind w:right="40" w:firstLine="324"/>
        <w:spacing w:after="0" w:line="274"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decreased $9.7 million, or 19%, in the nine months ended September 30, 2016</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nine months ended September 30, 2015. This decrease was primarily due to reduced compensation as a result of workforce reductions in 2015 and 2016, lower professional fees due to lower costs associated with the Redomicile Transaction, lower bad debt reserves when compared to 2015, lower incentive compensation costs and the impact of the weaker Canadian and Australian dollars. These items were partially offset by higher share based compensation expense associated with phantom share awards. The increase in share based compensation is due to a smaller decrease in our share price during the period, which is used to remeasure these awards at each reporting date.</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$20.7 million, or 17%, in the nine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2016 compared to the nine months ended September 30, 2015 primarily due to reduced depreciation expense resulting from impairments recorded in 2015 as well as the impact of the weaker Canadian and Australian dollars.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$46.1 million in the nine months ended September 30, 2016 consisted of:</w:t>
      </w:r>
    </w:p>
    <w:p>
      <w:pPr>
        <w:spacing w:after="0" w:line="229" w:lineRule="exact"/>
        <w:rPr>
          <w:sz w:val="20"/>
          <w:szCs w:val="20"/>
          <w:color w:val="auto"/>
        </w:rPr>
      </w:pPr>
    </w:p>
    <w:p>
      <w:pPr>
        <w:ind w:left="980" w:right="1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Pre-tax impairment losses of $37.7 million related to mobile camp assets and certain undeveloped land positions in the British Columbia LNG market in our Canadian segment;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Pre-tax impairment losses of $8.4 million related to the impairment of fixed assets in our U.S.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Impairment expense of $122.9 million in the nine months ended September 30, 2015 consisted of:</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Pre-tax impairment losses of $33.5 million related to fixed assets in our Australian segment;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Pre-tax impairment totaling $2.7 million in 2015 related to a decision to sell our U.S. manufacturing facility;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impairment losses of $43.2 million in our Canadian reporting unit;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Pre-tax impairment losses totaling $20.5 million associated with long-lived assets in our U.S. segment;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Pre-tax impairment losses totaling $23.0 million associated with long-lived assets in our Canadian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see Note 5 - Impairment Charges to the notes to the unaudited consolidated financial statements of this quarterly report for further discussion.</w:t>
      </w:r>
    </w:p>
    <w:p>
      <w:pPr>
        <w:spacing w:after="0" w:line="244" w:lineRule="exact"/>
        <w:rPr>
          <w:sz w:val="20"/>
          <w:szCs w:val="20"/>
          <w:color w:val="auto"/>
        </w:rPr>
      </w:pPr>
    </w:p>
    <w:p>
      <w:pPr>
        <w:ind w:right="80" w:firstLine="324"/>
        <w:spacing w:after="0" w:line="289" w:lineRule="auto"/>
        <w:rPr>
          <w:sz w:val="20"/>
          <w:szCs w:val="20"/>
          <w:color w:val="auto"/>
        </w:rPr>
      </w:pPr>
      <w:r>
        <w:rPr>
          <w:rFonts w:ascii="Arial" w:cs="Arial" w:eastAsia="Arial" w:hAnsi="Arial"/>
          <w:sz w:val="17"/>
          <w:szCs w:val="17"/>
          <w:b w:val="1"/>
          <w:bCs w:val="1"/>
          <w:color w:val="auto"/>
        </w:rPr>
        <w:t xml:space="preserve">Other Operating Expense (Income). </w:t>
      </w:r>
      <w:r>
        <w:rPr>
          <w:rFonts w:ascii="Arial" w:cs="Arial" w:eastAsia="Arial" w:hAnsi="Arial"/>
          <w:sz w:val="17"/>
          <w:szCs w:val="17"/>
          <w:color w:val="auto"/>
        </w:rPr>
        <w:t>Other operating expense (income) changed from income of $5.2 million for the nine months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2015 to an expense of $0.4 million in the nine months ended September 30, 2016. The 2015 income is primarily due to foreign currency gains on the remeasurement of U.S. dollar denominated cash in Canadian bank accounts as a result of the strengthening of the U.S. dollar.</w:t>
      </w:r>
    </w:p>
    <w:p>
      <w:pPr>
        <w:spacing w:after="0" w:line="158" w:lineRule="exact"/>
        <w:rPr>
          <w:sz w:val="20"/>
          <w:szCs w:val="20"/>
          <w:color w:val="auto"/>
        </w:rPr>
      </w:pPr>
    </w:p>
    <w:p>
      <w:pPr>
        <w:ind w:right="220" w:firstLine="324"/>
        <w:spacing w:after="0" w:line="266"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decreased $50.9 million, or 39%, in the nine months ended September 30, 2016 compared to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2015 primarily due to lower impairment expense in the 2016 period, partially offset by lower occupancy levels in Canada and Australia and the weaker Canadian and Australian dollars.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ind w:right="160" w:firstLine="324"/>
        <w:spacing w:after="0" w:line="258"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decreased by $0.3 million, or 2%, in the nine months ended September 30, 2016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September 30, 2015 primarily due to decreased interest expense associated with lower amounts outstanding under the Amended Credit Facility and the 2015 write-off of $1.5 million of debt issuance costs associated with the Amended Credit Facility. This was partially offset by decreased interest income due to lower average cash balances in 2016 as compared to 2015 and lower capitalized interest due to no similar projects in 2016.</w:t>
      </w:r>
    </w:p>
    <w:p>
      <w:pPr>
        <w:spacing w:after="0" w:line="23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nine months ended September 30, 2016 totaled $17.2 million, or 17.7% of pre-tax income,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a benefit of $27.5 million, or 18.6% of pre-tax income, for the nine months ended September 30, 2015. Our effective tax rate in 2016 was lower than the Canadian statutory rate of 27% primarily due to the exclusion of Australia and U.S. for purposes of computing the interim tax provision since they are loss jurisdictions for tax accounting purposes.</w:t>
      </w:r>
    </w:p>
    <w:p>
      <w:pPr>
        <w:spacing w:after="0" w:line="18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For the nine months ended September 30, 2015, our effective tax rate of 18.6% was lower than the Canadian statutory rate in part due to the exclusion of the U.S. for purposes of computing the interim tax provision. In addition, the rate was impacted by the following items: (i) an income tax expense of approximately $10 million related to unrecognized tax benefits; (ii) an income tax expense of approximately $12 million resulting from the impairment of goodwill not deductible for tax purposes; and (iii) an income tax expense of approximately $2.7 million related to an increase in statutory tax rates in Alberta, Canada included in our 2015 tax benefit. Finally, during the third quarter of 2015, management determined that, based on evidence available as of September 30, 2015, it was not more likely than not that the U.S. net operating loss would be realized. This evidence was largely comprised of the reversal of the U.S. jurisdiction from a net deferred tax liability as of December 31, 2014 to a net deferred tax asset as of September 30, 2015. Deferred tax assets generated in 2015 were realized to the extent of the net deferred tax liabilities as of December 31, 2014, resulting in a tax benefit of approximately $20 million. A valuation allowance has been recorded discretely in the third quarter on the remaining deferred tax assets generated in 2015, with the result of no further tax benefit from the U.S. pretax losses.</w:t>
      </w:r>
    </w:p>
    <w:p>
      <w:pPr>
        <w:spacing w:after="0" w:line="174" w:lineRule="exact"/>
        <w:rPr>
          <w:sz w:val="20"/>
          <w:szCs w:val="20"/>
          <w:color w:val="auto"/>
        </w:rPr>
      </w:pPr>
    </w:p>
    <w:p>
      <w:pPr>
        <w:jc w:val="both"/>
        <w:ind w:right="100" w:firstLine="324"/>
        <w:spacing w:after="0" w:line="298"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income increased $198.5 million in the nine months ended September 30, 2016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nine months ended September 30, 2015 primarily as a result of foreign currency translation adjustments due to changes in the Canadian and Australian dollar exchange rates compared to the U.S. dollar. The Canadian dollar exchange rate compared to the U.S. dollar increased 6% from December 31, 2015 to September 30, 2016 compared to a 13% decrease from December 31, 2014 to September 30, 2015. The Australian dollar exchange rate compared to the U.S. dollar increased 5% from December 31, 2015 to September 30, 2016 compared to a 14% decrease from December 31, 2014 to September 30, 2015.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jc w:val="right"/>
              <w:ind w:right="690"/>
              <w:spacing w:after="0"/>
              <w:rPr>
                <w:sz w:val="20"/>
                <w:szCs w:val="20"/>
                <w:color w:val="auto"/>
              </w:rPr>
            </w:pPr>
            <w:r>
              <w:rPr>
                <w:rFonts w:ascii="Arial" w:cs="Arial" w:eastAsia="Arial" w:hAnsi="Arial"/>
                <w:sz w:val="18"/>
                <w:szCs w:val="18"/>
                <w:b w:val="1"/>
                <w:bCs w:val="1"/>
                <w:i w:val="1"/>
                <w:iCs w:val="1"/>
                <w:color w:val="auto"/>
                <w:w w:val="85"/>
              </w:rPr>
              <w:t>Segment Results of Operations – Canadian Segment</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4"/>
          </w:tcPr>
          <w:p>
            <w:pPr>
              <w:ind w:left="6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182,899</w:t>
            </w:r>
          </w:p>
        </w:tc>
        <w:tc>
          <w:tcPr>
            <w:tcW w:w="1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213,896</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(30,997)</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33,269</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64,576</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(31,307)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216,168</w:t>
            </w:r>
          </w:p>
        </w:tc>
        <w:tc>
          <w:tcPr>
            <w:tcW w:w="1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278,472</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(62,304)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145,914</w:t>
            </w:r>
          </w:p>
        </w:tc>
        <w:tc>
          <w:tcPr>
            <w:tcW w:w="1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184,733</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(38,819)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14,647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13,294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Rentable rooms for lodges (3)</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Average daily rate for lodges (4)</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Occupancy in lodges (5)</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0.757</w:t>
            </w:r>
          </w:p>
        </w:tc>
        <w:tc>
          <w:tcPr>
            <w:tcW w:w="18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0.795</w:t>
            </w:r>
          </w:p>
        </w:tc>
        <w:tc>
          <w:tcPr>
            <w:tcW w:w="20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(0.038)</w:t>
            </w:r>
          </w:p>
        </w:tc>
        <w:tc>
          <w:tcPr>
            <w:tcW w:w="0" w:type="dxa"/>
            <w:vAlign w:val="bottom"/>
          </w:tcPr>
          <w:p>
            <w:pPr>
              <w:spacing w:after="0"/>
              <w:rPr>
                <w:sz w:val="1"/>
                <w:szCs w:val="1"/>
                <w:color w:val="auto"/>
              </w:rPr>
            </w:pPr>
          </w:p>
        </w:tc>
      </w:tr>
      <w:tr>
        <w:trPr>
          <w:trHeight w:val="418"/>
        </w:trPr>
        <w:tc>
          <w:tcPr>
            <w:tcW w:w="4660" w:type="dxa"/>
            <w:vAlign w:val="bottom"/>
            <w:gridSpan w:val="2"/>
          </w:tcPr>
          <w:p>
            <w:pPr>
              <w:jc w:val="right"/>
              <w:ind w:right="2790"/>
              <w:spacing w:after="0"/>
              <w:rPr>
                <w:sz w:val="20"/>
                <w:szCs w:val="20"/>
                <w:color w:val="auto"/>
              </w:rPr>
            </w:pPr>
            <w:r>
              <w:rPr>
                <w:rFonts w:ascii="Arial" w:cs="Arial" w:eastAsia="Arial" w:hAnsi="Arial"/>
                <w:sz w:val="18"/>
                <w:szCs w:val="18"/>
                <w:color w:val="auto"/>
              </w:rPr>
              <w:t>____________</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33"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Canadian segment reported revenues in the nine months ended September 30, 2016 that were $62.3 million, or 22%, lower than the nine months ended September 30, 2015. The weakening of the average exchange rates for the Canadian dollar relative to the U.S. dollar by 5% in the nine months ended September 30, 2016 compared to the nine months ended September 30, 2015 resulted in a $10.5 million year-over-year reduction in revenues. In addition, excluding the impact of the weaker Canadian exchange rates, the segment experienced a 10% decline in lodge revenues, primarily due to lower room rates. Finally, mobile, open camp and product revenues all declined due to overall lower activity levels.</w:t>
      </w:r>
    </w:p>
    <w:p>
      <w:pPr>
        <w:spacing w:after="0" w:line="173"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Our Canadian segment cost of sales and services decreased $38.8 million, or 21%, in the nine months ended September 30, 2016 compared to the nine months ended September 30, 2015, primarily due to lower occupancy, as well as the weakening of the average exchange rates.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Canadian segment gross margin as a percentage of revenues decreased from 34% in the nine months ended September 30, 2015 to 33% in the nine months ended September 30, 2016 primarily due to lower contracted room rates, partially offset by continued room needs related to the Fort McMurray fires and lower costs due to a focus on cost containment and operational efficiencies.</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jc w:val="right"/>
              <w:ind w:right="490"/>
              <w:spacing w:after="0"/>
              <w:rPr>
                <w:sz w:val="20"/>
                <w:szCs w:val="20"/>
                <w:color w:val="auto"/>
              </w:rPr>
            </w:pPr>
            <w:r>
              <w:rPr>
                <w:rFonts w:ascii="Arial" w:cs="Arial" w:eastAsia="Arial" w:hAnsi="Arial"/>
                <w:sz w:val="18"/>
                <w:szCs w:val="18"/>
                <w:b w:val="1"/>
                <w:bCs w:val="1"/>
                <w:i w:val="1"/>
                <w:iCs w:val="1"/>
                <w:color w:val="auto"/>
                <w:w w:val="85"/>
              </w:rPr>
              <w:t>Segment Results of Operations – Australian Segment</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4"/>
          </w:tcPr>
          <w:p>
            <w:pPr>
              <w:ind w:left="6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5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80,694</w:t>
            </w:r>
          </w:p>
        </w:tc>
        <w:tc>
          <w:tcPr>
            <w:tcW w:w="18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109,304</w:t>
            </w:r>
          </w:p>
        </w:tc>
        <w:tc>
          <w:tcPr>
            <w:tcW w:w="20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(28,610)</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80,694</w:t>
            </w: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109,304</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39,092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47,690</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0.763</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(0.021)</w:t>
            </w:r>
          </w:p>
        </w:tc>
        <w:tc>
          <w:tcPr>
            <w:tcW w:w="0" w:type="dxa"/>
            <w:vAlign w:val="bottom"/>
          </w:tcPr>
          <w:p>
            <w:pPr>
              <w:spacing w:after="0"/>
              <w:rPr>
                <w:sz w:val="1"/>
                <w:szCs w:val="1"/>
                <w:color w:val="auto"/>
              </w:rPr>
            </w:pPr>
          </w:p>
        </w:tc>
      </w:tr>
      <w:tr>
        <w:trPr>
          <w:trHeight w:val="432"/>
        </w:trPr>
        <w:tc>
          <w:tcPr>
            <w:tcW w:w="4520" w:type="dxa"/>
            <w:vAlign w:val="bottom"/>
            <w:gridSpan w:val="2"/>
          </w:tcPr>
          <w:p>
            <w:pPr>
              <w:jc w:val="right"/>
              <w:ind w:right="2650"/>
              <w:spacing w:after="0"/>
              <w:rPr>
                <w:sz w:val="20"/>
                <w:szCs w:val="20"/>
                <w:color w:val="auto"/>
              </w:rPr>
            </w:pPr>
            <w:r>
              <w:rPr>
                <w:rFonts w:ascii="Arial" w:cs="Arial" w:eastAsia="Arial" w:hAnsi="Arial"/>
                <w:sz w:val="18"/>
                <w:szCs w:val="18"/>
                <w:color w:val="auto"/>
              </w:rPr>
              <w:t>____________</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33"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Australian segment reported revenues in the nine months ended September 30, 2016 that were $28.6 million, or 26%, lower than the nine months ended September 30, 2015. The weakening of the average exchange rates for Australian dollars relative to the U.S. dollar by 3% in the nine months ended September 30, 2016 compared to the nine months ended September 30, 2015 resulted in a $2.3 million year-over-year reduction in revenues. Excluding the impact of the weaker Australian exchange rates, the segment experienced a 24% decline in revenues due to lower occupancy levels in the nine months ended September 30, 2016 compared to the nine months ended September 30, 2015, primarily as a result of the continued slowdown in mining activity.</w:t>
      </w:r>
    </w:p>
    <w:p>
      <w:pPr>
        <w:spacing w:after="0" w:line="158"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Australian segment cost of sales decreased $8.6 million, or 18%, in the nine months ended September 30, 2016 compared to the nine months ended September 30, 2015. The decrease was driven by lower occupancy levels as well as the weakening of the Australian dollar.</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Australian segment gross margin as a percentage of revenues decreased to 52% in the nine months ended September 30, 2016 from 56% in the nine months ended September 30, 2015. This was primarily driven by reduced take or pay revenues on expired contracts and lower occupancy compared to the nine months ended September 30, 2015.</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Segment Results of Operations – United States Segment</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Nine Months Ended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5"/>
              </w:rPr>
              <w:t>September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32,902</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(23,455)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13,487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29,663</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Our United States segment reported revenues in the nine months ended September 30, 2016 that were $23.5 million, or 71%, lower than the nine months ended September 30, 2015. The reduction was primarily due to lower U.S. drilling activity in the Bakken, Rockies and Texas markets and decreased sales in our offshore business.</w:t>
      </w:r>
    </w:p>
    <w:p>
      <w:pPr>
        <w:spacing w:after="0" w:line="18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Our United States cost of sales decreased $16.2 million, or 55%, in the nine months ended September 30, 2016 compared to the nine months ended September 30, 2015. The decrease was driven by overall lower activity levels.</w:t>
      </w:r>
    </w:p>
    <w:p>
      <w:pPr>
        <w:spacing w:after="0" w:line="170"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Our United States segment gross margin as a percentage of revenues decreased from 10% in the nine months ended September 30, 2015 to (43%) in the nine months ended September 30, 2016, primarily due to overall lower activity levels, which were insufficient to cover the fixed cost structure of our United States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and borrowings under our credit facility. The following table summarizes our consolidated liquidity position as of September 30, 2016 and December 31, 2015:</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Lender commitments </w:t>
            </w:r>
            <w:r>
              <w:rPr>
                <w:rFonts w:ascii="Arial" w:cs="Arial" w:eastAsia="Arial" w:hAnsi="Arial"/>
                <w:sz w:val="24"/>
                <w:szCs w:val="24"/>
                <w:color w:val="auto"/>
                <w:vertAlign w:val="superscript"/>
              </w:rPr>
              <w:t>(1)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Reductions in availability </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(125,040)</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(121,690)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against revolver capacity</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(49,258)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(52,020)</w:t>
            </w: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Outstanding letters of credit</w:t>
            </w: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(1,618)</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(5,070)</w:t>
            </w: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174,084</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8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A$0.8 million and A$1.3 million under this facility outstanding as of September 30, 2016 and December 31, 2015, respectively.</w:t>
      </w:r>
    </w:p>
    <w:p>
      <w:pPr>
        <w:spacing w:after="0" w:line="183"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September 30, 2016 and December 31, 2015, $125.0 million and $121.7 million, respectively, of our borrowing capacity under our Amended Credit Facility could not be utilized in order to maintain compliance with the maximum leverage ratio financial covenant in our Amended Credit Facility.</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Cash totaling $48.8 million was provided by operations during the nine months ended September 30, 2016 compared to $174.9 million provided by operations during the nine months ended September 30, 2015. The decrease in operating cash flow in 2016 compared to 2015 was primarily due to lower revenue resulting from occupancy levels in lodges and villages. Net cash used in changes in operating assets and liabilities was $1.0 million during the nine months ended September 30, 2016 compared to net cash provided by changes in operating assets and liabilities of $78.0 million during the nine months ended September 30, 2015. The decrease was primarily the result of decreasing accounts receivable balances during the nine months ended September 30, 2015 as compared to increasing balances during the same period in 2016.</w:t>
      </w:r>
    </w:p>
    <w:p>
      <w:pPr>
        <w:spacing w:after="0" w:line="193"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Cash was used in investing activities during the nine months ended September 30, 2016 in the amount of $11.5 million compared to cash used in investing activities during the nine months ended September 30, 2015 in the amount of $41.4 million. Capital expenditures totaled $15.2 million and $43.7 million during the nine months ended September 30, 2016 and 2015, respectively. Capital expenditures in the nine months ended September 30, 2016 consisted primarily of investments in an enterprise information system and maintenance. Capital expenditures in the nine months ended September 30, 2015 consisted principally of costs for the construction and installation of assets for our lodges primarily in support of Canadian oil sands projects.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 w:name="page35"/>
    <w:bookmarkEnd w:id="34"/>
    <w:p>
      <w:pPr>
        <w:ind w:right="120" w:firstLine="324"/>
        <w:spacing w:after="0" w:line="279" w:lineRule="auto"/>
        <w:rPr>
          <w:sz w:val="20"/>
          <w:szCs w:val="20"/>
          <w:color w:val="auto"/>
        </w:rPr>
      </w:pPr>
      <w:r>
        <w:rPr>
          <w:rFonts w:ascii="Arial" w:cs="Arial" w:eastAsia="Arial" w:hAnsi="Arial"/>
          <w:sz w:val="17"/>
          <w:szCs w:val="17"/>
          <w:color w:val="auto"/>
        </w:rPr>
        <w:t>We expect our capital expenditures for 2016 to be in the range of $20 million to $25 million, which excludes any expenditures for unannounced and uncommitted projects, the spending for which is contingent on obtaining customer contracts. Whether planned expenditures will actually be spent in 2016 depends on industry conditions, project approvals and schedules, customer room commitments and project and construction timing. We expect to fund these capital expenditures with available cash, cash flow from operations and borrowings under our Amended Credit Facility.</w:t>
      </w:r>
    </w:p>
    <w:p>
      <w:pPr>
        <w:spacing w:after="0" w:line="171"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Net cash of $45.8 million was used in financing activities during the nine months ended September 30, 2016, primarily due to repayments of term loan borrowings of $37.1 million, net repayments of revolver borrowings of $6.6 million and debt issuance costs of $2.0 million. Net cash of $347.3 million was used in financing activities during the nine months ended September 30, 2015, primarily due to repayments of term loan borrowings of $725 million, which was offset by borrowings of term loans of $325 million and net revolver borrowings of $56.7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debt outstanding during the nine months ended September 30, 2016 (in thousands):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Canada</w:t>
            </w:r>
          </w:p>
        </w:tc>
        <w:tc>
          <w:tcPr>
            <w:tcW w:w="1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Australia</w:t>
            </w:r>
          </w:p>
        </w:tc>
        <w:tc>
          <w:tcPr>
            <w:tcW w:w="28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352,185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Borrowings on revolving credit facilities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171,470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35,153</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23,700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Repayments of revolving credit facilities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(193,201)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(24,638)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Repayments of term loans</w:t>
            </w: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(12,107)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Translation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Balance at September 30, 2016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338,640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10,731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28,975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378,346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believe that cash on hand and cash flow from operations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delayed, the resulting impact could result in an impairment of the related investment.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filed a shelf registration statement with the SEC registering $300 million of common shares, preferred shares, debt securities and warrants.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Long 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18, 2016, the Second Amendment (Second Amendment) to the Credit Facility (together with all amendments, the Amended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became effective, which provided for the following:</w:t>
      </w:r>
    </w:p>
    <w:p>
      <w:pPr>
        <w:spacing w:after="0" w:line="211" w:lineRule="exact"/>
        <w:rPr>
          <w:sz w:val="20"/>
          <w:szCs w:val="20"/>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Civeo Management LLC, an indirect wholly owned subsidiary of the Company, became a co-borrower under the US$50.0 million U.S. revolving credit facility under the Amended Credit Facility;</w:t>
      </w:r>
    </w:p>
    <w:p>
      <w:pPr>
        <w:spacing w:after="0" w:line="170" w:lineRule="exact"/>
        <w:rPr>
          <w:rFonts w:ascii="Arial" w:cs="Arial" w:eastAsia="Arial" w:hAnsi="Arial"/>
          <w:sz w:val="18"/>
          <w:szCs w:val="18"/>
          <w:color w:val="auto"/>
        </w:rPr>
      </w:pPr>
    </w:p>
    <w:p>
      <w:pPr>
        <w:ind w:left="660" w:right="100" w:hanging="328"/>
        <w:spacing w:after="0" w:line="31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partial prepayment of the U.S. term loan under the Amended Credit Facility in the aggregate principal amount of US$25.0 million and the reduction by US$25.0 million of the aggregate revolving loan commitments under the Canadian revolving credit facility under the Amended Credit Facility, which was incurred in connection with the first amendment to the Credit Facility, to a maximum principal amount of US$100.0 million;</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5" w:name="page36"/>
    <w:bookmarkEnd w:id="35"/>
    <w:p>
      <w:pPr>
        <w:ind w:left="660" w:right="2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Increased the interest rate margin by 0.25% when the leverage ratio is less than 1.50x (by removing the lowest level in the leverage-based interest rate margin grid), (ii) established two additional levels to the total leverage-based grid such that the interest rates for the loans range from LIBOR +2.25% to LIBOR +5.00% and (iii) increased the undrawn commitment fee from a range of 0.45% to 0.90% to a range of 0.51% to 1.13% based on total leverage;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08" w:lineRule="exact"/>
        <w:rPr>
          <w:sz w:val="20"/>
          <w:szCs w:val="20"/>
          <w:color w:val="auto"/>
        </w:rPr>
      </w:pPr>
    </w:p>
    <w:tbl>
      <w:tblPr>
        <w:tblLayout w:type="fixed"/>
        <w:tblInd w:w="25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gridSpan w:val="3"/>
          </w:tcPr>
          <w:p>
            <w:pPr>
              <w:ind w:left="1380"/>
              <w:spacing w:after="0"/>
              <w:rPr>
                <w:sz w:val="20"/>
                <w:szCs w:val="20"/>
                <w:color w:val="auto"/>
              </w:rPr>
            </w:pPr>
            <w:r>
              <w:rPr>
                <w:rFonts w:ascii="Arial" w:cs="Arial" w:eastAsia="Arial" w:hAnsi="Arial"/>
                <w:sz w:val="18"/>
                <w:szCs w:val="18"/>
                <w:b w:val="1"/>
                <w:bCs w:val="1"/>
                <w:color w:val="auto"/>
              </w:rPr>
              <w:t>Period Ended</w:t>
            </w:r>
          </w:p>
        </w:tc>
        <w:tc>
          <w:tcPr>
            <w:tcW w:w="31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3"/>
              </w:rPr>
              <w:t>Maximum Leverage Ratio</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4.00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2016</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4.25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2016</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2016</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5.50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5.50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2017</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2017</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2017</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5.00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5.00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2018</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4.75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2018</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3.75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2018 &amp; thereafter</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3.50 : 1.00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80" w:hanging="328"/>
        <w:spacing w:after="0" w:line="27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Included a provision for a mandatory prepayment of the revolving credit facilities under the Amended Credit Facility in the event the Company and its subsidiaries hold an aggregate amount of cash exceeding US$40.0 million for a period of more than three consecutive business days, such mandatory prepayment to be made within two business days in an amount equal to the lesser of (a) an amount sufficient to reduce the aggregate amount of cash and permitted investments on hand at the Company and its subsidiaries to less than US$40.0 million or (b) an amount sufficient to repay all of the outstanding commitments under the revolving credit facilities under the Amended Credit Facility; and</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technical changes and amendments to the Credit Facility.</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summarizes the capacity available under the Amended Credit Facility as compared to the first amendment to the Credit Facility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First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Amendment to</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the Credit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Amended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Facility</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Credit Facility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U.S. term loan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Canadian term loan</w:t>
            </w: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term loans outstanding</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349,375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capacity under revolving credit facilities: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revolving credit facility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Canadian revolving credit facility</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New Canadian revolving credit facility</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Australian revolving credit facility</w:t>
            </w:r>
          </w:p>
        </w:tc>
        <w:tc>
          <w:tcPr>
            <w:tcW w:w="1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capacity under revolving credit facilities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2.25% to 5.00%, or a base rate plus 1.25% to 4.00%, in each case based on a ratio of our total leverage to EBITDA (as defined in the Amended Credit Facility). Canadian dollar amounts outstanding under the Amended Credit Facility bear interest at a variable rate equal to CDOR plus a margin of 2.25% to 5.00%, or a base rate plus a margin of 1.25% to 4.00%, in each case based on a ratio of our consolidated total leverage to EBITDA (as defined in the Amended Credit Facility). Australian dollar amounts outstanding under the Amended Credit Facility bear interest at a variable rate equal to BBSY plus a margin of 2.25% to 5.00%, based on a ratio of our consolidated total leverage to EBITDA (as defined in the Amended Credit Facility).</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6" w:name="page37"/>
    <w:bookmarkEnd w:id="36"/>
    <w:p>
      <w:pPr>
        <w:ind w:right="60" w:firstLine="324"/>
        <w:spacing w:after="0" w:line="290" w:lineRule="auto"/>
        <w:rPr>
          <w:sz w:val="20"/>
          <w:szCs w:val="20"/>
          <w:color w:val="auto"/>
        </w:rPr>
      </w:pPr>
      <w:r>
        <w:rPr>
          <w:rFonts w:ascii="Arial" w:cs="Arial" w:eastAsia="Arial" w:hAnsi="Arial"/>
          <w:sz w:val="16"/>
          <w:szCs w:val="16"/>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a maximum leverage ratio, defined as the ratio of total debt to consolidated EBITDA, of no greater than 5.50 to 1.0 (as of September 30, 2016). As noted above, the permitted level of the maximum leverage ratio changes over time. Each of the factors considered in the calculations of these ratios are defined in the Amended Credit Facility. EBITDA and consolidated interest, as defined in the Amended Credit Facility, exclude goodwill and asset impairments, debt discount amortization and other non-cash charges. We were in compliance with these covenants as of September 30, 2016.</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15 lenders in our Amended Credit Facility with commitments ranging from $1.2 million to $135.7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366"/>
        <w:spacing w:after="0" w:line="254" w:lineRule="auto"/>
        <w:rPr>
          <w:sz w:val="20"/>
          <w:szCs w:val="20"/>
          <w:color w:val="auto"/>
        </w:rPr>
      </w:pPr>
      <w:r>
        <w:rPr>
          <w:rFonts w:ascii="Arial" w:cs="Arial" w:eastAsia="Arial" w:hAnsi="Arial"/>
          <w:sz w:val="18"/>
          <w:szCs w:val="18"/>
          <w:color w:val="auto"/>
        </w:rPr>
        <w:t>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our Amended Credit Facility. Future agreements may also limit our ability to pay dividends, and we may incur incremental taxes in the U.S.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2016,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For additional information about our contractual obligations, refer to “Liquidity and Capital Resources—Contractual Obligations” contained in the Information Statement included in our 2015 Annual Report on Form 10-K. As of September 30, 2016, except for net repayments under our revolving credit facilities, there were no material changes to this disclosure regarding our contractual obligations made in our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the Information Statement included in our 2015 Annual Report on Form 10-K.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September 30, 2016, we had $378.3 million of outstanding floating-rate obligations under our credit facilities. These floating-rate obligations expose us to the risk of increased interest expense in the event of increases in short-term interest rates. If floating interest rates increase by 1%, our consolidated interest expense would increase by approximately $3.8 million annually, based on our floating-rate debt obligations as of September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C$0.2 billion and A$0.5 billion, respectively, at September 30, 2016. We use a sensitivity analysis model to measure the impact of a 10% adverse movement of foreign currency exchange rates against the United States dollar. A hypothetical 10% adverse change in the value of the Canadian dollar and Australian dollar relative to the U.S. dollar as of September 30, 2016 would result in translation adjustments of approximately $18.0 million and $47.0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of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2016 at the reasonable assurance level.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During the three months ended September 30, 2016,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 the Information Statement included in our 2015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INDEX OF EXHIBITS</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280" w:type="dxa"/>
            <w:vAlign w:val="bottom"/>
          </w:tcPr>
          <w:p>
            <w:pPr>
              <w:spacing w:after="0"/>
              <w:rPr>
                <w:sz w:val="17"/>
                <w:szCs w:val="17"/>
                <w:color w:val="auto"/>
              </w:rPr>
            </w:pPr>
          </w:p>
        </w:tc>
      </w:tr>
      <w:tr>
        <w:trPr>
          <w:trHeight w:val="438"/>
        </w:trPr>
        <w:tc>
          <w:tcPr>
            <w:tcW w:w="8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3"/>
              </w:rPr>
              <w:t>Agreement and Plan of Merger, dated as of April 6, 2015, among Civeo Corporation, Civeo Canadian Holdings ULC and Civeo</w:t>
            </w:r>
          </w:p>
        </w:tc>
      </w:tr>
      <w:tr>
        <w:trPr>
          <w:trHeight w:val="216"/>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3"/>
              </w:rPr>
              <w:t>US Merger Co (incorporated by reference to Annex A of Civeo Corporation’s definitive proxy statement/prospectus on Schedule</w:t>
            </w: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14A filed with the SEC on April 8, 2015).</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1"/>
              </w:rPr>
              <w:t>Separation and Distribution Agreement, by and between Oil States International, Inc. and Civeo Corporation, dated May 27, 2014</w:t>
            </w: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3"/>
              </w:rPr>
              <w:t>(incorporated herein by reference to Exhibit 2.1 to the Current Report on Form 8-K (File No. 001-36246) filed on June 2, 2014).</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4"/>
              </w:rPr>
              <w:t>Notice of Articles of Civeo Corporation (incorporated herein by reference to Exhibit 3.1 to the Current Report on Form 8-K12B</w:t>
            </w: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(File No. 001-36246) filed on July 17, 2015).</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4"/>
              </w:rPr>
              <w:t>Amended and Restated Articles of Civeo Corporation (incorporated herein by reference to Exhibit 3.1 to the Current Report on</w:t>
            </w: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Form 8-K (File No. 001-36246) filed on May 13, 2016).</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3"/>
              </w:rPr>
              <w:t>Form of Common Share Certificate (incorporated herein by reference to Exhibit 4.1 to the Current Report on Form 8-K12B (File</w:t>
            </w: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No. 001-36246) filed on July 17, 2015).</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1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6"/>
              </w:rPr>
              <w:t>Certification of Chief Executive Officer of Civeo Corporation, pursuant to Rules 13a-14(a) or 15d-14(a) under the Securities</w:t>
            </w: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Exchange Act of 1934.</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1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7"/>
              </w:rPr>
              <w:t>Certification of Chief Financial Officer of Civeo Corporation, pursuant to Rules 13a-14(a) or 15d-14(a) under the Securities</w:t>
            </w: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Exchange Act of 1934.</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6"/>
              </w:rPr>
              <w:t>Certification of Chief Executive Officer of Civeo Corporation, pursuant to Rules 13a-14(b) or 15d-14(b) under the Securities</w:t>
            </w: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Exchange Act of 1934.</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7"/>
              </w:rPr>
              <w:t>Certification of Chief Financial Officer of Civeo Corporation, pursuant to Rules 13a-14(b) or 15d-14(b) under the Securities</w:t>
            </w: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Exchange Act of 1934.</w:t>
            </w:r>
          </w:p>
        </w:tc>
      </w:tr>
      <w:tr>
        <w:trPr>
          <w:trHeight w:val="432"/>
        </w:trPr>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101.INS*</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101.SCH*</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101.CAL*</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101.DEF*</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101.LAB*</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101.PRE*</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CIVEO CORPORATION</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October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3810</wp:posOffset>
            </wp:positionV>
            <wp:extent cx="13684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Frank C. Steininger</w:t>
      </w:r>
    </w:p>
    <w:p>
      <w:pPr>
        <w:spacing w:after="0" w:line="50" w:lineRule="exact"/>
        <w:rPr>
          <w:sz w:val="20"/>
          <w:szCs w:val="20"/>
          <w:color w:val="auto"/>
        </w:rPr>
      </w:pPr>
    </w:p>
    <w:p>
      <w:pPr>
        <w:sectPr>
          <w:pgSz w:w="11900" w:h="16838" w:orient="portrait"/>
          <w:cols w:equalWidth="0" w:num="4">
            <w:col w:w="3660" w:space="440"/>
            <w:col w:w="1380" w:space="720"/>
            <w:col w:w="380" w:space="720"/>
            <w:col w:w="4120"/>
          </w:cols>
          <w:pgMar w:left="240" w:top="580" w:right="239" w:bottom="1440" w:gutter="0" w:footer="0" w:header="0"/>
          <w:type w:val="continuous"/>
        </w:sectPr>
      </w:pPr>
    </w:p>
    <w:p>
      <w:pPr>
        <w:jc w:val="center"/>
        <w:ind w:left="4780"/>
        <w:spacing w:after="0"/>
        <w:rPr>
          <w:sz w:val="20"/>
          <w:szCs w:val="20"/>
          <w:color w:val="auto"/>
        </w:rPr>
      </w:pPr>
      <w:r>
        <w:rPr>
          <w:rFonts w:ascii="Arial" w:cs="Arial" w:eastAsia="Arial" w:hAnsi="Arial"/>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-130810</wp:posOffset>
            </wp:positionV>
            <wp:extent cx="2246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jc w:val="center"/>
        <w:ind w:left="4780"/>
        <w:spacing w:after="0"/>
        <w:rPr>
          <w:sz w:val="20"/>
          <w:szCs w:val="20"/>
          <w:color w:val="auto"/>
        </w:rPr>
      </w:pPr>
      <w:r>
        <w:rPr>
          <w:rFonts w:ascii="Arial" w:cs="Arial" w:eastAsia="Arial" w:hAnsi="Arial"/>
          <w:sz w:val="16"/>
          <w:szCs w:val="16"/>
          <w:b w:val="1"/>
          <w:bCs w:val="1"/>
          <w:color w:val="auto"/>
        </w:rPr>
        <w:t>Senior Vice President, Chief Financial Officer</w:t>
      </w:r>
    </w:p>
    <w:p>
      <w:pPr>
        <w:spacing w:after="0" w:line="32" w:lineRule="exact"/>
        <w:rPr>
          <w:sz w:val="20"/>
          <w:szCs w:val="20"/>
          <w:color w:val="auto"/>
        </w:rPr>
      </w:pPr>
    </w:p>
    <w:p>
      <w:pPr>
        <w:jc w:val="center"/>
        <w:ind w:left="478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left="4780"/>
        <w:spacing w:after="0"/>
        <w:rPr>
          <w:sz w:val="20"/>
          <w:szCs w:val="20"/>
          <w:color w:val="auto"/>
        </w:rPr>
      </w:pPr>
      <w:r>
        <w:rPr>
          <w:rFonts w:ascii="Arial" w:cs="Arial" w:eastAsia="Arial" w:hAnsi="Arial"/>
          <w:sz w:val="18"/>
          <w:szCs w:val="18"/>
          <w:b w:val="1"/>
          <w:bCs w:val="1"/>
          <w:color w:val="auto"/>
        </w:rPr>
        <w:t>Treasurer (Duly Authorized Officer and</w:t>
      </w:r>
    </w:p>
    <w:p>
      <w:pPr>
        <w:spacing w:after="0" w:line="9" w:lineRule="exact"/>
        <w:rPr>
          <w:sz w:val="20"/>
          <w:szCs w:val="20"/>
          <w:color w:val="auto"/>
        </w:rPr>
      </w:pPr>
    </w:p>
    <w:p>
      <w:pPr>
        <w:jc w:val="center"/>
        <w:ind w:left="478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Exhibit Index</w:t>
            </w:r>
          </w:p>
        </w:tc>
        <w:tc>
          <w:tcPr>
            <w:tcW w:w="5160" w:type="dxa"/>
            <w:vAlign w:val="bottom"/>
          </w:tcPr>
          <w:p>
            <w:pPr>
              <w:spacing w:after="0"/>
              <w:rPr>
                <w:sz w:val="17"/>
                <w:szCs w:val="17"/>
                <w:color w:val="auto"/>
              </w:rPr>
            </w:pPr>
          </w:p>
        </w:tc>
      </w:tr>
      <w:tr>
        <w:trPr>
          <w:trHeight w:val="453"/>
        </w:trPr>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2"/>
              </w:rPr>
              <w:t>Agreement and Plan of Merger, dated as of April 6, 2015, among Civeo Corporation, Civeo Canadian Holdings ULC and Civeo US</w:t>
            </w:r>
          </w:p>
        </w:tc>
      </w:tr>
      <w:tr>
        <w:trPr>
          <w:trHeight w:val="216"/>
        </w:trPr>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3"/>
              </w:rPr>
              <w:t>Merger Co (incorporated by reference to Annex A of Civeo Corporation’s definitive proxy statement/prospectus on Schedule 14A</w:t>
            </w:r>
          </w:p>
        </w:tc>
      </w:tr>
      <w:tr>
        <w:trPr>
          <w:trHeight w:val="230"/>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filed with the SEC on April 8, 2015).</w:t>
            </w:r>
          </w:p>
        </w:tc>
      </w:tr>
      <w:tr>
        <w:trPr>
          <w:trHeight w:val="418"/>
        </w:trPr>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2"/>
              </w:rPr>
              <w:t>Separation and Distribution Agreement, by and between Oil States International, Inc. and Civeo Corporation, dated May 27, 2014</w:t>
            </w:r>
          </w:p>
        </w:tc>
      </w:tr>
      <w:tr>
        <w:trPr>
          <w:trHeight w:val="230"/>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4"/>
              </w:rPr>
              <w:t>(incorporated herein by reference to Exhibit 2.1 to the Current Report on Form 8-K (File No. 001-36246) filed on June 2, 2014).</w:t>
            </w:r>
          </w:p>
        </w:tc>
      </w:tr>
      <w:tr>
        <w:trPr>
          <w:trHeight w:val="418"/>
        </w:trPr>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5"/>
              </w:rPr>
              <w:t>Notice of Articles of Civeo Corporation (incorporated herein by reference to Exhibit 3.1 to the Current Report on Form 8-K12B</w:t>
            </w:r>
          </w:p>
        </w:tc>
      </w:tr>
      <w:tr>
        <w:trPr>
          <w:trHeight w:val="230"/>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(File No. 001-36246) filed on July 17, 2015).</w:t>
            </w:r>
          </w:p>
        </w:tc>
      </w:tr>
      <w:tr>
        <w:trPr>
          <w:trHeight w:val="418"/>
        </w:trPr>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5"/>
              </w:rPr>
              <w:t>Amended and Restated Articles of Civeo Corporation (incorporated herein by reference to Exhibit 3.1 to the Current Report on</w:t>
            </w:r>
          </w:p>
        </w:tc>
      </w:tr>
      <w:tr>
        <w:trPr>
          <w:trHeight w:val="230"/>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Form 8-K (File No. 001-36246) filed on May 13, 2016).</w:t>
            </w:r>
          </w:p>
        </w:tc>
      </w:tr>
      <w:tr>
        <w:trPr>
          <w:trHeight w:val="418"/>
        </w:trPr>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4"/>
              </w:rPr>
              <w:t>Form of Common Share Certificate (incorporated herein by reference to Exhibit 4.1 to the Current Report on Form 8-K12B (File</w:t>
            </w:r>
          </w:p>
        </w:tc>
      </w:tr>
      <w:tr>
        <w:trPr>
          <w:trHeight w:val="230"/>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No. 001-36246) filed on July 17, 2015).</w:t>
            </w:r>
          </w:p>
        </w:tc>
      </w:tr>
      <w:tr>
        <w:trPr>
          <w:trHeight w:val="418"/>
        </w:trPr>
        <w:tc>
          <w:tcPr>
            <w:tcW w:w="200" w:type="dxa"/>
            <w:vAlign w:val="bottom"/>
          </w:tcPr>
          <w:p>
            <w:pPr>
              <w:spacing w:after="0"/>
              <w:rPr>
                <w:sz w:val="24"/>
                <w:szCs w:val="24"/>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5"/>
              </w:rPr>
              <w:t>31.1*</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7"/>
              </w:rPr>
              <w:t>Certification of Chief Executive Officer of Civeo Corporation, pursuant to Rules 13a-14(a) or 15d-14(a) under the Securities</w:t>
            </w:r>
          </w:p>
        </w:tc>
      </w:tr>
      <w:tr>
        <w:trPr>
          <w:trHeight w:val="230"/>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Exchange Act of 1934.</w:t>
            </w:r>
          </w:p>
        </w:tc>
      </w:tr>
      <w:tr>
        <w:trPr>
          <w:trHeight w:val="418"/>
        </w:trPr>
        <w:tc>
          <w:tcPr>
            <w:tcW w:w="200" w:type="dxa"/>
            <w:vAlign w:val="bottom"/>
          </w:tcPr>
          <w:p>
            <w:pPr>
              <w:spacing w:after="0"/>
              <w:rPr>
                <w:sz w:val="24"/>
                <w:szCs w:val="24"/>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5"/>
              </w:rPr>
              <w:t>31.2*</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8"/>
              </w:rPr>
              <w:t>Certification of Chief Financial Officer of Civeo Corporation, pursuant to Rules 13a-14(a) or 15d-14(a) under the Securities</w:t>
            </w:r>
          </w:p>
        </w:tc>
      </w:tr>
      <w:tr>
        <w:trPr>
          <w:trHeight w:val="230"/>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Exchange Act of 1934.</w:t>
            </w:r>
          </w:p>
        </w:tc>
      </w:tr>
      <w:tr>
        <w:trPr>
          <w:trHeight w:val="418"/>
        </w:trPr>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32.1**</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7"/>
              </w:rPr>
              <w:t>Certification of Chief Executive Officer of Civeo Corporation, pursuant to Rules 13a-14(b) or 15d-14(b) under the Securities</w:t>
            </w:r>
          </w:p>
        </w:tc>
      </w:tr>
      <w:tr>
        <w:trPr>
          <w:trHeight w:val="230"/>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Exchange Act of 1934.</w:t>
            </w:r>
          </w:p>
        </w:tc>
      </w:tr>
      <w:tr>
        <w:trPr>
          <w:trHeight w:val="418"/>
        </w:trPr>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32.2**</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w w:val="98"/>
              </w:rPr>
              <w:t>Certification of Chief Financial Officer of Civeo Corporation, pursuant to Rules 13a-14(b) or 15d-14(b) under the Securities</w:t>
            </w:r>
          </w:p>
        </w:tc>
      </w:tr>
      <w:tr>
        <w:trPr>
          <w:trHeight w:val="230"/>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Exchange Act of 1934.</w:t>
            </w:r>
          </w:p>
        </w:tc>
      </w:tr>
      <w:tr>
        <w:trPr>
          <w:trHeight w:val="432"/>
        </w:trPr>
        <w:tc>
          <w:tcPr>
            <w:tcW w:w="20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101.INS*</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XBRL Instance Document</w:t>
            </w:r>
          </w:p>
        </w:tc>
      </w:tr>
      <w:tr>
        <w:trPr>
          <w:trHeight w:val="432"/>
        </w:trPr>
        <w:tc>
          <w:tcPr>
            <w:tcW w:w="20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101.SCH*</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0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101.CAL*</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20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101.DEF*</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20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101.LAB*</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20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101.PRE*</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58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34"/>
        </w:trPr>
        <w:tc>
          <w:tcPr>
            <w:tcW w:w="12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Furnished herewith.</w:t>
            </w:r>
          </w:p>
        </w:tc>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ectPr>
          <w:pgSz w:w="11900" w:h="16838" w:orient="portrait"/>
          <w:cols w:equalWidth="0" w:num="1">
            <w:col w:w="11420"/>
          </w:cols>
          <w:pgMar w:left="240" w:top="56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2016</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Bradley J. Dodson</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right="12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2016</w:t>
      </w:r>
    </w:p>
    <w:p>
      <w:pPr>
        <w:spacing w:after="0" w:line="22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29330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September 30, 2016,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tbl>
      <w:tblPr>
        <w:tblLayout w:type="fixed"/>
        <w:tblInd w:w="60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4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Bradley J. Dodson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ind w:left="120"/>
              <w:spacing w:after="0"/>
              <w:rPr>
                <w:sz w:val="20"/>
                <w:szCs w:val="20"/>
                <w:color w:val="auto"/>
              </w:rPr>
            </w:pPr>
            <w:r>
              <w:rPr>
                <w:rFonts w:ascii="Arial" w:cs="Arial" w:eastAsia="Arial" w:hAnsi="Arial"/>
                <w:sz w:val="18"/>
                <w:szCs w:val="18"/>
                <w:color w:val="auto"/>
              </w:rPr>
              <w:t>October 31, 2016</w:t>
            </w:r>
          </w:p>
        </w:tc>
      </w:tr>
    </w:tbl>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September 30, 2016, as filed with the Securities and Exchange Commission on the date hereof (the “Report”), I, Frank C. Steininger, Senior Vice President, Chief Financial Officer and Treasurer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31,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decimal"/>
      <w:start w:val="4"/>
    </w:lvl>
  </w:abstractNum>
  <w:abstractNum w:abstractNumId="2">
    <w:nsid w:val="7FDCC233"/>
    <w:multiLevelType w:val="hybridMultilevel"/>
    <w:lvl w:ilvl="0">
      <w:lvlJc w:val="left"/>
      <w:lvlText w:val="%1."/>
      <w:numFmt w:val="decimal"/>
      <w:start w:val="6"/>
    </w:lvl>
  </w:abstractNum>
  <w:abstractNum w:abstractNumId="3">
    <w:nsid w:val="1BEFD79F"/>
    <w:multiLevelType w:val="hybridMultilevel"/>
    <w:lvl w:ilvl="0">
      <w:lvlJc w:val="left"/>
      <w:lvlText w:val="%1."/>
      <w:numFmt w:val="decimal"/>
      <w:start w:val="7"/>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8"/>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2019-12-08T23:38:32Z</dcterms:created>
  <dcterms:modified xsi:type="dcterms:W3CDTF">2019-12-08T23:38:32Z</dcterms:modified>
</cp:coreProperties>
</file>