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33"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980" w:right="1780" w:hanging="580"/>
        <w:spacing w:after="0" w:line="261" w:lineRule="auto"/>
        <w:tabs>
          <w:tab w:leader="none" w:pos="96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2014</w:t>
      </w:r>
    </w:p>
    <w:p>
      <w:pPr>
        <w:spacing w:after="0" w:line="180"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OR</w:t>
      </w:r>
    </w:p>
    <w:p>
      <w:pPr>
        <w:spacing w:after="0" w:line="27" w:lineRule="exact"/>
        <w:rPr>
          <w:sz w:val="24"/>
          <w:szCs w:val="24"/>
          <w:color w:val="auto"/>
        </w:rPr>
      </w:pPr>
    </w:p>
    <w:p>
      <w:pPr>
        <w:ind w:left="960" w:right="1760" w:hanging="560"/>
        <w:spacing w:after="0" w:line="490" w:lineRule="auto"/>
        <w:tabs>
          <w:tab w:leader="none" w:pos="5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_________________________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3584575</wp:posOffset>
            </wp:positionH>
            <wp:positionV relativeFrom="paragraph">
              <wp:posOffset>-149860</wp:posOffset>
            </wp:positionV>
            <wp:extent cx="714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001-36246</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3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0" w:lineRule="exact"/>
        <w:rPr>
          <w:sz w:val="24"/>
          <w:szCs w:val="24"/>
          <w:color w:val="auto"/>
        </w:rPr>
      </w:pP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40" w:type="dxa"/>
            <w:vAlign w:val="bottom"/>
            <w:gridSpan w:val="5"/>
          </w:tcPr>
          <w:p>
            <w:pPr>
              <w:jc w:val="center"/>
              <w:ind w:left="37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92"/>
        </w:trPr>
        <w:tc>
          <w:tcPr>
            <w:tcW w:w="4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680" w:type="dxa"/>
            <w:vAlign w:val="bottom"/>
            <w:gridSpan w:val="2"/>
          </w:tcPr>
          <w:p>
            <w:pPr>
              <w:spacing w:after="0"/>
              <w:rPr>
                <w:sz w:val="24"/>
                <w:szCs w:val="24"/>
                <w:color w:val="auto"/>
              </w:rPr>
            </w:pPr>
          </w:p>
        </w:tc>
        <w:tc>
          <w:tcPr>
            <w:tcW w:w="3780" w:type="dxa"/>
            <w:vAlign w:val="bottom"/>
            <w:gridSpan w:val="5"/>
          </w:tcPr>
          <w:p>
            <w:pPr>
              <w:jc w:val="right"/>
              <w:ind w:right="2680"/>
              <w:spacing w:after="0"/>
              <w:rPr>
                <w:sz w:val="20"/>
                <w:szCs w:val="20"/>
                <w:color w:val="auto"/>
              </w:rPr>
            </w:pPr>
            <w:r>
              <w:rPr>
                <w:rFonts w:ascii="Times New Roman" w:cs="Times New Roman" w:eastAsia="Times New Roman" w:hAnsi="Times New Roman"/>
                <w:sz w:val="18"/>
                <w:szCs w:val="18"/>
                <w:color w:val="auto"/>
              </w:rPr>
              <w:t>46-3831207</w:t>
            </w:r>
          </w:p>
        </w:tc>
      </w:tr>
      <w:tr>
        <w:trPr>
          <w:trHeight w:val="20"/>
        </w:trPr>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18"/>
        </w:trPr>
        <w:tc>
          <w:tcPr>
            <w:tcW w:w="7640" w:type="dxa"/>
            <w:vAlign w:val="bottom"/>
            <w:gridSpan w:val="5"/>
          </w:tcPr>
          <w:p>
            <w:pPr>
              <w:jc w:val="center"/>
              <w:ind w:left="14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780" w:type="dxa"/>
            <w:vAlign w:val="bottom"/>
            <w:gridSpan w:val="5"/>
          </w:tcPr>
          <w:p>
            <w:pPr>
              <w:jc w:val="center"/>
              <w:ind w:right="244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40" w:type="dxa"/>
            <w:vAlign w:val="bottom"/>
            <w:gridSpan w:val="5"/>
          </w:tcPr>
          <w:p>
            <w:pPr>
              <w:jc w:val="center"/>
              <w:ind w:left="14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780" w:type="dxa"/>
            <w:vAlign w:val="bottom"/>
            <w:gridSpan w:val="5"/>
          </w:tcPr>
          <w:p>
            <w:pPr>
              <w:jc w:val="center"/>
              <w:ind w:right="244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92"/>
        </w:trPr>
        <w:tc>
          <w:tcPr>
            <w:tcW w:w="7640" w:type="dxa"/>
            <w:vAlign w:val="bottom"/>
            <w:gridSpan w:val="5"/>
          </w:tcPr>
          <w:p>
            <w:pPr>
              <w:jc w:val="center"/>
              <w:ind w:left="1490"/>
              <w:spacing w:after="0"/>
              <w:rPr>
                <w:sz w:val="20"/>
                <w:szCs w:val="20"/>
                <w:color w:val="auto"/>
              </w:rPr>
            </w:pPr>
            <w:r>
              <w:rPr>
                <w:rFonts w:ascii="Times New Roman" w:cs="Times New Roman" w:eastAsia="Times New Roman" w:hAnsi="Times New Roman"/>
                <w:sz w:val="18"/>
                <w:szCs w:val="18"/>
                <w:color w:val="auto"/>
                <w:w w:val="99"/>
              </w:rPr>
              <w:t>Three Allen Center, 333 Clay Street, Suite 4980,</w:t>
            </w:r>
          </w:p>
        </w:tc>
        <w:tc>
          <w:tcPr>
            <w:tcW w:w="44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77002</w:t>
            </w: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6"/>
        </w:trPr>
        <w:tc>
          <w:tcPr>
            <w:tcW w:w="4060" w:type="dxa"/>
            <w:vAlign w:val="bottom"/>
          </w:tcPr>
          <w:p>
            <w:pPr>
              <w:spacing w:after="0"/>
              <w:rPr>
                <w:sz w:val="17"/>
                <w:szCs w:val="17"/>
                <w:color w:val="auto"/>
              </w:rPr>
            </w:pPr>
          </w:p>
        </w:tc>
        <w:tc>
          <w:tcPr>
            <w:tcW w:w="3580" w:type="dxa"/>
            <w:vAlign w:val="bottom"/>
            <w:gridSpan w:val="4"/>
          </w:tcPr>
          <w:p>
            <w:pPr>
              <w:jc w:val="center"/>
              <w:ind w:right="2480"/>
              <w:spacing w:after="0" w:line="196" w:lineRule="exact"/>
              <w:rPr>
                <w:sz w:val="20"/>
                <w:szCs w:val="20"/>
                <w:color w:val="auto"/>
              </w:rPr>
            </w:pPr>
            <w:r>
              <w:rPr>
                <w:rFonts w:ascii="Times New Roman" w:cs="Times New Roman" w:eastAsia="Times New Roman" w:hAnsi="Times New Roman"/>
                <w:sz w:val="18"/>
                <w:szCs w:val="18"/>
                <w:color w:val="auto"/>
                <w:w w:val="97"/>
              </w:rPr>
              <w:t>Houston, Texas</w:t>
            </w:r>
          </w:p>
        </w:tc>
        <w:tc>
          <w:tcPr>
            <w:tcW w:w="240" w:type="dxa"/>
            <w:vAlign w:val="bottom"/>
          </w:tcPr>
          <w:p>
            <w:pPr>
              <w:spacing w:after="0"/>
              <w:rPr>
                <w:sz w:val="17"/>
                <w:szCs w:val="17"/>
                <w:color w:val="auto"/>
              </w:rPr>
            </w:pPr>
          </w:p>
        </w:tc>
        <w:tc>
          <w:tcPr>
            <w:tcW w:w="3540" w:type="dxa"/>
            <w:vAlign w:val="bottom"/>
            <w:gridSpan w:val="4"/>
          </w:tcPr>
          <w:p>
            <w:pPr>
              <w:jc w:val="center"/>
              <w:ind w:right="2680"/>
              <w:spacing w:after="0" w:line="196" w:lineRule="exact"/>
              <w:rPr>
                <w:sz w:val="20"/>
                <w:szCs w:val="20"/>
                <w:color w:val="auto"/>
              </w:rPr>
            </w:pPr>
            <w:r>
              <w:rPr>
                <w:rFonts w:ascii="Times New Roman" w:cs="Times New Roman" w:eastAsia="Times New Roman" w:hAnsi="Times New Roman"/>
                <w:sz w:val="18"/>
                <w:szCs w:val="18"/>
                <w:color w:val="auto"/>
                <w:w w:val="98"/>
              </w:rPr>
              <w:t>(Zip Code)</w:t>
            </w:r>
          </w:p>
        </w:tc>
      </w:tr>
      <w:tr>
        <w:trPr>
          <w:trHeight w:val="20"/>
        </w:trPr>
        <w:tc>
          <w:tcPr>
            <w:tcW w:w="406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37"/>
        </w:trPr>
        <w:tc>
          <w:tcPr>
            <w:tcW w:w="7640" w:type="dxa"/>
            <w:vAlign w:val="bottom"/>
            <w:gridSpan w:val="5"/>
          </w:tcPr>
          <w:p>
            <w:pPr>
              <w:jc w:val="center"/>
              <w:ind w:left="1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32"/>
        </w:trPr>
        <w:tc>
          <w:tcPr>
            <w:tcW w:w="7640" w:type="dxa"/>
            <w:vAlign w:val="bottom"/>
            <w:gridSpan w:val="5"/>
          </w:tcPr>
          <w:p>
            <w:pPr>
              <w:jc w:val="center"/>
              <w:ind w:left="3710"/>
              <w:spacing w:after="0"/>
              <w:rPr>
                <w:sz w:val="20"/>
                <w:szCs w:val="20"/>
                <w:color w:val="auto"/>
              </w:rPr>
            </w:pPr>
            <w:r>
              <w:rPr>
                <w:rFonts w:ascii="Times New Roman" w:cs="Times New Roman" w:eastAsia="Times New Roman" w:hAnsi="Times New Roman"/>
                <w:sz w:val="18"/>
                <w:szCs w:val="18"/>
                <w:color w:val="auto"/>
                <w:w w:val="99"/>
              </w:rPr>
              <w:t>(713) 510-2400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08"/>
        </w:trPr>
        <w:tc>
          <w:tcPr>
            <w:tcW w:w="40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r>
      <w:tr>
        <w:trPr>
          <w:trHeight w:val="318"/>
        </w:trPr>
        <w:tc>
          <w:tcPr>
            <w:tcW w:w="7640" w:type="dxa"/>
            <w:vAlign w:val="bottom"/>
            <w:gridSpan w:val="5"/>
          </w:tcPr>
          <w:p>
            <w:pPr>
              <w:jc w:val="center"/>
              <w:ind w:left="37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ind w:right="48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tabs>
          <w:tab w:leader="none" w:pos="3140" w:val="left"/>
          <w:tab w:leader="none" w:pos="414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8"/>
          <w:szCs w:val="18"/>
          <w:color w:val="auto"/>
        </w:rPr>
        <w:t>NO [X]*</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The registrant became subject to such requirements on May 8, 2014, and it has filed all reports so required since that date.</w:t>
      </w:r>
    </w:p>
    <w:p>
      <w:pPr>
        <w:spacing w:after="0" w:line="225"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4540"/>
        <w:spacing w:after="0"/>
        <w:tabs>
          <w:tab w:leader="none" w:pos="626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7"/>
          <w:szCs w:val="17"/>
          <w:color w:val="auto"/>
        </w:rPr>
        <w:t>NO [ ]</w:t>
      </w:r>
    </w:p>
    <w:p>
      <w:pPr>
        <w:spacing w:after="0" w:line="207" w:lineRule="exact"/>
        <w:rPr>
          <w:sz w:val="24"/>
          <w:szCs w:val="24"/>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jc w:val="center"/>
        <w:spacing w:after="0"/>
        <w:rPr>
          <w:sz w:val="20"/>
          <w:szCs w:val="20"/>
          <w:color w:val="auto"/>
        </w:rPr>
      </w:pPr>
      <w:r>
        <w:rPr>
          <w:rFonts w:ascii="Times New Roman" w:cs="Times New Roman" w:eastAsia="Times New Roman" w:hAnsi="Times New Roman"/>
          <w:sz w:val="18"/>
          <w:szCs w:val="18"/>
          <w:color w:val="auto"/>
        </w:rPr>
        <w:t>(Check one):</w:t>
      </w:r>
    </w:p>
    <w:p>
      <w:pPr>
        <w:sectPr>
          <w:pgSz w:w="11900" w:h="16838" w:orient="portrait"/>
          <w:cols w:equalWidth="0" w:num="1">
            <w:col w:w="11420"/>
          </w:cols>
          <w:pgMar w:left="240" w:top="445" w:right="239" w:bottom="1440" w:gutter="0" w:footer="0" w:header="0"/>
        </w:sectPr>
      </w:pP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Accelerated Filer [ ]</w:t>
      </w:r>
    </w:p>
    <w:p>
      <w:pPr>
        <w:spacing w:after="0" w:line="200" w:lineRule="exact"/>
        <w:rPr>
          <w:sz w:val="24"/>
          <w:szCs w:val="24"/>
          <w:color w:val="auto"/>
        </w:rPr>
      </w:pPr>
    </w:p>
    <w:p>
      <w:pPr>
        <w:sectPr>
          <w:pgSz w:w="11900" w:h="16838" w:orient="portrait"/>
          <w:cols w:equalWidth="0" w:num="2">
            <w:col w:w="6140" w:space="720"/>
            <w:col w:w="4560"/>
          </w:cols>
          <w:pgMar w:left="240" w:top="445" w:right="2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 [X]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 [ ]</w:t>
      </w:r>
    </w:p>
    <w:p>
      <w:pPr>
        <w:spacing w:after="0" w:line="200" w:lineRule="exact"/>
        <w:rPr>
          <w:sz w:val="24"/>
          <w:szCs w:val="24"/>
          <w:color w:val="auto"/>
        </w:rPr>
      </w:pPr>
    </w:p>
    <w:p>
      <w:pPr>
        <w:sectPr>
          <w:pgSz w:w="11900" w:h="16838" w:orient="portrait"/>
          <w:cols w:equalWidth="0" w:num="2">
            <w:col w:w="6140" w:space="720"/>
            <w:col w:w="4560"/>
          </w:cols>
          <w:pgMar w:left="240" w:top="445"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4540"/>
        <w:spacing w:after="0"/>
        <w:tabs>
          <w:tab w:leader="none" w:pos="626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7"/>
          <w:szCs w:val="17"/>
          <w:color w:val="auto"/>
        </w:rPr>
        <w:t>NO [X ]</w:t>
      </w:r>
    </w:p>
    <w:p>
      <w:pPr>
        <w:sectPr>
          <w:pgSz w:w="11900" w:h="16838" w:orient="portrait"/>
          <w:cols w:equalWidth="0" w:num="1">
            <w:col w:w="11420"/>
          </w:cols>
          <w:pgMar w:left="240" w:top="445" w:right="239"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106,747,925 shares of common stock outstanding as of June 11,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684530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CIVEO CORPORATION</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INDEX</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108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140" w:type="dxa"/>
            <w:vAlign w:val="bottom"/>
          </w:tcPr>
          <w:p>
            <w:pPr>
              <w:spacing w:after="0"/>
              <w:rPr>
                <w:sz w:val="17"/>
                <w:szCs w:val="17"/>
                <w:color w:val="auto"/>
              </w:rPr>
            </w:pPr>
          </w:p>
        </w:tc>
        <w:tc>
          <w:tcPr>
            <w:tcW w:w="360" w:type="dxa"/>
            <w:vAlign w:val="bottom"/>
            <w:tcBorders>
              <w:top w:val="single" w:sz="8" w:color="auto"/>
            </w:tcBorders>
            <w:gridSpan w:val="3"/>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7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Statements:</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Combined Financial Statements</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Unaudited Combined Statements of Income for the Three Month Periods Ended March 31, 2014 and 2013</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14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Unaudited Combined Statements of Comprehensive Income for the Three Month Periods Ended March 31, 2014 and</w:t>
            </w:r>
          </w:p>
        </w:tc>
        <w:tc>
          <w:tcPr>
            <w:tcW w:w="480" w:type="dxa"/>
            <w:vAlign w:val="bottom"/>
            <w:gridSpan w:val="4"/>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4</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2013</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Combined Balance Sheets – March 31, 2014 (unaudited) and December 31, 2013</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Unaudited Combined Statements of Cash Flows for the Three Months Ended March 31, 2014 and 2013</w:t>
            </w: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to Unaudited Combined Financial Statements</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 – 14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8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Cautionary Statement Regarding Forward-Looking Statements</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8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8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8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 Index of Exhibits</w:t>
            </w: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8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Signature Page</w:t>
            </w: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9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91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CIVEO CORPORATION</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UNAUDITED COMBINED STATEMENTS OF INCOME</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 and other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238,858</w:t>
            </w:r>
          </w:p>
        </w:tc>
        <w:tc>
          <w:tcPr>
            <w:tcW w:w="140" w:type="dxa"/>
            <w:vAlign w:val="bottom"/>
          </w:tcPr>
          <w:p>
            <w:pPr>
              <w:spacing w:after="0"/>
              <w:rPr>
                <w:sz w:val="18"/>
                <w:szCs w:val="18"/>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 and other costs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costs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199,939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to affiliates</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(4,289)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to third-parties, net of capitalized interest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(12,311)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Civeo Corporation.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36,239</w:t>
            </w:r>
          </w:p>
        </w:tc>
        <w:tc>
          <w:tcPr>
            <w:tcW w:w="140" w:type="dxa"/>
            <w:vAlign w:val="bottom"/>
          </w:tcPr>
          <w:p>
            <w:pPr>
              <w:spacing w:after="0"/>
              <w:rPr>
                <w:sz w:val="18"/>
                <w:szCs w:val="18"/>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COMBINED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7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(5,781)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Civeo Corporation.</w:t>
            </w:r>
          </w:p>
        </w:tc>
        <w:tc>
          <w:tcPr>
            <w:tcW w:w="17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0" w:type="dxa"/>
            <w:vAlign w:val="bottom"/>
            <w:vMerge w:val="restart"/>
          </w:tcPr>
          <w:p>
            <w:pPr>
              <w:ind w:left="3660"/>
              <w:spacing w:after="0"/>
              <w:rPr>
                <w:sz w:val="20"/>
                <w:szCs w:val="20"/>
                <w:color w:val="auto"/>
              </w:rPr>
            </w:pPr>
            <w:r>
              <w:rPr>
                <w:rFonts w:ascii="Times New Roman" w:cs="Times New Roman" w:eastAsia="Times New Roman" w:hAnsi="Times New Roman"/>
                <w:sz w:val="18"/>
                <w:szCs w:val="18"/>
                <w:color w:val="auto"/>
              </w:rPr>
              <w:t>ASSETS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264,751</w:t>
            </w:r>
          </w:p>
        </w:tc>
        <w:tc>
          <w:tcPr>
            <w:tcW w:w="120" w:type="dxa"/>
            <w:vAlign w:val="bottom"/>
          </w:tcPr>
          <w:p>
            <w:pPr>
              <w:spacing w:after="0"/>
              <w:rPr>
                <w:sz w:val="18"/>
                <w:szCs w:val="18"/>
                <w:color w:val="auto"/>
              </w:rPr>
            </w:pPr>
          </w:p>
        </w:tc>
        <w:tc>
          <w:tcPr>
            <w:tcW w:w="4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439,744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76,587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2,196,845</w:t>
            </w:r>
          </w:p>
        </w:tc>
        <w:tc>
          <w:tcPr>
            <w:tcW w:w="120" w:type="dxa"/>
            <w:vAlign w:val="bottom"/>
          </w:tcPr>
          <w:p>
            <w:pPr>
              <w:spacing w:after="0"/>
              <w:rPr>
                <w:sz w:val="18"/>
                <w:szCs w:val="18"/>
                <w:color w:val="auto"/>
              </w:rPr>
            </w:pPr>
          </w:p>
        </w:tc>
        <w:tc>
          <w:tcPr>
            <w:tcW w:w="4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LIABILITIES AND NET INVESTMENT</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54,814</w:t>
            </w:r>
          </w:p>
        </w:tc>
        <w:tc>
          <w:tcPr>
            <w:tcW w:w="4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 to affiliates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81,316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Oil States International, Inc. net investment</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1,710,123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(46,901)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Oil States International, Inc. net investment</w:t>
            </w: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1,663,222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1,591,034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net investment</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1,665,225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1,592,745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net investment</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2,196,845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2,123,237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COMBINED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36,596</w:t>
            </w:r>
          </w:p>
        </w:tc>
        <w:tc>
          <w:tcPr>
            <w:tcW w:w="140" w:type="dxa"/>
            <w:vAlign w:val="bottom"/>
          </w:tcPr>
          <w:p>
            <w:pPr>
              <w:spacing w:after="0"/>
              <w:rPr>
                <w:sz w:val="18"/>
                <w:szCs w:val="18"/>
                <w:color w:val="auto"/>
              </w:rPr>
            </w:pP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compensation charge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Losses on disposals of assets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loss on receivables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adjustment of contingent consideration</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(8,130)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Taxes payable</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(6,399)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current assets and liabilities, net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1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 including capitalized interest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(63,525)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disposition of property, plant and equipment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Revolving credit borrowings and (repayments), net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 loan repayments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Contributions from Oil States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(6,988)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224,128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264,751</w:t>
            </w: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COMBINED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3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SPIN-OFF, 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Spin-off</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May 5, 2014, the Oil States International, Inc. (Oil States) board of directors approved the separation of its Accommodations Segment (Accommodations) into a standalone, publicly traded company, Civeo Corporation (Civeo, we, or our). In accordance with a separation and distribution agreement, the two companies were separated by Oil States distributing to its stockholders all 106,594,332 shares of common stock of Civeo it held after the market closed on May 30, 2014 (the Spin-Off). Each Oil States stockholder received two shares of Civeo common stock for every one share of Oil States stock held at the close of business on the record date of May 21, 2014. In conjunction with the separation, Oil States received a private letter ruling from the Internal Revenue Service to the effect that, based on certain facts, assumptions, representations and undertakings set forth in the ruling, for U.S. federal income tax purposes, the distribution of Civeo common stock was not taxable to Oil States or U.S. holders of Oil States common stock. Following the separation, Oil States retained no ownership interest in Civeo, and each company now has separate public ownership, boards of directors and management. A registration statement on Form 10, as amended through the time of its effectiveness, describing the separation was filed by Civeo with the U.S. Securities and Exchange Commission (SEC) and was declared effective on May 8, 2014 (the Form 10). On June 2, 2014, Civeo stock began trading the “regular-way” on the New York Stock Exchange under the “CVEO” stock symbol. Pursuant to the separation and distribution agreement with Oil States, on May 28, 2014, we made a special cash distribution to Oil States of $750 million.</w:t>
      </w:r>
    </w:p>
    <w:p>
      <w:pPr>
        <w:spacing w:after="0" w:line="19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conjunction with the Spin-Off, on May 28, 2014, we entered into a $650.0 million, 5-year revolving credit facility and a 5-year U.S. term loan facility totaling $775.0 million. For further discussion, please see Note 6 –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one of North America’s and Australia’s largest integrated providers of accommodations services for people working in remote locations. Our scalable modular facilities provide long-term and temporary work force accommodations where traditional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We operate in three principal reportable business segments – Canadian, Australian and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combined financial statements included in this Quarterly Report on Form 10-Q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 Although the legal transfer of the Accommodations business of Oil States to Civeo took place subsequent to March 31, 2014, for ease of reference, these combined financial statements are collectively referred to as those of Civeo.</w:t>
      </w:r>
    </w:p>
    <w:p>
      <w:pPr>
        <w:spacing w:after="0" w:line="18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Unless otherwise stated or the context otherwise indicates, all references in these combined financial statements to “the Company,” “us,” “our” or “we” for the time period prior to the separation mean the Accommodations business of Oil States. For time periods after the separation, these terms refer to the legal entity Civeo.</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have been prepared as if such Accommodations business had been combined for all periods presented. All intercompany transactions between the combined operations have been eliminated. The assets and liabilities in the combined financial statements are reflected on a historical cost basis, as immediately prior to the separation all of the assets and liabilities presented were wholly owned by Oil States and were transferred within the Oil States consolidated group. All affiliate transactions between Civeo and Oil States have been included in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3" w:right="279" w:bottom="1440" w:gutter="0" w:footer="0" w:header="0"/>
        </w:sectPr>
      </w:pPr>
    </w:p>
    <w:bookmarkStart w:id="7" w:name="page8"/>
    <w:bookmarkEnd w:id="7"/>
    <w:p>
      <w:pPr>
        <w:ind w:firstLine="324"/>
        <w:spacing w:after="0" w:line="253" w:lineRule="auto"/>
        <w:rPr>
          <w:sz w:val="20"/>
          <w:szCs w:val="20"/>
          <w:color w:val="auto"/>
        </w:rPr>
      </w:pPr>
      <w:r>
        <w:rPr>
          <w:rFonts w:ascii="Times New Roman" w:cs="Times New Roman" w:eastAsia="Times New Roman" w:hAnsi="Times New Roman"/>
          <w:sz w:val="18"/>
          <w:szCs w:val="18"/>
          <w:color w:val="auto"/>
        </w:rPr>
        <w:t>Our combined financial statements include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have been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have been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Civeo is performing these functions using its own resources or purchased services. For an interim period, however, some of these functions will continue to be provided by Oil States under a Transition Services Agreement, which extends for a period of up to 9 months, depending on the service being provided.</w:t>
      </w:r>
    </w:p>
    <w:p>
      <w:pPr>
        <w:spacing w:after="0" w:line="19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Oil States uses a centralized approach to the cash management and financing of its U.S. operations. Prior to February 2014, cash from our U.S. operations was transferred to Oil States daily and Oil States funded our U.S. operating and investing activities as needed. Accordingly, the cash and cash equivalents held by Oil States at the corporate level were not allocated to us for any of the periods presented. We reflected transfer of cash to and from Oil States’ as a component of “Net Investment of Oil States International, Inc.” on our combined balance sheet. We have not included interest expense for intercompany cash advances from Oil States, since historically Oil States has not allocated interest expense related to intercompany advances to any of its businesses. Beginning in February 2014, we established Civeo cash accounts and funded a portion of our U.S. operating and investing activities.</w:t>
      </w:r>
    </w:p>
    <w:p>
      <w:pPr>
        <w:spacing w:after="0" w:line="18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combined financial statements of Civeo have been prepared pursuant to the rules and regulations of the SEC pertaining to interim financial information. Certain information in footnote disclosures normally included in financial statements prepared in accordance with GAAP have been condensed or omitted pursuant to these rules and regulations. The unaudited financial statements included in this report reflect all the adjustments, consisting of normal recurring adjustments, which the Company considers necessary for a fair presentation of the results of operations for the interim periods covered and for the financial condition of the Company at the date of the interim balance sheet. Results for the interim periods are not necessarily indicative of results for the full year. Certain reclassifications have been made to the December 31, 2013 combined balance sheet to conform to current year presentation. Earnings per share disclosures have been omitted as we were not a public entity during the periods presented.</w:t>
      </w:r>
    </w:p>
    <w:p>
      <w:pPr>
        <w:spacing w:after="0" w:line="189" w:lineRule="exact"/>
        <w:rPr>
          <w:sz w:val="20"/>
          <w:szCs w:val="20"/>
          <w:color w:val="auto"/>
        </w:rPr>
      </w:pPr>
    </w:p>
    <w:p>
      <w:pPr>
        <w:ind w:right="46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4"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financial statements included in this report should be read in conjunction with the Company’s audited financial statements and accompanying notes for the year ended December 31, 2013 included in its Form 10.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COMBINED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27"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w:t>
      </w:r>
    </w:p>
    <w:p>
      <w:pPr>
        <w:spacing w:after="0" w:line="17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On May 28, 2014, the FASB and the International Accounting Standards Board (IASB) issued a converged standard on revenue recognition from contracts with customers, ASU 2014-09 (Topic 606) and IFRS 15. The standard will supersede nearly all existing revenue recognition guidance. ASU 2014-09 is effective for fiscal years, and interim periods within those years, beginning after December 15, 2016. We are currently evaluating the impact this guidance will have on our financial condition, results of operations or cash flows.</w:t>
      </w:r>
    </w:p>
    <w:p>
      <w:pPr>
        <w:spacing w:after="0" w:line="176"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receivables, payables and debt instruments. We believe that the carrying values of these instruments, other than our long-term debt to affiliates, on the accompanying combined balance sheets approximate their fair values.</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our long-term debt to affiliates are estimated based on analysis of similar instruments (Level 2 fair value measurements). The carrying values and fair values of this debt are as follows for the periods indicated (in thousands):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March 31, 2014</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8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8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to affiliates</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322,515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343,283</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361,264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SELECTED BALANCE SHEET ACCOUNTS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information regarding selected balance sheet accounts at March 31, 2014 and December 31, 2013 is presented below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Trade</w:t>
            </w:r>
          </w:p>
        </w:tc>
        <w:tc>
          <w:tcPr>
            <w:tcW w:w="19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133,596</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128,781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186,545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181,501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(3,656)</w:t>
            </w: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182,210</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177,845</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and purchased products</w:t>
            </w:r>
          </w:p>
        </w:tc>
        <w:tc>
          <w:tcPr>
            <w:tcW w:w="2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22,743</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29,815</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872"/>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3660" w:type="dxa"/>
            <w:vAlign w:val="bottom"/>
            <w:shd w:val="clear" w:color="auto" w:fill="808080"/>
          </w:tcPr>
          <w:p>
            <w:pPr>
              <w:spacing w:after="0"/>
              <w:rPr>
                <w:sz w:val="5"/>
                <w:szCs w:val="5"/>
                <w:color w:val="auto"/>
              </w:rPr>
            </w:pPr>
          </w:p>
        </w:tc>
        <w:tc>
          <w:tcPr>
            <w:tcW w:w="2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6" w:right="199" w:bottom="1440" w:gutter="0" w:footer="0" w:header="0"/>
        </w:sectPr>
      </w:pPr>
    </w:p>
    <w:bookmarkStart w:id="9" w:name="page10"/>
    <w:bookmarkEnd w:id="9"/>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UNAUDITED COMBINED</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360" w:type="dxa"/>
            <w:vAlign w:val="bottom"/>
          </w:tcPr>
          <w:p>
            <w:pPr>
              <w:spacing w:after="0"/>
              <w:rPr>
                <w:sz w:val="18"/>
                <w:szCs w:val="18"/>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52,330</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Accommodations assets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1,550,014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1,535,407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129,587</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1,875,687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1,821,127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(524,818)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(495,260)</w:t>
            </w: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1,350,869</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1,325,867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taxes, other than income taxes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25,564</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ACQUISITIONS AND GOODWILL</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carrying amount of goodwill for the three month period ended March 31, 2014 are as follows (in thousands):</w:t>
      </w:r>
    </w:p>
    <w:p>
      <w:pPr>
        <w:spacing w:after="0" w:line="221"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Canadian</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Australian</w:t>
            </w:r>
          </w:p>
        </w:tc>
        <w:tc>
          <w:tcPr>
            <w:tcW w:w="200" w:type="dxa"/>
            <w:vAlign w:val="bottom"/>
          </w:tcPr>
          <w:p>
            <w:pPr>
              <w:spacing w:after="0"/>
              <w:rPr>
                <w:sz w:val="20"/>
                <w:szCs w:val="20"/>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U.S.</w:t>
            </w:r>
          </w:p>
        </w:tc>
        <w:tc>
          <w:tcPr>
            <w:tcW w:w="180" w:type="dxa"/>
            <w:vAlign w:val="bottom"/>
          </w:tcPr>
          <w:p>
            <w:pPr>
              <w:spacing w:after="0"/>
              <w:rPr>
                <w:sz w:val="20"/>
                <w:szCs w:val="20"/>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49,485</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194,939</w:t>
            </w: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16,632</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261,056</w:t>
            </w:r>
          </w:p>
        </w:tc>
        <w:tc>
          <w:tcPr>
            <w:tcW w:w="80" w:type="dxa"/>
            <w:vAlign w:val="bottom"/>
            <w:shd w:val="clear" w:color="auto" w:fill="CCEEFF"/>
          </w:tcPr>
          <w:p>
            <w:pPr>
              <w:spacing w:after="0"/>
              <w:rPr>
                <w:sz w:val="18"/>
                <w:szCs w:val="18"/>
                <w:color w:val="auto"/>
              </w:rPr>
            </w:pPr>
          </w:p>
        </w:tc>
      </w:tr>
      <w:tr>
        <w:trPr>
          <w:trHeight w:val="216"/>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(1,154)</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7,556</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6,402</w:t>
            </w:r>
          </w:p>
        </w:tc>
      </w:tr>
      <w:tr>
        <w:trPr>
          <w:trHeight w:val="23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2014</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48,331</w:t>
            </w:r>
          </w:p>
        </w:tc>
        <w:tc>
          <w:tcPr>
            <w:tcW w:w="1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202,495</w:t>
            </w:r>
          </w:p>
        </w:tc>
        <w:tc>
          <w:tcPr>
            <w:tcW w:w="18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16,632</w:t>
            </w:r>
          </w:p>
        </w:tc>
        <w:tc>
          <w:tcPr>
            <w:tcW w:w="16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267,458</w:t>
            </w:r>
          </w:p>
        </w:tc>
        <w:tc>
          <w:tcPr>
            <w:tcW w:w="80" w:type="dxa"/>
            <w:vAlign w:val="bottom"/>
            <w:shd w:val="clear" w:color="auto" w:fill="CCEEFF"/>
          </w:tcPr>
          <w:p>
            <w:pPr>
              <w:spacing w:after="0"/>
              <w:rPr>
                <w:sz w:val="19"/>
                <w:szCs w:val="19"/>
                <w:color w:val="auto"/>
              </w:rPr>
            </w:pPr>
          </w:p>
        </w:tc>
      </w:tr>
      <w:tr>
        <w:trPr>
          <w:trHeight w:val="20"/>
        </w:trPr>
        <w:tc>
          <w:tcPr>
            <w:tcW w:w="4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2014 and December 31, 2013, long-term debt consisted of the following (in thousands):</w:t>
      </w:r>
    </w:p>
    <w:p>
      <w:pPr>
        <w:spacing w:after="0" w:line="221"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7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Canadian revolving credit facility, which matures on December 10, 2015, with available commitments up</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$250 million; no borrowings outstanding during the three month period ended March 31, 2014</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Australian revolving credit facility, which matures December 10, 2015, with available commitments up to</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AUD$300 million; no borrowings outstanding during the three month period ended March 31, 2014</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 debt with Oil States</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322,515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322,515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Interest expense on the combined statements of income is net of capitalized interest of $0.3 million and $0.3 million for the three months ended March 31, 2014 and 2013,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00"/>
          </w:cols>
          <w:pgMar w:left="240" w:top="576" w:right="45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COMBINED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Affiliate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May 27, 2014, in conjunction with the Spin-Off, our affiliate debt with Oil States was settled through a non-cash capital contribution.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Civeo was a party to an Oil States credit facility agreement together with Oil States that had separate Canadian borrowing limits that served as debt financing for the Canadian operations of Civeo (Oil States Credit Facility). As of both March 31, 2014 and December 31, 2013, we had no outstanding balance under the Canadian portion of the credit facility and $0.9 million of outstanding letters of credit. Additionally, Civeo had a separate Australian credit facility (The MAC Group Credit Facility) that was used exclusively to support our Australian operations. As of both March 31, 2014 and December 31, 2013, we had no outstanding balance under the Australian credit facility.</w:t>
      </w:r>
    </w:p>
    <w:p>
      <w:pPr>
        <w:spacing w:after="0" w:line="184" w:lineRule="exact"/>
        <w:rPr>
          <w:sz w:val="20"/>
          <w:szCs w:val="20"/>
          <w:color w:val="auto"/>
        </w:rPr>
      </w:pPr>
    </w:p>
    <w:p>
      <w:pPr>
        <w:jc w:val="both"/>
        <w:ind w:right="160" w:firstLine="324"/>
        <w:spacing w:after="0" w:line="276" w:lineRule="auto"/>
        <w:rPr>
          <w:sz w:val="20"/>
          <w:szCs w:val="20"/>
          <w:color w:val="auto"/>
        </w:rPr>
      </w:pPr>
      <w:r>
        <w:rPr>
          <w:rFonts w:ascii="Times New Roman" w:cs="Times New Roman" w:eastAsia="Times New Roman" w:hAnsi="Times New Roman"/>
          <w:sz w:val="17"/>
          <w:szCs w:val="17"/>
          <w:color w:val="auto"/>
        </w:rPr>
        <w:t>On May 28, 2014, the Oil States Credit Facility and The MAC Group Credit Facility were terminated. We expect to recognize a loss on the termination during the second quarter 2014 of less than $5.0 million. We entered into (i) a $650.0 million, 5-year revolving credit facility which is allocated as follows:</w:t>
      </w:r>
    </w:p>
    <w:p>
      <w:pPr>
        <w:spacing w:after="0" w:line="1" w:lineRule="exact"/>
        <w:rPr>
          <w:sz w:val="20"/>
          <w:szCs w:val="20"/>
          <w:color w:val="auto"/>
        </w:rPr>
      </w:pPr>
    </w:p>
    <w:p>
      <w:pPr>
        <w:ind w:right="40" w:firstLine="8"/>
        <w:spacing w:after="0" w:line="251" w:lineRule="auto"/>
        <w:tabs>
          <w:tab w:leader="none" w:pos="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$775.0 million, 5-year term loan facility in favor of Civeo (collectively, the Credit Agreement). U.S. Dollar amounts outstanding under the Credit Agreement bear interest at a variable rate equal to LIBOR plus a margin of 1.75% to 2.75%, or a base rate plus 0.75% to 1.75%, in each case based on a ratio of our total leverage to EBITDA (as defined in the Credit Agreement). Canadian Dollar amounts outstanding under the Credit Agreement bear interest at a variable rate equal to CDOR plus a margin of 1.75% to 2.75%, or a base rate plus a margin of 0.75% to 1.75%, in each case based on a ratio of our total leverage to EBITDA (as defined in the Credit Agreement). Australian Dollar amounts outstanding under the Credit Agreement bear interest at a variable rate equal to BBSY plus a margin of 1.75% to 2.75%, based on a ratio of our total leverage to EBITDA (as defined in the Credit Agreement). We paid certain customary fees with respect to the Credit Agreement. We have 15 lenders in our Credit Agreement with commitments ranging from $20 million to $195 million.</w:t>
      </w:r>
    </w:p>
    <w:p>
      <w:pPr>
        <w:spacing w:after="0" w:line="19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to consolidated interest expense, of at least 3.0 to 1.0 and our maximum leverage ratio, defined as the ratio of total debt to consolidated EBITDA, of no greater than 3.5 to 1.0. Each of the factors considered in the calculations of these ratios are defined in the Credit Agreement. EBITDA and consolidated interest, as defined, exclude goodwill impairments, debt discount amortization and other non-cash charges. Borrowings under the Credit Agreement are secured by a pledge of substantially all of our assets and the assets of our subsidiaries. Obligations under the Credit Agreement are guaranteed by our significant subsidiaries.</w:t>
      </w:r>
    </w:p>
    <w:p>
      <w:pPr>
        <w:spacing w:after="0" w:line="181"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Income tax expense for interim periods is based on estimates of the effective tax rate for the entire fiscal year. The Company’s income tax provision for the three months ended March 31, 2014 totaled $12.3 million, or 25.2% of pretax income, compared to income tax expense of $20.6 million, or 24.3% of pretax income, for the three months ended March 31, 2013. The increase in the effective tax rate from the prior year was largely the result of a change in the earnings mix between different tax jurisdictions. The effective tax rates are lower than U.S. statutory rates because of lower foreign income tax rates.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3" w:right="2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COMBINED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right="480" w:firstLine="324"/>
        <w:spacing w:after="0" w:line="258" w:lineRule="auto"/>
        <w:rPr>
          <w:sz w:val="20"/>
          <w:szCs w:val="20"/>
          <w:color w:val="auto"/>
        </w:rPr>
      </w:pPr>
      <w:r>
        <w:rPr>
          <w:rFonts w:ascii="Times New Roman" w:cs="Times New Roman" w:eastAsia="Times New Roman" w:hAnsi="Times New Roman"/>
          <w:sz w:val="18"/>
          <w:szCs w:val="18"/>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80"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Our accumulated other comprehensive loss decreased $13.1 million from $60.0 million at December 31, 2013 to $46.9 million at March 31, 2014, as a result of foreign currency exchange rate differences. Changes in the other comprehensive loss during the first quarter of 2014 were primarily driven by the Australian dollar increasing in value compared to the U.S. dollar. Excluding intercompany balances, our Canadian dollar and Australian dollar functional currency net assets totaled approximately C$613 million and A$970 million, respectively, at March 31,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BASED COMPENSATION</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Prior to the Spin-Off, certain employees of Civeo participated in Oil States’ Equity Participation Plan. The expense associated with these employees is reflected in the accompanying combined income statements.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2014, Oil States granted restricted stock awards to Civeo’s employees totaling 29,850 shares valued at a total of $3.0 million. All of the restricted stock awards granted in the first three months of 2014 vest in four equal annual installments beginning in February 2015.</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2014, Oil States also granted 65,650 phantom stock awards under the Canadian Long-Term Incentive Plan, which provides for the granting of phantom stock awards to key Civeo Canadian employees. These awards vest in three equal annual installments beginning in February 2015 and are accounted for as a liability that is remeasured at each reporting date until paid. We had a liability totaling $0.3 million at March 31, 2014 related to these awards. The amount of compensation costs recognized for these liability awards is equal to the amount of cash paid upon settlement. As a result of the Spin-Off, participants granted units of phantom shares are entitled to a lump sum cash payment equal to the fair market value of a share of Civeo’s common stock on the vesting date.</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2014, a total of 8,000 Oil States’ stock options with a ten-year term were awarded to Civeo employees with an average exercise price of $100.43. These options had a fair value of $0.3 million and vest in four equal annual installments starting in February 2015. As a result of the Spin-Off, these options were converted to Civeo stock options on May 30, 2014.</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Stock based compensation pre-tax expense recognized in the three month periods ended March 31, 2014 and 2013 totaled $0.9 million and $0.6 million, respectively. The total fair value of restricted stock awards that vested during the three months ended March 31, 2014 and 2013 was $2.5 million and $0.9 million, respectively. At March 31, 2014, $7.5 million of compensation cost related to unvested stock options and restricted stock awards attributable to future performance or vesting conditions had not yet been 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AND RELATED INFORMATION</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current accounting standards regarding disclosures about segments of an enterprise and related information, we have identified the following reportable segments: Canadian, Australian and U.S., which represent our strategic focus on work force accommodations.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COMBINED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61"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Financial information by business segment for each of the three months ended March 31, 2014 and 2013 is summarized in the following table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Intersegment</w:t>
            </w:r>
          </w:p>
        </w:tc>
        <w:tc>
          <w:tcPr>
            <w:tcW w:w="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unaffiliated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and</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80" w:type="dxa"/>
            <w:vAlign w:val="bottom"/>
          </w:tcPr>
          <w:p>
            <w:pPr>
              <w:spacing w:after="0"/>
              <w:rPr>
                <w:sz w:val="20"/>
                <w:szCs w:val="20"/>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customers</w:t>
            </w: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expenditures</w:t>
            </w:r>
          </w:p>
        </w:tc>
        <w:tc>
          <w:tcPr>
            <w:tcW w:w="8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2014</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Canadian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180,324</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19,994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42,063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59,966</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Australian</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55,464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55,464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14,840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15,843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4,800</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Stand-alone adjustments and eliminations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252,799</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252,799</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39,599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52,860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63,525</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2,196,845</w:t>
            </w:r>
          </w:p>
        </w:tc>
        <w:tc>
          <w:tcPr>
            <w:tcW w:w="0" w:type="dxa"/>
            <w:vAlign w:val="bottom"/>
          </w:tcPr>
          <w:p>
            <w:pPr>
              <w:spacing w:after="0"/>
              <w:rPr>
                <w:sz w:val="1"/>
                <w:szCs w:val="1"/>
                <w:color w:val="auto"/>
              </w:rPr>
            </w:pPr>
          </w:p>
        </w:tc>
      </w:tr>
      <w:tr>
        <w:trPr>
          <w:trHeight w:val="20"/>
        </w:trPr>
        <w:tc>
          <w:tcPr>
            <w:tcW w:w="34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2013</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207,651</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70,768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40,813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Australian</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67,729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67,729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17,107</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19,566</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Stand-alone adjustments and eliminations</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(4,181)</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294,538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2,166,920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PARENT COMPANY INVESTMENT</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combined financial statements have been prepared on a stand-alone basis and are derived from the consolidated financial statements and accounting records of Oil States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All intercompany transactions between the combined operations have been eliminated. All affiliate transactions between Civeo and Oil States have been included in these combined financial statements. The total net effect of the settlement of these affiliate transactions is reflected in the combined balance sheets as “Oil States International, Inc. Net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 Company Services Provided and Corporate Allocations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Historically, Oil States has provided services to and funded certain expenditures of Civeo. The most significant of these services and expenditures were:</w:t>
      </w:r>
    </w:p>
    <w:p>
      <w:pPr>
        <w:spacing w:after="0" w:line="27" w:lineRule="exact"/>
        <w:rPr>
          <w:sz w:val="20"/>
          <w:szCs w:val="20"/>
          <w:color w:val="auto"/>
        </w:rPr>
      </w:pPr>
    </w:p>
    <w:p>
      <w:pPr>
        <w:ind w:right="40" w:firstLine="8"/>
        <w:spacing w:after="0" w:line="254"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expenditures to settle domestic accounts payable; (2) funding and processing of domestic payroll; (3) share-based compensation; and (4) certain transaction-related expenditures. The combined financial statements of Civeo reflect these expenditures. During the quarters ended March 31, 2014 and 2013, $33.0 million and $29.8 million, respectively, of expenditures for services received from Oil States or funding for expenditures provided by Oil States were included in the combined financial statements.</w:t>
      </w:r>
    </w:p>
    <w:p>
      <w:pPr>
        <w:spacing w:after="0" w:line="186"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combined statements of income also include general corporate expense allocations, which include costs incurred by Oil States for certain corporate functions such as executive management, finance, information technology, tax, internal audit, risk management, legal, human resources and treasury. During the quarters ended March 31, 2014 and 2013, we were allocated $1.6 million and $1.4 million, respectively, in respect of these corporate expenses which are included within selling, general and administrative expenses in the combined statements of income.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3" w:name="page14"/>
    <w:bookmarkEnd w:id="1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COMBINED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States Net Investment</w:t>
      </w:r>
    </w:p>
    <w:p>
      <w:pPr>
        <w:spacing w:after="0" w:line="22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Net transfers to Oil States are included within Oil States net investment on the combined balance sheets. The components of the change in Oil States net investment for the quarters ended March 31, 2014 and 2013 are as follows (in thousands):</w:t>
      </w:r>
    </w:p>
    <w:p>
      <w:pPr>
        <w:spacing w:after="0" w:line="158" w:lineRule="exact"/>
        <w:rPr>
          <w:sz w:val="20"/>
          <w:szCs w:val="20"/>
          <w:color w:val="auto"/>
        </w:rPr>
      </w:pPr>
    </w:p>
    <w:tbl>
      <w:tblPr>
        <w:tblLayout w:type="fixed"/>
        <w:tblInd w:w="108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transfers and general financing activities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8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received or funding for expenditures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29,832</w:t>
            </w: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allocations, including income tax provision (1)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3,468</w:t>
            </w:r>
          </w:p>
        </w:tc>
      </w:tr>
      <w:tr>
        <w:trPr>
          <w:trHeight w:val="20"/>
        </w:trPr>
        <w:tc>
          <w:tcPr>
            <w:tcW w:w="65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Oil States net investment</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22,870</w:t>
            </w: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44,434</w:t>
            </w:r>
          </w:p>
        </w:tc>
      </w:tr>
      <w:tr>
        <w:trPr>
          <w:trHeight w:val="20"/>
        </w:trPr>
        <w:tc>
          <w:tcPr>
            <w:tcW w:w="6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40" w:right="240" w:hanging="432"/>
        <w:spacing w:after="0" w:line="261"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allocations includes the general corporate expense allocations of $1.6 million and $1.4 million for the quarters ended March 31, 2014 and 2013, respectively,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Civeo’s combined balance sheets.</w:t>
      </w:r>
    </w:p>
    <w:p>
      <w:pPr>
        <w:spacing w:after="0" w:line="176"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May 5, 2014, the Oil States board of directors approved the separation of Accommodations into a standalone, publicly traded company, Civeo. In accordance with a separation and distribution agreement, the two companies were separated by Oil States distributing to its stockholders all 106,594,332 shares of common stock of Civeo it held after the market closed on May 30, 2014. On June 2, 2014, Civeo stock began trading the “regular-way” on the New York Stock Exchange under the “CVEO” stock symbol. Pursuant to the separation and distribution agreement with Oil States, on May 28, 2014, we made a special cash distribution to Oil States of $750 million. In conjunction with the Spin-Off, on May 28, 2014, we entered into a $650.0 million, 5-year revolving credit facility and a $775.0 million, 5-year term loan facility. For further discussion, please see Note 1 – Spin-Off, Description of Business and Basis of Presentation and Note 6 – Debt.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03" w:right="319" w:bottom="1440" w:gutter="0" w:footer="0" w:header="0"/>
        </w:sectPr>
      </w:pPr>
    </w:p>
    <w:bookmarkStart w:id="14" w:name="page15"/>
    <w:bookmarkEnd w:id="14"/>
    <w:p>
      <w:pPr>
        <w:ind w:left="30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Amendment No. 5 to our registration statement on Form 10 filed with the Securities and Exchange Commission on May 8, 2014.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 addition, in certain places in this quarterly report, we refer to reports published by third parties that purport to describe trends or developments in the energy industry. The Company does so for the convenience of our stockholders and in an effort to provide information available in the market that will assist the Company’s investors in a better understanding of the market environment in which the Company operates. However, the Company specifically disclaims any responsibility for the accuracy and completeness of such information and undertakes no obligation to update such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should read the following discussion and analysis together with our combined financial statements and the notes to those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Spin-off</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May 5, 2014, the Oil States board of directors approved the separation of Accommodations into a standalone, publicly traded company, Civeo. In accordance with a separation and distribution agreement, the two companies were separated by Oil States distributing to its stockholders all 106,594,332 shares of common stock of Civeo it held after the market closed on May 30, 2014. Each Oil States stockholder received two shares of Civeo common stock for every one share of Oil States stock held at the close of business on the record date of May 21, 2014. In conjunction with the separation, Oil States received a private letter ruling from the Internal Revenue Service to the effect that, based on certain facts, assumptions, representations and undertakings set forth in the ruling, for U.S. federal income tax purposes, the distribution of Civeo common stock was not taxable to Oil States or U.S. holders of Oil States common stock. Following the separation, Oil States retained no ownership interest in Civeo, and each company now has separate public ownership, boards of directors and management. A registration statement on Form 10, as amended through the time of its effectiveness, describing the separation was filed by Civeo with the U.S. Securities and Exchange Commission (SEC) and was declared effective on May 8, 2014 (the Form 10). On June 2, 2014, Civeo stock began trading the “regular-way” on the New York Stock Exchange under the “CVEO” stock symbol. Pursuant to the separation and distribution agreement with Oil States, on May 28, 2014, we made a special cash distribution to Oil States of $750 million.</w:t>
      </w:r>
    </w:p>
    <w:p>
      <w:pPr>
        <w:spacing w:after="0" w:line="193"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In conjunction with the Spin-Off, on May 28, 2014, we entered into a $650.0 million, 5-year revolving credit facility and a 5-year U.S. term loan facility totaling $775.0 million. For further discussion, including the termination of our prior facilities, please see “Liquidity and Capital Resources” below and Note 6 to the accompanying combined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combined financial statements included in this Quarterly Report on Form 10-Q have been prepared on a stand-alone basis and are derived from the consolidated financial statements and accounting records of Oil States. The combined financial statements reflect our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1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All intercompany transactions between the combined operations have been eliminated. All affiliate transactions between Civeo and Oil States have been included in these combined financial statements. The total net effect of the settlement of these affiliate transactions is reflected in the combined balance sheets as “Oil States International, Inc. Net Investment.”</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combined financial statements include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share-based compensation. These expenses have been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have been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Civeo is performing these functions using its own resources or purchased services. For an interim period, however, some of these functions will continue to be provided by Oil States under a Transition Services Agreement, which extends for a period of up to 9 months, depending on the service being provided.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Environment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provide workforce accommodations to the natural resource industry in Canada, Australia and the U.S.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Long-term demand for our services is driven by continued development and expansion of natural resource production and operation of oil sands refining facilities. Industry capital spending programs are generally based on the long-term outlook for commodity prices, economic growth and estimates of resource production. As a result, demand for our products and services is largely sensitive to expected commodity prices, principally related to crude oil, metallurgical (met) coal and, to a lesser extent, natural gas.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Canada, Western Canadian Select (WCS) crude is the benchmark price for our oil sands accommodations’ customers. Pricing for WCS is driven by several factors. A significant factor affecting WCS pricing is the underlying price for West Texas Intermediate (WTI). As WTI prices have increased over the past few years with the global economic recovery, WCS prices have also increased. Another significant factor affecting WCS pricing has been the availability of transportation infrastructure. Historically, WCS has traded at a discount to WTI, creating a “WCS Basis Differential,” due to transportation costs and limited capacity to move growing Canadian heavy oil production to U.S. refineries. Depending on the extent of pipeline capacity availability, the WCS Basis Differential has varied. With the increase in global oil prices and increased transportation capacity from the oil sands region due to rail and barge alternatives, the absolute price of WCS has increased and the WCS Basis Differential has decreased. WCS prices in the first quarter of 2014 averaged $77.76 per barrel compared to $66.34 per barrel in the fourth quarter of 2013. The WCS Basis Differential narrowed from $23 per barrel at the end of the fourth quarter of 2013 to $20 per barrel by the end of the first quarter of 2014, due to increased demand from U.S. refineries, a continued increase in crude by rail volumes and a number of pipeline capacity improvements and expansion projects. As of June 11, 2014, the WCS Basis Differential was $19.10. Should the price of WTI decline or the WCS Basis Differential widen, our oil sands customers may delay additional investments or reduce their spending in the oil sands region.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6" w:name="page17"/>
    <w:bookmarkEnd w:id="16"/>
    <w:p>
      <w:pPr>
        <w:ind w:firstLine="324"/>
        <w:spacing w:after="0" w:line="255" w:lineRule="auto"/>
        <w:rPr>
          <w:sz w:val="20"/>
          <w:szCs w:val="20"/>
          <w:color w:val="auto"/>
        </w:rPr>
      </w:pPr>
      <w:r>
        <w:rPr>
          <w:rFonts w:ascii="Times New Roman" w:cs="Times New Roman" w:eastAsia="Times New Roman" w:hAnsi="Times New Roman"/>
          <w:sz w:val="18"/>
          <w:szCs w:val="18"/>
          <w:color w:val="auto"/>
        </w:rPr>
        <w:t>Given the historical volatility of WTI crude prices and the WCS Basis Differential, there remains a risk that prices in the oil sands could deteriorate going forward due to slowing growth rates in China, fiscal and financial uncertainty in the U.S. and various European countries, potentially negative effects on economic growth in the U.S. due to a prolonged level of relatively high unemployment in the U.S. and other advanced economies. However, if the global supply of oil and global inventory levels were to decrease due to government instability in a major oil-producing nation and energy demand continues to increase in countries such as China, India and the U.S., we could see continued and/or additional increases in WTI crude prices which coupled with an improvement in takeaway capacity from the oil sands could improve WCS pricing. This, in turn, could lead to our oil sands customers increasing their investments in oil sands production. Conversely, if WCS crude prices continue to experience a significant discount to WTI crude, our oil sands customers may have an incentive to delay additional investments in their oil sands assets.</w:t>
      </w:r>
    </w:p>
    <w:p>
      <w:pPr>
        <w:spacing w:after="0" w:line="18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Natural gas prices and WTI crude oil pricing, discussed above, have an impact on the demand for our U.S. accommodations. Prices for natural gas in the U.S. averaged $5.18 per mmBtu in the first quarter of 2014, a 48% increase over the first quarter 2013 average price, and the highest quarterly average in the past five years. Natural gas prices improved significantly during the quarter largely due to above average storage withdrawals in response to extremely cold winter weather in many parts of the U.S., lower net imports from Canada and higher residential, commercial and industrial demand. During the quarter, natural gas prices ranged from a low of $3.95 per mmBtu in early January 2014 to a high of $8.15 per mmBtu in early February. Natural gas prices have declined for more recent periods, trading at approximately $4.50 per mmBtu as of June 11, 2014. The improvement in demand for natural gas has resulted in significant declines in natural gas inventories in the U.S. from 2% below the 5-year average as of the end of the first quarter of 2013 to 55% below the 5-year average as of the end of the first quarter of 2014. In spite of the increases in natural gas prices, additional customer spending in the natural gas shale plays was limited as natural gas production from already developed unconventional natural gas resources in North America remained high during the quarter. As a result of natural gas production growth outpacing demand in the U.S., natural gas prices continue to be weak relative to prices experienced in 2006 through 2008 and are expected to remain below levels considered economic for new investments in numerous natural gas fields. Consequently, the U.S. natural gas-related working rig count has declined from more than 430 rigs at the beginning of 2013 to 320 rigs as of June 11, 2014, a 19-year low. If natural gas production growth continues to surpass demand in the U.S. and/or the supply of natural gas were to increase, whether the supply comes from conventional or unconventional production or associated natural gas production from oil wells, prices for natural gas could be constrained for an extended period and result in fewer rigs drilling for natural gas in the near-term.</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Australian villages in the Bowen Basin primarily serve coal mines in that region. Met coal pricing and growth in production in the Bowen Basin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 is influenced by levels of global steel production. Because Chinese steel production has been growing at a slower pace than that experienced in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early 2011, Chinese demand for imported steel inputs such as met coal and iron ore continued to decrease during the first quarter of 2014 compared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of 2013. As a result, spot met coal prices have decreased materially from over $160/metric ton at the beginning of 2013 to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$113/metric ton at the end of the first quarter of 2014. Depressed met coal prices have led to the implementation of cost control measures by our customers,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coal mine closures and delays in the start-up of new coal mining projects in Australia. A continued depressed met coal price will impact our customers’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capital spending programs. However, steel consumption per capita in China is less than one-third of the amount installed in the U.S. economy,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suggesting a favorable outlook for Chinese steel production and met coal demand over a longer time horizon.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color w:val="auto"/>
        </w:rPr>
        <w:t>Recent WTI crude, WCS crude, met coal and natural gas pricing trends are as follows:</w:t>
      </w:r>
    </w:p>
    <w:p>
      <w:pPr>
        <w:spacing w:after="0" w:line="115" w:lineRule="exact"/>
        <w:rPr>
          <w:sz w:val="20"/>
          <w:szCs w:val="20"/>
          <w:color w:val="auto"/>
        </w:rPr>
      </w:pPr>
    </w:p>
    <w:tbl>
      <w:tblPr>
        <w:tblLayout w:type="fixed"/>
        <w:tblInd w:w="1160" w:type="dxa"/>
        <w:tblCellMar>
          <w:top w:w="0" w:type="dxa"/>
          <w:left w:w="0" w:type="dxa"/>
          <w:bottom w:w="0" w:type="dxa"/>
          <w:right w:w="0" w:type="dxa"/>
        </w:tblCellMar>
      </w:tblPr>
      <w:tr>
        <w:trPr>
          <w:trHeight w:val="345"/>
        </w:trPr>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Average Price </w:t>
            </w:r>
            <w:r>
              <w:rPr>
                <w:rFonts w:ascii="Times New Roman" w:cs="Times New Roman" w:eastAsia="Times New Roman" w:hAnsi="Times New Roman"/>
                <w:sz w:val="30"/>
                <w:szCs w:val="30"/>
                <w:b w:val="1"/>
                <w:bCs w:val="1"/>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Hard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WTI</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WCS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Coking Coal (Met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Henry Hub</w:t>
            </w:r>
          </w:p>
        </w:tc>
      </w:tr>
      <w:tr>
        <w:trPr>
          <w:trHeight w:val="216"/>
        </w:trPr>
        <w:tc>
          <w:tcPr>
            <w:tcW w:w="10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Crude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Crude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Natural Gas</w:t>
            </w:r>
          </w:p>
        </w:tc>
      </w:tr>
      <w:tr>
        <w:trPr>
          <w:trHeight w:val="238"/>
        </w:trPr>
        <w:tc>
          <w:tcPr>
            <w:tcW w:w="10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(per bbl)</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(per bbl)</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(per ton)</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(per mcf)</w:t>
            </w:r>
          </w:p>
        </w:tc>
        <w:tc>
          <w:tcPr>
            <w:tcW w:w="80" w:type="dxa"/>
            <w:vAlign w:val="bottom"/>
          </w:tcPr>
          <w:p>
            <w:pPr>
              <w:spacing w:after="0"/>
              <w:rPr>
                <w:sz w:val="20"/>
                <w:szCs w:val="20"/>
                <w:color w:val="auto"/>
              </w:rPr>
            </w:pPr>
          </w:p>
        </w:tc>
      </w:tr>
      <w:tr>
        <w:trPr>
          <w:trHeight w:val="210"/>
        </w:trPr>
        <w:tc>
          <w:tcPr>
            <w:tcW w:w="2200" w:type="dxa"/>
            <w:vAlign w:val="bottom"/>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3/31/2014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77.76</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18"/>
                <w:szCs w:val="18"/>
                <w:color w:val="auto"/>
              </w:rPr>
            </w:pPr>
          </w:p>
        </w:tc>
      </w:tr>
      <w:tr>
        <w:trPr>
          <w:trHeight w:val="216"/>
        </w:trPr>
        <w:tc>
          <w:tcPr>
            <w:tcW w:w="220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12/31/2013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8"/>
              </w:rPr>
              <w:t>66.34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8"/>
                <w:szCs w:val="18"/>
                <w:color w:val="auto"/>
              </w:rPr>
            </w:pPr>
          </w:p>
        </w:tc>
      </w:tr>
      <w:tr>
        <w:trPr>
          <w:trHeight w:val="216"/>
        </w:trPr>
        <w:tc>
          <w:tcPr>
            <w:tcW w:w="2200" w:type="dxa"/>
            <w:vAlign w:val="bottom"/>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9/30/2013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83.10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shd w:val="clear" w:color="auto" w:fill="CCEEFF"/>
          </w:tcPr>
          <w:p>
            <w:pPr>
              <w:spacing w:after="0"/>
              <w:rPr>
                <w:sz w:val="18"/>
                <w:szCs w:val="18"/>
                <w:color w:val="auto"/>
              </w:rPr>
            </w:pPr>
          </w:p>
        </w:tc>
      </w:tr>
      <w:tr>
        <w:trPr>
          <w:trHeight w:val="216"/>
        </w:trPr>
        <w:tc>
          <w:tcPr>
            <w:tcW w:w="220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8"/>
              </w:rPr>
              <w:t>6/30/2013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8"/>
              </w:rPr>
              <w:t>77.48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18"/>
                <w:szCs w:val="18"/>
                <w:color w:val="auto"/>
              </w:rPr>
            </w:pPr>
          </w:p>
        </w:tc>
      </w:tr>
      <w:tr>
        <w:trPr>
          <w:trHeight w:val="216"/>
        </w:trPr>
        <w:tc>
          <w:tcPr>
            <w:tcW w:w="2200" w:type="dxa"/>
            <w:vAlign w:val="bottom"/>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3/31/2013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66.86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18"/>
                <w:szCs w:val="18"/>
                <w:color w:val="auto"/>
              </w:rPr>
            </w:pPr>
          </w:p>
        </w:tc>
      </w:tr>
      <w:tr>
        <w:trPr>
          <w:trHeight w:val="216"/>
        </w:trPr>
        <w:tc>
          <w:tcPr>
            <w:tcW w:w="220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12/31/2012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8"/>
              </w:rPr>
              <w:t>61.34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18"/>
                <w:szCs w:val="18"/>
                <w:color w:val="auto"/>
              </w:rPr>
            </w:pPr>
          </w:p>
        </w:tc>
      </w:tr>
      <w:tr>
        <w:trPr>
          <w:trHeight w:val="216"/>
        </w:trPr>
        <w:tc>
          <w:tcPr>
            <w:tcW w:w="2200" w:type="dxa"/>
            <w:vAlign w:val="bottom"/>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9/30/2012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76.75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8"/>
                <w:szCs w:val="18"/>
                <w:color w:val="auto"/>
              </w:rPr>
            </w:pPr>
          </w:p>
        </w:tc>
      </w:tr>
      <w:tr>
        <w:trPr>
          <w:trHeight w:val="216"/>
        </w:trPr>
        <w:tc>
          <w:tcPr>
            <w:tcW w:w="220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8"/>
              </w:rPr>
              <w:t>6/30/2012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8"/>
              </w:rPr>
              <w:t>73.53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8"/>
                <w:szCs w:val="18"/>
                <w:color w:val="auto"/>
              </w:rPr>
            </w:pPr>
          </w:p>
        </w:tc>
      </w:tr>
      <w:tr>
        <w:trPr>
          <w:trHeight w:val="216"/>
        </w:trPr>
        <w:tc>
          <w:tcPr>
            <w:tcW w:w="2200" w:type="dxa"/>
            <w:vAlign w:val="bottom"/>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3/31/2012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75.82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18"/>
                <w:szCs w:val="18"/>
                <w:color w:val="auto"/>
              </w:rPr>
            </w:pPr>
          </w:p>
        </w:tc>
      </w:tr>
      <w:tr>
        <w:trPr>
          <w:trHeight w:val="218"/>
        </w:trPr>
        <w:tc>
          <w:tcPr>
            <w:tcW w:w="220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12/31/2011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8"/>
              </w:rPr>
              <w:t>81.56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-1372235</wp:posOffset>
            </wp:positionV>
            <wp:extent cx="5797550" cy="1372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3722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5" w:lineRule="exact"/>
        <w:rPr>
          <w:sz w:val="20"/>
          <w:szCs w:val="20"/>
          <w:color w:val="auto"/>
        </w:rPr>
      </w:pPr>
    </w:p>
    <w:p>
      <w:pPr>
        <w:ind w:left="260" w:hanging="9"/>
        <w:spacing w:after="0" w:line="282" w:lineRule="auto"/>
        <w:tabs>
          <w:tab w:leader="none" w:pos="7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WTI crude and natural gas prices from U.S. Energy Information Administration (EIA) and WCS crude prices and Queensland hard coking coal index from Bloomberg.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As noted above, demand for our services is primarily tied to the long-term outlook for crude oil and met coal prices. Other factors that can affect our business and financial results include the general global economic environment and regulatory changes in the U.S., Canada and Australia and in other markets.</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not cost effective, our lodge and village facilities provide comprehensive accommodations services similar to those found in an urban hotel. We typically contract our facilities to our customers on a fee per day basis covering lodging and meals that is based on the duration of their needs which can range from several months to several years.</w:t>
      </w:r>
    </w:p>
    <w:p>
      <w:pPr>
        <w:spacing w:after="0" w:line="188"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Generally, our customers are making multi-billion dollar investments to develop their prospects, which have estimated reserve lives of ten years to in excess of thirty years. Consequently, these investments are dependent on those customers’ longer-term view of commodity demand and prices. Oil sands development and production activity has increased over the past several years and has had a positive impact on our Canadian business.</w:t>
      </w:r>
    </w:p>
    <w:p>
      <w:pPr>
        <w:spacing w:after="0" w:line="17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Recent announcements of new and expanded oil sands projects can create the opportunity to extend existing accommodations contracts and incremental contracts for us in Canada. For example, in the third quarter of 2012, we were awarded a ten-year contract in support of future operations personnel working on the Kearl Project, one of the Canadian oil sands potentially largest mining operations. More recently, we were rewarded a three-year contract in January 2014 to provide accommodations in support of a new oil sand mining project. We will serve this client at our new McClelland Lake Lodge, which will initially have 1,561 rooms and begin operations in the summer of 2014. However, given the WCS discount to WTI, several oil sands customers have announced the deferral of new oil sands projects, which could negatively affect our ability to expand our oil sands room count or our occupancy levels in the near term.</w:t>
      </w:r>
    </w:p>
    <w:p>
      <w:pPr>
        <w:spacing w:after="0" w:line="18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accommodations customers and several years of cost inflation caused several of our customers to curtail production from higher cost mines and delay or materially reduce their growth plans. This has negatively affected our ability to expand our room count and has led to a decrease in occupancy levels. It has also caused one of our customers to renegotiate contracts with us to reduce their forward room commitments in return for contract amendment payments beginning in March 2014, which will be recognized as additional revenue on a straight-line basis over the remaining life of the customer contracts.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8" w:name="page19"/>
    <w:bookmarkEnd w:id="18"/>
    <w:p>
      <w:pPr>
        <w:ind w:firstLine="324"/>
        <w:spacing w:after="0" w:line="255" w:lineRule="auto"/>
        <w:rPr>
          <w:sz w:val="20"/>
          <w:szCs w:val="20"/>
          <w:color w:val="auto"/>
        </w:rPr>
      </w:pPr>
      <w:r>
        <w:rPr>
          <w:rFonts w:ascii="Times New Roman" w:cs="Times New Roman" w:eastAsia="Times New Roman" w:hAnsi="Times New Roman"/>
          <w:sz w:val="18"/>
          <w:szCs w:val="18"/>
          <w:color w:val="auto"/>
        </w:rPr>
        <w:t>Exchange rates between the U.S. dollar and the Canadian dollar and between the U.S. dollar and the Australian dollar influence our U.S. reported financial results. Our business has historically derived a vast majority of its revenues and operating income in Canada and Australia. These revenues and profits are translated into U.S. dollars for U.S. GAAP financial reporting purposes. The Canadian dollar was valued at an average exchange rate of U.S. $0.91 for the first three months of 2014 compared to U.S. $0.99 for the first three months of 2013, a decrease of 8%. The Australian dollar was valued at an average exchange rate of U.S. $0.90 for the first three months of 2014 compared to U.S. $1.04 for the first three months of 2013, a decrease of 13%. This weakening of the Canadian and Australian dollars has and may continue to have a proportionately negative impact on the translation of earnings generated from our Canadian and Australian subsidiaries and, therefore, our financial results.</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continue to monitor the global economy, the demand for crude oil, met coal and natural gas and the resultant impact on the capital spending plans of our customers in order to plan our business. We currently expect that our 2014 capital expenditures will total approximately $325 million to $375 million, compared to 2013 capital expenditures of $292 million. Please see “Liquidity and Capital Resources” below for further discussion of 2014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discussion of results for the three-month period ended March 31, 2014, is based on a comparison with the corresponding period of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Results of Operations</w:t>
            </w:r>
          </w:p>
        </w:tc>
        <w:tc>
          <w:tcPr>
            <w:tcW w:w="340" w:type="dxa"/>
            <w:vAlign w:val="bottom"/>
          </w:tcPr>
          <w:p>
            <w:pPr>
              <w:spacing w:after="0"/>
              <w:rPr>
                <w:sz w:val="20"/>
                <w:szCs w:val="20"/>
                <w:color w:val="auto"/>
              </w:rPr>
            </w:pPr>
          </w:p>
        </w:tc>
        <w:tc>
          <w:tcPr>
            <w:tcW w:w="3420" w:type="dxa"/>
            <w:vAlign w:val="bottom"/>
            <w:gridSpan w:val="8"/>
            <w:vMerge w:val="restart"/>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20" w:type="dxa"/>
            <w:vAlign w:val="bottom"/>
            <w:gridSpan w:val="8"/>
            <w:vMerge w:val="continue"/>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180,324</w:t>
            </w:r>
          </w:p>
        </w:tc>
        <w:tc>
          <w:tcPr>
            <w:tcW w:w="12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207,651</w:t>
            </w:r>
          </w:p>
        </w:tc>
        <w:tc>
          <w:tcPr>
            <w:tcW w:w="12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(27,327)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Australia</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(12,265)</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and other</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252,799</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294,538</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 and services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Australia</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and other</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cost of sales and services</w:t>
            </w: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143,510</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150,448</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(4,026)</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199,939</w:t>
            </w: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203,777</w:t>
            </w: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(37,901)</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income, net</w:t>
            </w:r>
          </w:p>
        </w:tc>
        <w:tc>
          <w:tcPr>
            <w:tcW w:w="3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(6,409)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(35,855)</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w:t>
            </w:r>
          </w:p>
        </w:tc>
        <w:tc>
          <w:tcPr>
            <w:tcW w:w="1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160" w:type="dxa"/>
            <w:vAlign w:val="bottom"/>
          </w:tcPr>
          <w:p>
            <w:pPr>
              <w:spacing w:after="0"/>
              <w:rPr>
                <w:sz w:val="5"/>
                <w:szCs w:val="5"/>
                <w:color w:val="auto"/>
              </w:rPr>
            </w:pPr>
          </w:p>
        </w:tc>
        <w:tc>
          <w:tcPr>
            <w:tcW w:w="402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(20,572</w:t>
            </w:r>
          </w:p>
        </w:tc>
        <w:tc>
          <w:tcPr>
            <w:tcW w:w="12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(27,594)</w:t>
            </w: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4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34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income attributable to Civeo</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36,239</w:t>
            </w:r>
          </w:p>
        </w:tc>
        <w:tc>
          <w:tcPr>
            <w:tcW w:w="120" w:type="dxa"/>
            <w:vAlign w:val="bottom"/>
          </w:tcPr>
          <w:p>
            <w:pPr>
              <w:spacing w:after="0"/>
              <w:rPr>
                <w:sz w:val="21"/>
                <w:szCs w:val="21"/>
                <w:color w:val="auto"/>
              </w:rPr>
            </w:pP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120" w:type="dxa"/>
            <w:vAlign w:val="bottom"/>
          </w:tcPr>
          <w:p>
            <w:pPr>
              <w:spacing w:after="0"/>
              <w:rPr>
                <w:sz w:val="21"/>
                <w:szCs w:val="21"/>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(27,573)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reported net income attributable to Civeo for the quarter ended March 31, 2014 of $36.2 million. These results compare to net income attributable to Civeo for the quarter ended March 31, 2013 of $63.8 million including a pre-tax gain of $4.0 million from a decrease to a liability associated with contingent acquisition consideration.</w:t>
      </w:r>
    </w:p>
    <w:p>
      <w:pPr>
        <w:spacing w:after="0" w:line="172"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Combined revenues decreased $41.7 million, or 14%, in the first quarter of 2014 compared to the first quarter of 2013. This decline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largely driven by decreases in both Canada and Australia, as further described in the segment discussion below.</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9" w:name="page20"/>
    <w:bookmarkEnd w:id="19"/>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Sales and Service. </w:t>
      </w:r>
      <w:r>
        <w:rPr>
          <w:rFonts w:ascii="Times New Roman" w:cs="Times New Roman" w:eastAsia="Times New Roman" w:hAnsi="Times New Roman"/>
          <w:sz w:val="18"/>
          <w:szCs w:val="18"/>
          <w:color w:val="auto"/>
        </w:rPr>
        <w:t>Our combined cost of sales decreased $6.9 million, or 5%, in the first quarter of 2014 compared to the first quarter of 2013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reduced costs in Australia. Please see further segment discussion below.</w:t>
      </w:r>
    </w:p>
    <w:p>
      <w:pPr>
        <w:spacing w:after="0" w:line="155"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 increased $0.5 million, or 3%, in the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2014 compared to the first quarter of 2013 primarily due to higher stock award expense, cost allocations from Oil States and transition costs incurred associated with becoming a stand-alone company, slightly offset by a reduction in SG&amp;A expense in Australia due to cost containment efforts in light of current activity.</w:t>
      </w:r>
    </w:p>
    <w:p>
      <w:pPr>
        <w:spacing w:after="0" w:line="177"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Expense. </w:t>
      </w:r>
      <w:r>
        <w:rPr>
          <w:rFonts w:ascii="Times New Roman" w:cs="Times New Roman" w:eastAsia="Times New Roman" w:hAnsi="Times New Roman"/>
          <w:sz w:val="18"/>
          <w:szCs w:val="18"/>
          <w:color w:val="auto"/>
        </w:rPr>
        <w:t>Depreciation and amortization expense decreased $1.5 million, or 4%, in the first quarter of 2014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first quarter of 2013 primarily due to lower depreciation expense in our Canadian and Australian segments due to the weakening of the average exchange rates for Canadian and Australian dollars relative to the U.S. dollar and the extension of a land lease for two of our Canadian lodges. This was partially offset by capital expenditures made during the last twelve months.</w:t>
      </w:r>
    </w:p>
    <w:p>
      <w:pPr>
        <w:spacing w:after="0" w:line="177"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Consolidated operating income decreased $37.9 million, or 42%, in the first quarter of 2014 compared to the first quarter of 2013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as a result of lower revenue described above and in the segment discussion below.</w:t>
      </w:r>
    </w:p>
    <w:p>
      <w:pPr>
        <w:spacing w:after="0" w:line="155" w:lineRule="exact"/>
        <w:rPr>
          <w:sz w:val="20"/>
          <w:szCs w:val="20"/>
          <w:color w:val="auto"/>
        </w:rPr>
      </w:pPr>
    </w:p>
    <w:p>
      <w:pPr>
        <w:jc w:val="both"/>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Expense and Interest Income, net. </w:t>
      </w:r>
      <w:r>
        <w:rPr>
          <w:rFonts w:ascii="Times New Roman" w:cs="Times New Roman" w:eastAsia="Times New Roman" w:hAnsi="Times New Roman"/>
          <w:sz w:val="18"/>
          <w:szCs w:val="18"/>
          <w:color w:val="auto"/>
        </w:rPr>
        <w:t>Net interest expense, including interest expense and income to/from affiliates, decreased by $2.2 million,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35%, in the first quarter of 2014 compared to the first quarter of 2013 primarily due to repayment of the Australian revolving credit facility and the Canadian term loan in the first half of 2013. Interest income increased as a result of higher cash balances during the first quarter 2014 compared to 2013.</w:t>
      </w:r>
    </w:p>
    <w:p>
      <w:pPr>
        <w:spacing w:after="0" w:line="171"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 Provision. </w:t>
      </w:r>
      <w:r>
        <w:rPr>
          <w:rFonts w:ascii="Times New Roman" w:cs="Times New Roman" w:eastAsia="Times New Roman" w:hAnsi="Times New Roman"/>
          <w:sz w:val="18"/>
          <w:szCs w:val="18"/>
          <w:color w:val="auto"/>
        </w:rPr>
        <w:t>The Company’s income tax provision for the three months ended March 31, 2014 totaled $12.3 million, or 25.2% of pretax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compared to income tax expense of $20.6 million, or 24.3% of pretax income, for the three months ended March 31, 2013. The increase in the effective tax rate from the prior year was largely the result of a change in the earnings mix between different tax jurisdictions. The effective tax rates are lower than U.S. statutory rates because of lower foreign income tax rates.</w:t>
      </w:r>
    </w:p>
    <w:p>
      <w:pPr>
        <w:spacing w:after="0" w:line="177"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Comprehensive Income (Loss). </w:t>
      </w:r>
      <w:r>
        <w:rPr>
          <w:rFonts w:ascii="Times New Roman" w:cs="Times New Roman" w:eastAsia="Times New Roman" w:hAnsi="Times New Roman"/>
          <w:sz w:val="18"/>
          <w:szCs w:val="18"/>
          <w:color w:val="auto"/>
        </w:rPr>
        <w:t>Other comprehensive income increased $18.9 million in the first quarter of 2014 compared to the first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2013 primarily as a result of foreign currency translation adjustments due to offsetting changes in the Canadian and Australian dollar exchange rates compared to the U.S. dollar. The Canadian dollar exchange rate compared to the U.S. dollar decreased 4% in the first quarter of 2014 compared to a 2% decrease in the first quarter of 2013. The Australian dollar exchange rate compared to the U.S. dollar increased 4% in the first quarter of 2014 compared to a less than 1% decrease in the first quarter of 2013.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of Operations – Canadian Segment</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00" w:type="dxa"/>
            <w:vAlign w:val="bottom"/>
            <w:gridSpan w:val="8"/>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in thousands)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Lodge revenue (1)</w:t>
            </w:r>
          </w:p>
        </w:tc>
        <w:tc>
          <w:tcPr>
            <w:tcW w:w="13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122,388</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145,998</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(23,610)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Mobile, open camp and product revenue</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57,936</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61,653</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3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180,324</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207,651</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(27,327)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and services ($ in thousands)</w:t>
            </w:r>
          </w:p>
        </w:tc>
        <w:tc>
          <w:tcPr>
            <w:tcW w:w="13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109,695</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110,637</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as a % of revenues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Average Available Lodge Rooms (2)</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RevPAR for Lodges (3)</w:t>
            </w:r>
          </w:p>
        </w:tc>
        <w:tc>
          <w:tcPr>
            <w:tcW w:w="13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Occupancy in Lodges (4)</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vMerge w:val="continue"/>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Canadian dollar to US dollar</w:t>
            </w:r>
          </w:p>
        </w:tc>
        <w:tc>
          <w:tcPr>
            <w:tcW w:w="13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0.907</w:t>
            </w:r>
          </w:p>
        </w:tc>
        <w:tc>
          <w:tcPr>
            <w:tcW w:w="18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0.992</w:t>
            </w:r>
          </w:p>
        </w:tc>
        <w:tc>
          <w:tcPr>
            <w:tcW w:w="200" w:type="dxa"/>
            <w:vAlign w:val="bottom"/>
          </w:tcPr>
          <w:p>
            <w:pPr>
              <w:spacing w:after="0"/>
              <w:rPr>
                <w:sz w:val="20"/>
                <w:szCs w:val="20"/>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116840</wp:posOffset>
            </wp:positionV>
            <wp:extent cx="1000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0125" cy="8890"/>
                    </a:xfrm>
                    <a:prstGeom prst="rect">
                      <a:avLst/>
                    </a:prstGeom>
                    <a:noFill/>
                  </pic:spPr>
                </pic:pic>
              </a:graphicData>
            </a:graphic>
          </wp:anchor>
        </w:drawing>
      </w:r>
    </w:p>
    <w:p>
      <w:pPr>
        <w:spacing w:after="0" w:line="186" w:lineRule="exact"/>
        <w:rPr>
          <w:sz w:val="20"/>
          <w:szCs w:val="20"/>
          <w:color w:val="auto"/>
        </w:rPr>
      </w:pPr>
    </w:p>
    <w:p>
      <w:pPr>
        <w:ind w:left="460" w:hanging="22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 related to rooms as well as the fees associated with catering, laundry and other services including facilities management.</w:t>
      </w:r>
    </w:p>
    <w:p>
      <w:pPr>
        <w:spacing w:after="0" w:line="225" w:lineRule="exact"/>
        <w:rPr>
          <w:rFonts w:ascii="Times New Roman" w:cs="Times New Roman" w:eastAsia="Times New Roman" w:hAnsi="Times New Roman"/>
          <w:sz w:val="18"/>
          <w:szCs w:val="18"/>
          <w:color w:val="auto"/>
        </w:rPr>
      </w:pPr>
    </w:p>
    <w:p>
      <w:pPr>
        <w:ind w:left="460" w:hanging="22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available rooms include rooms that are utilized for our personnel.</w:t>
      </w:r>
    </w:p>
    <w:p>
      <w:pPr>
        <w:spacing w:after="0" w:line="225" w:lineRule="exact"/>
        <w:rPr>
          <w:rFonts w:ascii="Times New Roman" w:cs="Times New Roman" w:eastAsia="Times New Roman" w:hAnsi="Times New Roman"/>
          <w:sz w:val="18"/>
          <w:szCs w:val="18"/>
          <w:color w:val="auto"/>
        </w:rPr>
      </w:pPr>
    </w:p>
    <w:p>
      <w:pPr>
        <w:ind w:left="460" w:right="180" w:hanging="222"/>
        <w:spacing w:after="0" w:line="282"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161" w:lineRule="exact"/>
        <w:rPr>
          <w:rFonts w:ascii="Times New Roman" w:cs="Times New Roman" w:eastAsia="Times New Roman" w:hAnsi="Times New Roman"/>
          <w:sz w:val="18"/>
          <w:szCs w:val="18"/>
          <w:color w:val="auto"/>
        </w:rPr>
      </w:pPr>
    </w:p>
    <w:p>
      <w:pPr>
        <w:ind w:left="460" w:hanging="22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26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Canadian segment reported revenues in the first quarter of 2014 that were $27.3 million, or 13%, lower than the first quarter of 2013. The weakening of the average exchange rates for Canadian dollars relative to the U.S. dollar by 9% in the first quarter of 2014 compared to the first quarter of 2013 resulted in a $16.6 million year-over-year reduction in revenues. In addition, the segment experienced an 8% decline in lodge revenues primarily due to a 7% year-over-year decrease in RevPAR (excluding the impact of the weaker Canadian exchange rates) largely related to contracted room rate reductions. Lodge revenues in the first quarter of 2014 were positively affected by a 5% increase year-over-year in average available rooms.</w:t>
      </w:r>
    </w:p>
    <w:p>
      <w:pPr>
        <w:spacing w:after="0" w:line="18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Canadian segment cost of sales and services decreased $0.9 million, or 1%, in the first quarter of 2014 compared to the first quarter of 2013 due in part to the weakening of the average exchange rates. Although revenue decreased due to lower contracted room rates, a corresponding decrease did not occur in cost of sale and services, as occupancy levels remained constant.</w:t>
      </w:r>
    </w:p>
    <w:p>
      <w:pPr>
        <w:spacing w:after="0" w:line="17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Our Canadian segment gross margin as a percentage of revenues decreased from 47% in the first quarter of 2013 to 39% in the first quarter of 2014 primarily due to lower contracted room rates in Canada.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of Operations – Australian Segment</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40" w:type="dxa"/>
            <w:vAlign w:val="bottom"/>
            <w:gridSpan w:val="8"/>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in thousands)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Village revenue (1)</w:t>
            </w:r>
          </w:p>
        </w:tc>
        <w:tc>
          <w:tcPr>
            <w:tcW w:w="15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55,464</w:t>
            </w:r>
          </w:p>
        </w:tc>
        <w:tc>
          <w:tcPr>
            <w:tcW w:w="18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67,729</w:t>
            </w:r>
          </w:p>
        </w:tc>
        <w:tc>
          <w:tcPr>
            <w:tcW w:w="20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(12,265)</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5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55,464</w:t>
            </w: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67,729</w:t>
            </w: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in thousands)</w:t>
            </w:r>
          </w:p>
        </w:tc>
        <w:tc>
          <w:tcPr>
            <w:tcW w:w="15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26,348</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as a % of revenues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Available Village Rooms (2)</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RevPAR for Villages (3)</w:t>
            </w:r>
          </w:p>
        </w:tc>
        <w:tc>
          <w:tcPr>
            <w:tcW w:w="15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in Villages (4)</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Australian dollar to US dollar</w:t>
            </w:r>
          </w:p>
        </w:tc>
        <w:tc>
          <w:tcPr>
            <w:tcW w:w="15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111760</wp:posOffset>
            </wp:positionV>
            <wp:extent cx="8858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178"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 related to rooms as well as the fees associated with catering, laundry and other services including facilities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available rooms include rooms that are utilized for our personnel.</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RevPAR, or revenue per available room, is defined as village revenue divided by the product of (a) average available rooms and (b) days in the period. An available room is defined as a calendar day during which the room is available for occupancy.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24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Australian segment reported revenues in the first quarter of 2014 that were $12.3 million, or 18%, lower than the first quarter of 2013. The weakening of the average exchange rates for Australian dollars relative to the U.S. dollar by 14% in the first quarter of 2014 compared to the first quarter of 2013 resulted in an $8.8 million year-over-year reduction in revenues. Village revenues in the first quarter of 2014 were also negatively impacted by lower occupancy levels compared to the first quarter of 2013, primarily as a result of the continued slowdown in mining activity, but were positively affected by a 6% increase year-over-year in average available rooms.</w:t>
      </w:r>
    </w:p>
    <w:p>
      <w:pPr>
        <w:spacing w:after="0" w:line="1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Australian segment cost of sales decreased $5.3 million, or 20%, in the first quarter of 2014 compared to the first quarter of 2013. The decrease was driven by the weakening of the Australian dollar as well as lower occupancy levels.</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Australian segment gross margin as a percentage of revenues remained relatively flat at 61% in the first quarter of 2013 and 62% in the first quarter of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of Operations – United States Segment</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United States segment reported revenues in the first quarter of 2014 that were $2.1 million, or 11%, lower than the first quarter of 2013. Mobile camp revenues in the first quarter of 2014 were negatively impacted by lower occupancy levels compared to the first quarter of 2013, primarily as a result of the continued slowdown in activity, but were positively affected by the addition of two new lodges that were not operating in the first quarter of 2013.</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United States cost of sales decreased $0.7 million, or 5%, in the first quarter of 2014 compared to the first quarter of 2013. The decrease was driven by lower occupancy levels.</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United States segment gross margin as a percentage of revenues decreased from 30% in the first quarter of 2013 to 25% in the first quarter of 2014 primarily due to lower contracted room rates and lower occupancy levels in the United States.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576"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primary liquidity needs are to fund capital expenditures, which in the past have included expanding and improving our accommodations, developing new lodges and villages, purchasing or leasing land under our land banking strategy, pay dividends and for general working capital needs. In addition, capital has been used to repay debt and fund strategic business acquisitions. Historically, our primary sources of funds have been cash flow from operations, credit facilities in Australia and Canada and liquidity provided by Oil States. Looking forward, we expect our primary sources of funds to be available cash, cash flow from operations, borrowings under our new credit facility and capital markets transactions.</w:t>
      </w:r>
    </w:p>
    <w:p>
      <w:pPr>
        <w:spacing w:after="0" w:line="18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Cash totaling $90.7 million was provided by operations during the first quarter of 2014 compared to $59.4 million provided by operations during the first quarter of 2013. The increase in operating cash flow in 2014 compared to 2013 was primarily due to working capital reductions in 2013, partially offset by lower occupancy levels in lodges and villages. During the first quarter of 2014, $6.1 million was provided by working capital. During the first quarter of 2013, $46.8 million was used from working capital, primarily due to larger accounts receivable balances in Canada at March 31, 2013 compared to December 31, 2012. In addition, a $22 million interest payment was made on the affiliate debt in the first quarter of 2013.</w:t>
      </w:r>
    </w:p>
    <w:p>
      <w:pPr>
        <w:spacing w:after="0" w:line="184"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Cash was used in investing activities during the three months ended March 31, 2014 in the amount of $63.3 million compared to cash used in investing activities during the three months ended March 31, 2013 in the amount of $68.7 million. Capital expenditures totaled $63.5 million and $69.9 million during the three months ended March 31, 2014 and 2013, respectively. Capital expenditures in both years consisted principally of construction and installation of assets for our lodges primarily in support of Canadian oil sands projects.</w:t>
      </w:r>
    </w:p>
    <w:p>
      <w:pPr>
        <w:spacing w:after="0" w:line="180"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We expect our capital expenditures for the entire year will total approximately $325 million to $375 million, compared to 2013 capital expenditures of $292 million. The majority of the 2014 capital expenditures amount relates to room expansions in Canada, including the McClelland Lake Lodge in the Athabasca oil sands region. Whether planned expenditures will actually be spent in 2014 depends on industry conditions, project approvals and schedules, customer room commitments and vendor delivery timing. We expect to fund these capital expenditures with available cash, internally generated funds and borrowings under our new credit facility. The foregoing capital expenditure forecast does not include any funds for strategic acquisitions, which the Company could pursue depending on the economic environment in our industry and the availability of transactions at prices deemed to be attractive to the Company.</w:t>
      </w:r>
    </w:p>
    <w:p>
      <w:pPr>
        <w:spacing w:after="0" w:line="17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At March 31, 2014, we had cash totaling $230.4 million held by foreign subsidiaries, primarily in Canada and Australia, where we have assumed permanent reinvestment of earnings and have not recorded a U.S. tax liability upon the assumed repatriation of foreign earnings. Our intent is to utilize these cash balances for future investment outside the United States.</w:t>
      </w:r>
    </w:p>
    <w:p>
      <w:pPr>
        <w:spacing w:after="0" w:line="176"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Net cash of $20.2 million was provided by financing activities during the three months ended March 31, 2014, entirely due to contributions from Oil States. Net cash of $9.4 million was provided in financing activities during the three months ended March 31, 2013, due to contributions from Oil States, offset by repayments of the Australian revolving credit facility and the Canadian term loan.</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To provide us with additional liquidity following the Spin-Off, we entered into a revolving credit facility with availability in Canada, Australia and the U.S and a U.S. term loan facility, as further described below. Borrowings of $775 million under our term loan facility funded the cash distribution of $750.0 million to Oil States at closing, with the remaining amounts to be used for general corporate purposes. We believe that cash on hand, cash flow from operations and available borrowings under our new credit facility will be sufficient to meet our liquidity needs in the coming twelve months.</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If our plans or assumptions change, or are inaccurate, or if we make acquisitions, we may need to raise additional capital. Acquisitions have been, and our management believes acquisitions will continue to be, a key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stockholders.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23" w:name="page24"/>
    <w:bookmarkEnd w:id="23"/>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Credit Facilities and Long-Term Debt. </w:t>
      </w:r>
      <w:r>
        <w:rPr>
          <w:rFonts w:ascii="Times New Roman" w:cs="Times New Roman" w:eastAsia="Times New Roman" w:hAnsi="Times New Roman"/>
          <w:sz w:val="18"/>
          <w:szCs w:val="18"/>
          <w:color w:val="auto"/>
        </w:rPr>
        <w:t>We have historically relied on Oil States for financial support and cash management. Following the Spin-Off,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capital structure and sources of liquidity changed. In conjunction with the Spin-Off, on May 28, 2014, we entered into (i) a $650.0 million, 5-year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which is allocated as follows: (A) a $450.0 million senior secured revolving credit facility in favor of Civeo, as borrower, (B)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million senior secured revolving credit facility in favor of certain of our Canadian subsidiaries, as borrowers, and (C) a $100.0 million senior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in favor of one of our Australian subsidiaries, as borrower, and (ii) a $775.0 million, 5-year term loan facility in favor of Civeo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Credit Agreement). U.S. Dollar amounts outstanding under the credit facilities bear interest at a variable rate equal to LIBOR plus a margin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1.75% to 2.75%, or a base rate plus 0.75% to 1.75%, in each case based on a ratio of our total leverage to EBITDA (as defined in the credit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Dollar amounts outstanding under the credit facilities bear interest at a variable rate equal to CDOR plus a margin of 1.75% to 2.75%, or a base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a margin of 0.75% to 1.75%, in each case based on a ratio of our total leverage to EBITDA (as defined in the credit facilities). Australian Dollar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under the credit facilities bear interest at a variable rate equal to BBSY plus a margin of 1.75% to 2.75%, based on a ratio of our total leverage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(as defined in the credit facilities). We paid certain customary fees with respect to the Credit Agreement. We have 15 lenders in our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 commitments ranging from $20 million to $195 million.</w:t>
      </w:r>
    </w:p>
    <w:p>
      <w:pPr>
        <w:spacing w:after="0" w:line="20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to consolidated interest expense. of at least 3.0 to 1.0 and our maximum leverage ratio, defined as the ratio of total debt to consolidated EBITDA, of no greater than 3.5 to 1.0. Each of the factors considered in the calculations of these ratios are defined in the Credit Agreement. EBITDA and consolidated interest, as defined, exclude goodwill impairments, debt discount amortization and other non-cash charges. We expect to be in compliance with our debt covenants during the remainder of 2014. Borrowings under the Credit Agreement are secured by a pledge of substantially all of our assets and the assets of our subsidiaries. Obligations under the Credit Agreement are guaranteed by our significant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2014, we had no off-balance sheet arrangements as defined in Item 303(a)(4)(ii) of Regulation 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31"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For additional information about our contractual obligations, refer to “Liquidity and Capital Resources—Contractual Obligations” contained in the Information Statement included in Amendment No. 5 to the Form 10. As of March 31, 2014, there were no material changes to this disclosure regarding our contractual obligations made in the Form 10.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 a discussion of the critical accounting policies and estimates that we use in the preparation of our combined financial statements, see “Management’s Discussion and Analysis of Financial Condition and Results of Operations” in the Information Statement included in Amendment No. 5 to the Form 10.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have credit facilities that are subject to the risk of higher interest charges associated with increases in interest rates. As of March 31, 2014, we had no floating-rate obligations outstanding under our credit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operations are conducted in various countries around the world and we receive revenue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C$613 million and A$970 million, respectively, at March 31, 2014. We use a sensitivity analysis model to measure the impact of a 10% adverse movement of foreign currency exchange rates against the United States dollar. A hypothetical 10% adverse change in the value of the Canadian dollar and Australian dollar relative to the United States dollar as of March 31, 2014 would result in a $61.3 million and $97.0 million translation adjustment, respectively, recorded in other comprehensive loss. In order to reduce our exposure to fluctuations in currency exchange rates, we may enter into foreign exchange agreements with financial institutions.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of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March 31, 2014 at the reasonable assurance level.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March 2014, we completed the implementation of a new financial accounting system in our Australian business. We believe the new software will enhance our internal controls over financial reporting, and we believe that we have taken the necessary steps to maintain appropriate internal control over financial reporting during this period of system change. We will monitor controls through and around the system to provide reasonable assurance that controls are effective.</w:t>
      </w:r>
    </w:p>
    <w:p>
      <w:pPr>
        <w:spacing w:after="0" w:line="180"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2014 there were no changes in our internal control over financial reporting (as defined in Rules 13a-15(f) and 15d-15(f) of the Exchange Act), other than described above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25" w:name="page26"/>
    <w:bookmarkEnd w:id="25"/>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risk factors, please read the section entitled “Risk Factors” in the Information Statement included in Amendment No. 5 to the Form 10.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76"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INDEX OF EXHIBITS</w:t>
      </w:r>
    </w:p>
    <w:p>
      <w:pPr>
        <w:spacing w:after="0" w:line="221" w:lineRule="exact"/>
        <w:rPr>
          <w:sz w:val="20"/>
          <w:szCs w:val="20"/>
          <w:color w:val="auto"/>
        </w:rPr>
      </w:pPr>
    </w:p>
    <w:p>
      <w:pPr>
        <w:ind w:left="80"/>
        <w:spacing w:after="0"/>
        <w:tabs>
          <w:tab w:leader="none" w:pos="59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29" w:lineRule="exact"/>
        <w:rPr>
          <w:sz w:val="20"/>
          <w:szCs w:val="20"/>
          <w:color w:val="auto"/>
        </w:rPr>
      </w:pPr>
    </w:p>
    <w:p>
      <w:pPr>
        <w:ind w:left="1180" w:hanging="1154"/>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 Certification of Chief Executive Officer of Civeo Corporation. pursuant to Rules 13a-14(a) or 15d-14(a) under the Securities Exchange Act of 1934.</w:t>
      </w:r>
    </w:p>
    <w:p>
      <w:pPr>
        <w:spacing w:after="0" w:line="162" w:lineRule="exact"/>
        <w:rPr>
          <w:sz w:val="20"/>
          <w:szCs w:val="20"/>
          <w:color w:val="auto"/>
        </w:rPr>
      </w:pPr>
    </w:p>
    <w:p>
      <w:pPr>
        <w:ind w:left="1180" w:right="20" w:hanging="1154"/>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 Certification of Chief Financial Officer of Civeo Corporation. pursuant to Rules 13a-14(a) or 15d-14(a) under the Securities Exchange Act of 1934.</w:t>
      </w:r>
    </w:p>
    <w:p>
      <w:pPr>
        <w:spacing w:after="0" w:line="162" w:lineRule="exact"/>
        <w:rPr>
          <w:sz w:val="20"/>
          <w:szCs w:val="20"/>
          <w:color w:val="auto"/>
        </w:rPr>
      </w:pPr>
    </w:p>
    <w:p>
      <w:pPr>
        <w:ind w:left="1180" w:right="20" w:hanging="1154"/>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32.1***</w:t>
        <w:tab/>
        <w:t>— Certification of Chief Executive Officer of Civeo Corporation. pursuant to Rules 13a-14(b) or 15d-14(b) under the Securities Exchange Act of 1934.</w:t>
      </w:r>
    </w:p>
    <w:p>
      <w:pPr>
        <w:spacing w:after="0" w:line="162" w:lineRule="exact"/>
        <w:rPr>
          <w:sz w:val="20"/>
          <w:szCs w:val="20"/>
          <w:color w:val="auto"/>
        </w:rPr>
      </w:pPr>
    </w:p>
    <w:p>
      <w:pPr>
        <w:ind w:left="1180" w:hanging="1154"/>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32.2***</w:t>
        <w:tab/>
        <w:t>— Certification of Chief Financial Officer of Civeo Corporation. pursuant to Rules 13a-14(b) or 15d-14(b) under the Securities Exchange Act of 1934.</w:t>
      </w:r>
    </w:p>
    <w:p>
      <w:pPr>
        <w:spacing w:after="0" w:line="162" w:lineRule="exact"/>
        <w:rPr>
          <w:sz w:val="20"/>
          <w:szCs w:val="20"/>
          <w:color w:val="auto"/>
        </w:rPr>
      </w:pPr>
    </w:p>
    <w:p>
      <w:pPr>
        <w:ind w:left="120"/>
        <w:spacing w:after="0"/>
        <w:tabs>
          <w:tab w:leader="none" w:pos="1160" w:val="left"/>
        </w:tabs>
        <w:rPr>
          <w:sz w:val="20"/>
          <w:szCs w:val="20"/>
          <w:color w:val="auto"/>
        </w:rPr>
      </w:pPr>
      <w:r>
        <w:rPr>
          <w:rFonts w:ascii="Times New Roman" w:cs="Times New Roman" w:eastAsia="Times New Roman" w:hAnsi="Times New Roman"/>
          <w:sz w:val="18"/>
          <w:szCs w:val="18"/>
          <w:color w:val="auto"/>
        </w:rPr>
        <w:t>101.INS***</w:t>
        <w:tab/>
        <w:t>—  XBRL Instance Document</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101.SCH***  —  XBRL Taxonomy Extension Schema Document</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101.CAL***  —  XBRL Taxonomy Extension Calculation Linkbase Document</w:t>
      </w:r>
    </w:p>
    <w:p>
      <w:pPr>
        <w:spacing w:after="0" w:line="225" w:lineRule="exact"/>
        <w:rPr>
          <w:sz w:val="20"/>
          <w:szCs w:val="20"/>
          <w:color w:val="auto"/>
        </w:rPr>
      </w:pPr>
    </w:p>
    <w:p>
      <w:pPr>
        <w:ind w:left="80"/>
        <w:spacing w:after="0"/>
        <w:tabs>
          <w:tab w:leader="none" w:pos="1160" w:val="left"/>
        </w:tabs>
        <w:rPr>
          <w:sz w:val="20"/>
          <w:szCs w:val="20"/>
          <w:color w:val="auto"/>
        </w:rPr>
      </w:pPr>
      <w:r>
        <w:rPr>
          <w:rFonts w:ascii="Times New Roman" w:cs="Times New Roman" w:eastAsia="Times New Roman" w:hAnsi="Times New Roman"/>
          <w:sz w:val="18"/>
          <w:szCs w:val="18"/>
          <w:color w:val="auto"/>
        </w:rPr>
        <w:t>101.DEF***</w:t>
        <w:tab/>
        <w:t>—  XBRL Taxonomy Extension Definition Linkbase Document</w:t>
      </w:r>
    </w:p>
    <w:p>
      <w:pPr>
        <w:spacing w:after="0" w:line="225" w:lineRule="exact"/>
        <w:rPr>
          <w:sz w:val="20"/>
          <w:szCs w:val="20"/>
          <w:color w:val="auto"/>
        </w:rPr>
      </w:pPr>
    </w:p>
    <w:p>
      <w:pPr>
        <w:ind w:left="80"/>
        <w:spacing w:after="0"/>
        <w:tabs>
          <w:tab w:leader="none" w:pos="1160" w:val="left"/>
        </w:tabs>
        <w:rPr>
          <w:sz w:val="20"/>
          <w:szCs w:val="20"/>
          <w:color w:val="auto"/>
        </w:rPr>
      </w:pPr>
      <w:r>
        <w:rPr>
          <w:rFonts w:ascii="Times New Roman" w:cs="Times New Roman" w:eastAsia="Times New Roman" w:hAnsi="Times New Roman"/>
          <w:sz w:val="18"/>
          <w:szCs w:val="18"/>
          <w:color w:val="auto"/>
        </w:rPr>
        <w:t>101.LAB***</w:t>
        <w:tab/>
        <w:t>—  XBRL Taxonomy Extension Label Linkbase Document</w:t>
      </w:r>
    </w:p>
    <w:p>
      <w:pPr>
        <w:spacing w:after="0" w:line="225" w:lineRule="exact"/>
        <w:rPr>
          <w:sz w:val="20"/>
          <w:szCs w:val="20"/>
          <w:color w:val="auto"/>
        </w:rPr>
      </w:pPr>
    </w:p>
    <w:p>
      <w:pPr>
        <w:ind w:left="80"/>
        <w:spacing w:after="0"/>
        <w:tabs>
          <w:tab w:leader="none" w:pos="1160" w:val="left"/>
        </w:tabs>
        <w:rPr>
          <w:sz w:val="20"/>
          <w:szCs w:val="20"/>
          <w:color w:val="auto"/>
        </w:rPr>
      </w:pPr>
      <w:r>
        <w:rPr>
          <w:rFonts w:ascii="Times New Roman" w:cs="Times New Roman" w:eastAsia="Times New Roman" w:hAnsi="Times New Roman"/>
          <w:sz w:val="18"/>
          <w:szCs w:val="18"/>
          <w:color w:val="auto"/>
        </w:rPr>
        <w:t>101.PRE***</w:t>
        <w:tab/>
        <w:t>—  XBRL Taxonomy Extension Presentation Linkbase Document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420" w:hanging="412"/>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compensatory plans or arrangements.</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2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CIVEO CORPORATION</w:t>
            </w:r>
          </w:p>
        </w:tc>
      </w:tr>
      <w:tr>
        <w:trPr>
          <w:trHeight w:val="39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June 18, 2014</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By</w:t>
            </w:r>
          </w:p>
        </w:tc>
        <w:tc>
          <w:tcPr>
            <w:tcW w:w="25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w w:val="98"/>
              </w:rPr>
              <w:t>/s/ Frank C. Steininger</w:t>
            </w:r>
          </w:p>
        </w:tc>
      </w:tr>
    </w:tbl>
    <w:p>
      <w:pPr>
        <w:spacing w:after="0" w:line="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Frank C. Steininger</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 and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Treasurer (Duly Authorized Officer and Principal Financial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
        </w:trPr>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453"/>
        </w:trPr>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60" w:type="dxa"/>
            <w:vAlign w:val="bottom"/>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7"/>
        </w:trPr>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31.1*</w:t>
            </w:r>
          </w:p>
        </w:tc>
        <w:tc>
          <w:tcPr>
            <w:tcW w:w="103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Certification of Chief Executive Officer of Civeo Corporation. pursuant to Rules 13a-14(a) or 15d-14(a) under the Securities Exchange</w:t>
            </w:r>
          </w:p>
        </w:tc>
      </w:tr>
      <w:tr>
        <w:trPr>
          <w:trHeight w:val="234"/>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 of 1934.</w:t>
            </w:r>
          </w:p>
        </w:tc>
      </w:tr>
      <w:tr>
        <w:trPr>
          <w:trHeight w:val="414"/>
        </w:trPr>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31.2*</w:t>
            </w:r>
          </w:p>
        </w:tc>
        <w:tc>
          <w:tcPr>
            <w:tcW w:w="103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Certification of Chief Financial Officer of Civeo Corporation. pursuant to Rules 13a-14(a) or 15d-14(a) under the Securities Exchange</w:t>
            </w:r>
          </w:p>
        </w:tc>
      </w:tr>
      <w:tr>
        <w:trPr>
          <w:trHeight w:val="234"/>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 of 1934.</w:t>
            </w:r>
          </w:p>
        </w:tc>
      </w:tr>
      <w:tr>
        <w:trPr>
          <w:trHeight w:val="414"/>
        </w:trPr>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32.1***</w:t>
            </w:r>
          </w:p>
        </w:tc>
        <w:tc>
          <w:tcPr>
            <w:tcW w:w="103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Certification of Chief Executive Officer of Civeo Corporation. pursuant to Rules 13a-14(b) or 15d-14(b) under the Securities Exchange</w:t>
            </w:r>
          </w:p>
        </w:tc>
      </w:tr>
      <w:tr>
        <w:trPr>
          <w:trHeight w:val="234"/>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 of 1934.</w:t>
            </w:r>
          </w:p>
        </w:tc>
      </w:tr>
      <w:tr>
        <w:trPr>
          <w:trHeight w:val="414"/>
        </w:trPr>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32.2***</w:t>
            </w:r>
          </w:p>
        </w:tc>
        <w:tc>
          <w:tcPr>
            <w:tcW w:w="103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Certification of Chief Financial Officer of Civeo Corporation. pursuant to Rules 13a-14(b) or 15d-14(b) under the Securities Exchange</w:t>
            </w:r>
          </w:p>
        </w:tc>
      </w:tr>
      <w:tr>
        <w:trPr>
          <w:trHeight w:val="234"/>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 of 1934.</w:t>
            </w:r>
          </w:p>
        </w:tc>
      </w:tr>
      <w:tr>
        <w:trPr>
          <w:trHeight w:val="432"/>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101.INS***</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13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101.SCH***  —  XBRL Taxonomy Extension Schema Document</w:t>
            </w:r>
          </w:p>
        </w:tc>
      </w:tr>
      <w:tr>
        <w:trPr>
          <w:trHeight w:val="432"/>
        </w:trPr>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101.CAL***</w:t>
            </w:r>
          </w:p>
        </w:tc>
        <w:tc>
          <w:tcPr>
            <w:tcW w:w="103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XBRL Taxonomy Extension Calculation Linkbase Document</w:t>
            </w:r>
          </w:p>
        </w:tc>
      </w:tr>
      <w:tr>
        <w:trPr>
          <w:trHeight w:val="432"/>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3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XBRL Taxonomy Extension Definition Linkbase Document.</w:t>
            </w:r>
          </w:p>
        </w:tc>
      </w:tr>
      <w:tr>
        <w:trPr>
          <w:trHeight w:val="432"/>
        </w:trPr>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101.LAB***</w:t>
            </w:r>
          </w:p>
        </w:tc>
        <w:tc>
          <w:tcPr>
            <w:tcW w:w="103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XBRL Taxonomy Extension Label Linkbase Document</w:t>
            </w:r>
          </w:p>
        </w:tc>
      </w:tr>
      <w:tr>
        <w:trPr>
          <w:trHeight w:val="432"/>
        </w:trPr>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101.PRE***</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420" w:hanging="412"/>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compensatory plans or arrangements.</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1">
            <w:col w:w="11360"/>
          </w:cols>
          <w:pgMar w:left="240" w:top="567" w:right="29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Bradley J. Dodson, certify that:</w:t>
      </w:r>
    </w:p>
    <w:p>
      <w:pPr>
        <w:spacing w:after="0" w:line="225"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Civeo Corporation (Registrant);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have:</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SEC transition instructions;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2014</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Bradley J. Dodson</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18097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333"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C. Steininger, certify that:</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Civeo Corporation (Registrant);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have:</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SEC transition instructions;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2014</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Frank C. Steininger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Senior Vice President, Chief Financial Officer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Treasurer</w:t>
      </w:r>
    </w:p>
    <w:p>
      <w:pPr>
        <w:sectPr>
          <w:pgSz w:w="11900" w:h="16838" w:orient="portrait"/>
          <w:cols w:equalWidth="0" w:num="1">
            <w:col w:w="11420"/>
          </w:cols>
          <w:pgMar w:left="240" w:top="117"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quarterly period ended March 31, 2014 filed with the Securities and Exchange Commission (the “Report”), I, Bradley J. Dodson, President and Chief Executive Officer of Civeo Corporation (the “Company”), hereby certify, to the best of my knowledge, that:</w:t>
      </w:r>
    </w:p>
    <w:p>
      <w:pPr>
        <w:spacing w:after="0" w:line="176"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Bradley J. Dodson</w:t>
      </w:r>
    </w:p>
    <w:p>
      <w:pPr>
        <w:spacing w:after="0" w:line="27" w:lineRule="exact"/>
        <w:rPr>
          <w:sz w:val="20"/>
          <w:szCs w:val="20"/>
          <w:color w:val="auto"/>
        </w:rPr>
      </w:pPr>
    </w:p>
    <w:tbl>
      <w:tblPr>
        <w:tblLayout w:type="fixed"/>
        <w:tblInd w:w="6080" w:type="dxa"/>
        <w:tblCellMar>
          <w:top w:w="0" w:type="dxa"/>
          <w:left w:w="0" w:type="dxa"/>
          <w:bottom w:w="0" w:type="dxa"/>
          <w:right w:w="0" w:type="dxa"/>
        </w:tblCellMar>
      </w:tblPr>
      <w:tr>
        <w:trPr>
          <w:trHeight w:val="191"/>
        </w:trPr>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0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Bradley J. Dodson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18, 2014</w:t>
            </w:r>
          </w:p>
        </w:tc>
      </w:tr>
    </w:tbl>
    <w:p>
      <w:pPr>
        <w:sectPr>
          <w:pgSz w:w="11900" w:h="16838" w:orient="portrait"/>
          <w:cols w:equalWidth="0" w:num="1">
            <w:col w:w="11420"/>
          </w:cols>
          <w:pgMar w:left="240" w:top="117"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quarterly period ended March 31, 2014 filed with the Securities and Exchange Commission (the “Report”), I, Frank C. Steininger, Senior Vice President, Chief Financial Officer and Treasurer of Civeo Corporation (the “Company”), hereby certify, to the best of my knowledge, that:</w:t>
      </w:r>
    </w:p>
    <w:p>
      <w:pPr>
        <w:spacing w:after="0" w:line="176"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Frank C. Steininger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Date:  June 18, 2014</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1."/>
      <w:numFmt w:val="decimal"/>
      <w:start w:val="4"/>
    </w:lvl>
  </w:abstractNum>
  <w:abstractNum w:abstractNumId="6">
    <w:nsid w:val="431BD7B7"/>
    <w:multiLevelType w:val="hybridMultilevel"/>
    <w:lvl w:ilvl="0">
      <w:lvlJc w:val="left"/>
      <w:lvlText w:val="%1."/>
      <w:numFmt w:val="decimal"/>
      <w:start w:val="5"/>
    </w:lvl>
  </w:abstractNum>
  <w:abstractNum w:abstractNumId="7">
    <w:nsid w:val="3F2DBA31"/>
    <w:multiLevelType w:val="hybridMultilevel"/>
    <w:lvl w:ilvl="0">
      <w:lvlJc w:val="left"/>
      <w:lvlText w:val="%1."/>
      <w:numFmt w:val="decimal"/>
      <w:start w:val="6"/>
    </w:lvl>
  </w:abstractNum>
  <w:abstractNum w:abstractNumId="8">
    <w:nsid w:val="7C83E458"/>
    <w:multiLevelType w:val="hybridMultilevel"/>
    <w:lvl w:ilvl="0">
      <w:lvlJc w:val="left"/>
      <w:lvlText w:val="(%1)"/>
      <w:numFmt w:val="upperLetter"/>
      <w:start w:val="1"/>
    </w:lvl>
  </w:abstractNum>
  <w:abstractNum w:abstractNumId="9">
    <w:nsid w:val="257130A3"/>
    <w:multiLevelType w:val="hybridMultilevel"/>
    <w:lvl w:ilvl="0">
      <w:lvlJc w:val="left"/>
      <w:lvlText w:val="%1."/>
      <w:numFmt w:val="decimal"/>
      <w:start w:val="7"/>
    </w:lvl>
  </w:abstractNum>
  <w:abstractNum w:abstractNumId="10">
    <w:nsid w:val="62BBD95A"/>
    <w:multiLevelType w:val="hybridMultilevel"/>
    <w:lvl w:ilvl="0">
      <w:lvlJc w:val="left"/>
      <w:lvlText w:val="%1."/>
      <w:numFmt w:val="decimal"/>
      <w:start w:val="8"/>
    </w:lvl>
  </w:abstractNum>
  <w:abstractNum w:abstractNumId="11">
    <w:nsid w:val="436C6125"/>
    <w:multiLevelType w:val="hybridMultilevel"/>
    <w:lvl w:ilvl="0">
      <w:lvlJc w:val="left"/>
      <w:lvlText w:val="%1."/>
      <w:numFmt w:val="decimal"/>
      <w:start w:val="9"/>
    </w:lvl>
  </w:abstractNum>
  <w:abstractNum w:abstractNumId="12">
    <w:nsid w:val="628C895D"/>
    <w:multiLevelType w:val="hybridMultilevel"/>
    <w:lvl w:ilvl="0">
      <w:lvlJc w:val="left"/>
      <w:lvlText w:val="%1."/>
      <w:numFmt w:val="decimal"/>
      <w:start w:val="12"/>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3"/>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2019-12-08T09:01:25Z</dcterms:created>
  <dcterms:modified xsi:type="dcterms:W3CDTF">2019-12-08T09:01:25Z</dcterms:modified>
</cp:coreProperties>
</file>