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372"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Civeo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Shares, no par value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31, 2020</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734,232</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864,848</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864,848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6.08 %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734,232</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864,848</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864,848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6.08 %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17878Y207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right="749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Civeo Corporation</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right="613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Shares, no par value</w:t>
      </w: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17878Y207</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864,848</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864,848</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6.08 %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6.08 %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734,232</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734,232</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864,848</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864,848</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10" w:right="1440" w:bottom="165"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line="238" w:lineRule="auto"/>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8" w:lineRule="auto"/>
        <w:rPr>
          <w:sz w:val="20"/>
          <w:szCs w:val="20"/>
          <w:color w:val="auto"/>
        </w:rPr>
      </w:pPr>
      <w:r>
        <w:rPr>
          <w:rFonts w:ascii="Courier New" w:cs="Courier New" w:eastAsia="Courier New" w:hAnsi="Courier New"/>
          <w:sz w:val="18"/>
          <w:szCs w:val="18"/>
          <w:color w:val="auto"/>
        </w:rPr>
        <w:t>the Common Shares, no par value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2021-02-11T09:20:01Z</dcterms:created>
  <dcterms:modified xsi:type="dcterms:W3CDTF">2021-02-11T09:20:01Z</dcterms:modified>
</cp:coreProperties>
</file>