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67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7182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McCann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94"/>
        <w:spacing w:after="0"/>
        <w:rPr>
          <w:sz w:val="20"/>
          <w:szCs w:val="20"/>
          <w:color w:val="auto"/>
        </w:rPr>
      </w:pPr>
      <w:r>
        <w:rPr>
          <w:rFonts w:ascii="Times New Roman" w:cs="Times New Roman" w:eastAsia="Times New Roman" w:hAnsi="Times New Roman"/>
          <w:sz w:val="17"/>
          <w:szCs w:val="17"/>
          <w:color w:val="0000FF"/>
        </w:rPr>
        <w:t>SVP, Australia</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2,783</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4"/>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57,725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03/02/2026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2,783</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27.82</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54,942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03/03/2026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2,209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4"/>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57,151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03/03/2026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2,209</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27.03</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54,942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center"/>
              <w:ind w:right="12"/>
              <w:spacing w:after="0" w:line="130"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03/02/2026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2,783</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jc w:val="center"/>
              <w:ind w:right="152"/>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2,783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9,411</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2,209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80" w:type="dxa"/>
            <w:vAlign w:val="bottom"/>
          </w:tcPr>
          <w:p>
            <w:pPr>
              <w:jc w:val="center"/>
              <w:ind w:right="152"/>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2,209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7,202</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-2282190</wp:posOffset>
            </wp:positionV>
            <wp:extent cx="29210" cy="2287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72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and is payable in cash. The phantom shares vest at various times based on the grant date. 2,783 shares vested on March 2, 2026.</w:t>
      </w:r>
    </w:p>
    <w:p>
      <w:pPr>
        <w:spacing w:after="0" w:line="1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and is payable in cash. The phantom shares vest at various times based on the grant date. 2,209 shares vested on March 3, 2026.</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Peter McCann, by Bradley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9"/>
        </w:trPr>
        <w:tc>
          <w:tcPr>
            <w:tcW w:w="19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J. Dodson, Attorney-in-Fact</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734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2026-03-03T19:57:08Z</dcterms:created>
  <dcterms:modified xsi:type="dcterms:W3CDTF">2026-03-03T19:57:08Z</dcterms:modified>
</cp:coreProperties>
</file>