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Grewal Jagdish</w:t>
              </w:r>
            </w:hyperlink>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Civeo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CVEO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80" w:type="dxa"/>
            <w:vAlign w:val="bottom"/>
            <w:gridSpan w:val="6"/>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333 CLAY STREET</w:t>
            </w:r>
          </w:p>
        </w:tc>
        <w:tc>
          <w:tcPr>
            <w:tcW w:w="8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05/18/2022</w:t>
            </w: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SUITE 4980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7"/>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line="146"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05/18/2022</w:t>
            </w:r>
          </w:p>
        </w:tc>
        <w:tc>
          <w:tcPr>
            <w:tcW w:w="4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4,879</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10,489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common share award under the Amended and Restated 2014 Equity Participation Plan of Civeo Corporation that vests on the earlier of one year from May 18, 2022 or the next annual shareholders' meeting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Bradley J. Dodson,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05/19/2022</w:t>
            </w: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40" w:type="dxa"/>
            <w:vAlign w:val="bottom"/>
            <w:tcBorders>
              <w:top w:val="single" w:sz="8" w:color="auto"/>
            </w:tcBorders>
            <w:gridSpan w:val="2"/>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8150"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2022-05-19T11:43:29Z</dcterms:created>
  <dcterms:modified xsi:type="dcterms:W3CDTF">2022-05-19T11:43:29Z</dcterms:modified>
</cp:coreProperties>
</file>