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214" w:lineRule="exact"/>
        <w:rPr>
          <w:sz w:val="24"/>
          <w:szCs w:val="24"/>
          <w:color w:val="auto"/>
        </w:rPr>
      </w:pPr>
    </w:p>
    <w:p>
      <w:pPr>
        <w:ind w:left="4900"/>
        <w:spacing w:after="0"/>
        <w:rPr>
          <w:sz w:val="20"/>
          <w:szCs w:val="20"/>
          <w:color w:val="auto"/>
        </w:rPr>
      </w:pPr>
      <w:r>
        <w:rPr>
          <w:rFonts w:ascii="Arial" w:cs="Arial" w:eastAsia="Arial" w:hAnsi="Arial"/>
          <w:sz w:val="18"/>
          <w:szCs w:val="18"/>
          <w:color w:val="auto"/>
        </w:rPr>
        <w:t>__________________</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w:t>
      </w:r>
    </w:p>
    <w:p>
      <w:pPr>
        <w:spacing w:after="0" w:line="200" w:lineRule="exact"/>
        <w:rPr>
          <w:sz w:val="24"/>
          <w:szCs w:val="24"/>
          <w:color w:val="auto"/>
        </w:rPr>
      </w:pPr>
    </w:p>
    <w:p>
      <w:pPr>
        <w:spacing w:after="0" w:line="24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February 13, 2015</w:t>
      </w:r>
    </w:p>
    <w:p>
      <w:pPr>
        <w:spacing w:after="0" w:line="229" w:lineRule="exact"/>
        <w:rPr>
          <w:sz w:val="24"/>
          <w:szCs w:val="24"/>
          <w:color w:val="auto"/>
        </w:rPr>
      </w:pPr>
    </w:p>
    <w:p>
      <w:pPr>
        <w:ind w:left="4820"/>
        <w:spacing w:after="0"/>
        <w:rPr>
          <w:sz w:val="20"/>
          <w:szCs w:val="20"/>
          <w:color w:val="auto"/>
        </w:rPr>
      </w:pPr>
      <w:r>
        <w:rPr>
          <w:rFonts w:ascii="Arial" w:cs="Arial" w:eastAsia="Arial" w:hAnsi="Arial"/>
          <w:sz w:val="18"/>
          <w:szCs w:val="18"/>
          <w:u w:val="single" w:color="auto"/>
          <w:color w:val="auto"/>
        </w:rPr>
        <w:t>____________________</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Civeo Corporation</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10" w:lineRule="exact"/>
        <w:rPr>
          <w:sz w:val="24"/>
          <w:szCs w:val="24"/>
          <w:color w:val="auto"/>
        </w:rPr>
      </w:pPr>
    </w:p>
    <w:tbl>
      <w:tblPr>
        <w:tblLayout w:type="fixed"/>
        <w:tblInd w:w="900" w:type="dxa"/>
        <w:tblCellMar>
          <w:top w:w="0" w:type="dxa"/>
          <w:left w:w="0" w:type="dxa"/>
          <w:bottom w:w="0" w:type="dxa"/>
          <w:right w:w="0" w:type="dxa"/>
        </w:tblCellMar>
      </w:tblPr>
      <w:tr>
        <w:trPr>
          <w:trHeight w:val="220"/>
        </w:trPr>
        <w:tc>
          <w:tcPr>
            <w:tcW w:w="3360" w:type="dxa"/>
            <w:vAlign w:val="bottom"/>
          </w:tcPr>
          <w:p>
            <w:pPr>
              <w:jc w:val="center"/>
              <w:ind w:right="890"/>
              <w:spacing w:after="0"/>
              <w:rPr>
                <w:sz w:val="20"/>
                <w:szCs w:val="20"/>
                <w:color w:val="auto"/>
              </w:rPr>
            </w:pPr>
            <w:r>
              <w:rPr>
                <w:rFonts w:ascii="Arial" w:cs="Arial" w:eastAsia="Arial" w:hAnsi="Arial"/>
                <w:sz w:val="18"/>
                <w:szCs w:val="18"/>
                <w:b w:val="1"/>
                <w:bCs w:val="1"/>
                <w:color w:val="auto"/>
                <w:w w:val="93"/>
              </w:rPr>
              <w:t>Delaware</w:t>
            </w:r>
          </w:p>
        </w:tc>
        <w:tc>
          <w:tcPr>
            <w:tcW w:w="344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1-36246</w:t>
            </w:r>
          </w:p>
        </w:tc>
        <w:tc>
          <w:tcPr>
            <w:tcW w:w="2480" w:type="dxa"/>
            <w:vAlign w:val="bottom"/>
          </w:tcPr>
          <w:p>
            <w:pPr>
              <w:jc w:val="center"/>
              <w:ind w:left="1070"/>
              <w:spacing w:after="0"/>
              <w:rPr>
                <w:sz w:val="20"/>
                <w:szCs w:val="20"/>
                <w:color w:val="auto"/>
              </w:rPr>
            </w:pPr>
            <w:r>
              <w:rPr>
                <w:rFonts w:ascii="Arial" w:cs="Arial" w:eastAsia="Arial" w:hAnsi="Arial"/>
                <w:sz w:val="18"/>
                <w:szCs w:val="18"/>
                <w:b w:val="1"/>
                <w:bCs w:val="1"/>
                <w:color w:val="auto"/>
                <w:w w:val="91"/>
              </w:rPr>
              <w:t>46-3831207</w:t>
            </w:r>
          </w:p>
        </w:tc>
      </w:tr>
      <w:tr>
        <w:trPr>
          <w:trHeight w:val="216"/>
        </w:trPr>
        <w:tc>
          <w:tcPr>
            <w:tcW w:w="3360" w:type="dxa"/>
            <w:vAlign w:val="bottom"/>
          </w:tcPr>
          <w:p>
            <w:pPr>
              <w:jc w:val="center"/>
              <w:ind w:right="890"/>
              <w:spacing w:after="0"/>
              <w:rPr>
                <w:sz w:val="20"/>
                <w:szCs w:val="20"/>
                <w:color w:val="auto"/>
              </w:rPr>
            </w:pPr>
            <w:r>
              <w:rPr>
                <w:rFonts w:ascii="Arial" w:cs="Arial" w:eastAsia="Arial" w:hAnsi="Arial"/>
                <w:sz w:val="18"/>
                <w:szCs w:val="18"/>
                <w:color w:val="auto"/>
                <w:w w:val="92"/>
              </w:rPr>
              <w:t>(State or other jurisdiction</w:t>
            </w:r>
          </w:p>
        </w:tc>
        <w:tc>
          <w:tcPr>
            <w:tcW w:w="3440" w:type="dxa"/>
            <w:vAlign w:val="bottom"/>
          </w:tcPr>
          <w:p>
            <w:pPr>
              <w:jc w:val="center"/>
              <w:ind w:right="90"/>
              <w:spacing w:after="0"/>
              <w:rPr>
                <w:sz w:val="20"/>
                <w:szCs w:val="20"/>
                <w:color w:val="auto"/>
              </w:rPr>
            </w:pPr>
            <w:r>
              <w:rPr>
                <w:rFonts w:ascii="Arial" w:cs="Arial" w:eastAsia="Arial" w:hAnsi="Arial"/>
                <w:sz w:val="18"/>
                <w:szCs w:val="18"/>
                <w:color w:val="auto"/>
                <w:w w:val="93"/>
              </w:rPr>
              <w:t>(Commission File</w:t>
            </w:r>
          </w:p>
        </w:tc>
        <w:tc>
          <w:tcPr>
            <w:tcW w:w="2480" w:type="dxa"/>
            <w:vAlign w:val="bottom"/>
          </w:tcPr>
          <w:p>
            <w:pPr>
              <w:jc w:val="center"/>
              <w:ind w:left="1070"/>
              <w:spacing w:after="0"/>
              <w:rPr>
                <w:sz w:val="20"/>
                <w:szCs w:val="20"/>
                <w:color w:val="auto"/>
              </w:rPr>
            </w:pPr>
            <w:r>
              <w:rPr>
                <w:rFonts w:ascii="Arial" w:cs="Arial" w:eastAsia="Arial" w:hAnsi="Arial"/>
                <w:sz w:val="18"/>
                <w:szCs w:val="18"/>
                <w:color w:val="auto"/>
                <w:w w:val="93"/>
              </w:rPr>
              <w:t>(I.R.S. Employer</w:t>
            </w:r>
          </w:p>
        </w:tc>
      </w:tr>
      <w:tr>
        <w:trPr>
          <w:trHeight w:val="230"/>
        </w:trPr>
        <w:tc>
          <w:tcPr>
            <w:tcW w:w="3360" w:type="dxa"/>
            <w:vAlign w:val="bottom"/>
          </w:tcPr>
          <w:p>
            <w:pPr>
              <w:jc w:val="center"/>
              <w:ind w:right="910"/>
              <w:spacing w:after="0"/>
              <w:rPr>
                <w:sz w:val="20"/>
                <w:szCs w:val="20"/>
                <w:color w:val="auto"/>
              </w:rPr>
            </w:pPr>
            <w:r>
              <w:rPr>
                <w:rFonts w:ascii="Arial" w:cs="Arial" w:eastAsia="Arial" w:hAnsi="Arial"/>
                <w:sz w:val="18"/>
                <w:szCs w:val="18"/>
                <w:color w:val="auto"/>
                <w:w w:val="92"/>
              </w:rPr>
              <w:t>of incorporation or organization)</w:t>
            </w:r>
          </w:p>
        </w:tc>
        <w:tc>
          <w:tcPr>
            <w:tcW w:w="3440" w:type="dxa"/>
            <w:vAlign w:val="bottom"/>
          </w:tcPr>
          <w:p>
            <w:pPr>
              <w:jc w:val="center"/>
              <w:ind w:right="90"/>
              <w:spacing w:after="0"/>
              <w:rPr>
                <w:sz w:val="20"/>
                <w:szCs w:val="20"/>
                <w:color w:val="auto"/>
              </w:rPr>
            </w:pPr>
            <w:r>
              <w:rPr>
                <w:rFonts w:ascii="Arial" w:cs="Arial" w:eastAsia="Arial" w:hAnsi="Arial"/>
                <w:sz w:val="18"/>
                <w:szCs w:val="18"/>
                <w:color w:val="auto"/>
                <w:w w:val="94"/>
              </w:rPr>
              <w:t>Number)</w:t>
            </w:r>
          </w:p>
        </w:tc>
        <w:tc>
          <w:tcPr>
            <w:tcW w:w="2480" w:type="dxa"/>
            <w:vAlign w:val="bottom"/>
          </w:tcPr>
          <w:p>
            <w:pPr>
              <w:jc w:val="center"/>
              <w:ind w:left="1050"/>
              <w:spacing w:after="0"/>
              <w:rPr>
                <w:sz w:val="20"/>
                <w:szCs w:val="20"/>
                <w:color w:val="auto"/>
              </w:rPr>
            </w:pPr>
            <w:r>
              <w:rPr>
                <w:rFonts w:ascii="Arial" w:cs="Arial" w:eastAsia="Arial" w:hAnsi="Arial"/>
                <w:sz w:val="18"/>
                <w:szCs w:val="18"/>
                <w:color w:val="auto"/>
                <w:w w:val="95"/>
              </w:rPr>
              <w:t>Identification No.)</w:t>
            </w:r>
          </w:p>
        </w:tc>
      </w:tr>
    </w:tbl>
    <w:p>
      <w:pPr>
        <w:spacing w:after="0" w:line="198" w:lineRule="exact"/>
        <w:rPr>
          <w:sz w:val="24"/>
          <w:szCs w:val="24"/>
          <w:color w:val="auto"/>
        </w:rPr>
      </w:pPr>
    </w:p>
    <w:p>
      <w:pPr>
        <w:jc w:val="center"/>
        <w:ind w:left="320"/>
        <w:spacing w:after="0"/>
        <w:rPr>
          <w:sz w:val="20"/>
          <w:szCs w:val="20"/>
          <w:color w:val="auto"/>
        </w:rPr>
      </w:pPr>
      <w:r>
        <w:rPr>
          <w:rFonts w:ascii="Arial" w:cs="Arial" w:eastAsia="Arial" w:hAnsi="Arial"/>
          <w:sz w:val="18"/>
          <w:szCs w:val="18"/>
          <w:b w:val="1"/>
          <w:bCs w:val="1"/>
          <w:color w:val="auto"/>
        </w:rPr>
        <w:t>Three Allen Center</w:t>
      </w:r>
    </w:p>
    <w:p>
      <w:pPr>
        <w:spacing w:after="0" w:line="27" w:lineRule="exact"/>
        <w:rPr>
          <w:sz w:val="24"/>
          <w:szCs w:val="24"/>
          <w:color w:val="auto"/>
        </w:rPr>
      </w:pPr>
    </w:p>
    <w:p>
      <w:pPr>
        <w:jc w:val="center"/>
        <w:ind w:left="320"/>
        <w:spacing w:after="0"/>
        <w:rPr>
          <w:sz w:val="20"/>
          <w:szCs w:val="20"/>
          <w:color w:val="auto"/>
        </w:rPr>
      </w:pPr>
      <w:r>
        <w:rPr>
          <w:rFonts w:ascii="Arial" w:cs="Arial" w:eastAsia="Arial" w:hAnsi="Arial"/>
          <w:sz w:val="18"/>
          <w:szCs w:val="18"/>
          <w:b w:val="1"/>
          <w:bCs w:val="1"/>
          <w:color w:val="auto"/>
        </w:rPr>
        <w:t>333 Clay Street, Suite 4980</w:t>
      </w:r>
    </w:p>
    <w:p>
      <w:pPr>
        <w:spacing w:after="0" w:line="9" w:lineRule="exact"/>
        <w:rPr>
          <w:sz w:val="24"/>
          <w:szCs w:val="24"/>
          <w:color w:val="auto"/>
        </w:rPr>
      </w:pPr>
    </w:p>
    <w:p>
      <w:pPr>
        <w:jc w:val="center"/>
        <w:ind w:left="320"/>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ind w:left="3960"/>
        <w:spacing w:after="0"/>
        <w:rPr>
          <w:sz w:val="20"/>
          <w:szCs w:val="20"/>
          <w:color w:val="auto"/>
        </w:rPr>
      </w:pPr>
      <w:r>
        <w:rPr>
          <w:rFonts w:ascii="Arial" w:cs="Arial" w:eastAsia="Arial" w:hAnsi="Arial"/>
          <w:sz w:val="18"/>
          <w:szCs w:val="18"/>
          <w:color w:val="auto"/>
        </w:rPr>
        <w:t>(Address and zip code of principal executive offices)</w:t>
      </w:r>
    </w:p>
    <w:p>
      <w:pPr>
        <w:spacing w:after="0" w:line="207"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510-2400</w:t>
      </w:r>
    </w:p>
    <w:p>
      <w:pPr>
        <w:spacing w:after="0" w:line="200" w:lineRule="exact"/>
        <w:rPr>
          <w:sz w:val="24"/>
          <w:szCs w:val="24"/>
          <w:color w:val="auto"/>
        </w:rPr>
      </w:pPr>
    </w:p>
    <w:p>
      <w:pPr>
        <w:spacing w:after="0" w:line="24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[_]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[_]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[_]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[_]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681990</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00"/>
          </w:cols>
          <w:pgMar w:left="240" w:top="234"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480" w:firstLine="648"/>
        <w:spacing w:after="0" w:line="308" w:lineRule="auto"/>
        <w:rPr>
          <w:sz w:val="20"/>
          <w:szCs w:val="20"/>
          <w:color w:val="auto"/>
        </w:rPr>
      </w:pPr>
      <w:r>
        <w:rPr>
          <w:rFonts w:ascii="Arial" w:cs="Arial" w:eastAsia="Arial" w:hAnsi="Arial"/>
          <w:sz w:val="17"/>
          <w:szCs w:val="17"/>
          <w:color w:val="auto"/>
        </w:rPr>
        <w:t>On February 13, 2015, Civeo Corporation (the “Company”) publicly announced that it will hold its first Annual Meeting of Stockholders as an independent publicly traded company on May 14, 2015. Additional details regarding the annual meeting will be announced in due course.</w:t>
      </w:r>
    </w:p>
    <w:p>
      <w:pPr>
        <w:spacing w:after="0" w:line="14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Company’s bylaws provide the manner in which stockholders may propose business (other than items brought under Rule 14a-8 under the Securities Exchange Act of 1934) and director nominations to be brought before the annual meeting. In order for an item to be properly brought before the meeting by a stockholder, the stockholder must be a holder of record at the time of the giving of notice, must be entitled to vote at the annual meeting and must comply with the advance notice and other procedures set forth in the bylaws. In addition to the other requirements set forth in the bylaws, the item to be brought before the meeting must be a proper subject for stockholder action, and the stockholder must have given timely advance written notice of the item. For notice to be timely, it must be delivered to the Company’s Corporate Secretary at the principal executive offices of the Company not later than the close of business on February 23, 2015. The notice must set forth the information required by the provisions of the Company’s bylaws dealing with stockholder proposals and nominations of directors, as applicable. All notices should be directed to the Corporate Secretary, Civeo Corporation, Three Allen Center, 333 Clay Street, Suite 4980, Houston, Texas 77002.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619760</wp:posOffset>
            </wp:positionV>
            <wp:extent cx="726757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13, 2015</w:t>
      </w:r>
    </w:p>
    <w:p>
      <w:pPr>
        <w:spacing w:after="0" w:line="221"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CIVEO CORPORATION</w:t>
      </w:r>
    </w:p>
    <w:p>
      <w:pPr>
        <w:spacing w:after="0" w:line="200" w:lineRule="exact"/>
        <w:rPr>
          <w:sz w:val="20"/>
          <w:szCs w:val="20"/>
          <w:color w:val="auto"/>
        </w:rPr>
      </w:pPr>
    </w:p>
    <w:p>
      <w:pPr>
        <w:spacing w:after="0" w:line="245" w:lineRule="exact"/>
        <w:rPr>
          <w:sz w:val="20"/>
          <w:szCs w:val="20"/>
          <w:color w:val="auto"/>
        </w:rPr>
      </w:pPr>
    </w:p>
    <w:p>
      <w:pPr>
        <w:ind w:left="566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Bradley J. Dodson</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24523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3" w:lineRule="exact"/>
        <w:rPr>
          <w:sz w:val="20"/>
          <w:szCs w:val="20"/>
          <w:color w:val="auto"/>
        </w:rPr>
      </w:pPr>
    </w:p>
    <w:p>
      <w:pPr>
        <w:ind w:left="566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2019-12-09T02:19:40Z</dcterms:created>
  <dcterms:modified xsi:type="dcterms:W3CDTF">2019-12-09T02:19:40Z</dcterms:modified>
</cp:coreProperties>
</file>