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(Name of Issuer)</w:t>
      </w:r>
    </w:p>
    <w:p>
      <w:pPr>
        <w:spacing w:after="0" w:line="165"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9645 45 Avenue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Lance Torgerson</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with copies to -</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26,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201930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4" w:lineRule="exact"/>
        <w:rPr>
          <w:sz w:val="24"/>
          <w:szCs w:val="24"/>
          <w:color w:val="auto"/>
        </w:rPr>
      </w:pPr>
    </w:p>
    <w:p>
      <w:pPr>
        <w:ind w:left="460" w:right="2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40575" cy="6163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616394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2</w:t>
            </w:r>
          </w:p>
        </w:tc>
        <w:tc>
          <w:tcPr>
            <w:tcW w:w="10840" w:type="dxa"/>
            <w:vAlign w:val="bottom"/>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97"/>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4</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5</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94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80" w:type="dxa"/>
            <w:vAlign w:val="bottom"/>
            <w:gridSpan w:val="3"/>
          </w:tcPr>
          <w:p>
            <w:pPr>
              <w:ind w:left="28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94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000" w:type="dxa"/>
            <w:vAlign w:val="bottom"/>
            <w:vMerge w:val="restart"/>
          </w:tcPr>
          <w:p>
            <w:pPr>
              <w:jc w:val="center"/>
              <w:ind w:right="154"/>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1,746,261</w:t>
            </w: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gridSpan w:val="3"/>
            <w:vMerge w:val="restart"/>
          </w:tcPr>
          <w:p>
            <w:pPr>
              <w:ind w:left="30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PERSON</w:t>
            </w:r>
          </w:p>
        </w:tc>
        <w:tc>
          <w:tcPr>
            <w:tcW w:w="360" w:type="dxa"/>
            <w:vAlign w:val="bottom"/>
          </w:tcPr>
          <w:p>
            <w:pPr>
              <w:spacing w:after="0"/>
              <w:rPr>
                <w:sz w:val="18"/>
                <w:szCs w:val="18"/>
                <w:color w:val="auto"/>
              </w:rPr>
            </w:pP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60" w:type="dxa"/>
            <w:vAlign w:val="bottom"/>
            <w:gridSpan w:val="2"/>
          </w:tcPr>
          <w:p>
            <w:pPr>
              <w:ind w:left="120"/>
              <w:spacing w:after="0" w:line="157" w:lineRule="exact"/>
              <w:rPr>
                <w:sz w:val="20"/>
                <w:szCs w:val="20"/>
                <w:color w:val="auto"/>
              </w:rPr>
            </w:pPr>
            <w:r>
              <w:rPr>
                <w:rFonts w:ascii="Arial" w:cs="Arial" w:eastAsia="Arial" w:hAnsi="Arial"/>
                <w:sz w:val="18"/>
                <w:szCs w:val="18"/>
                <w:color w:val="auto"/>
              </w:rPr>
              <w:t>WITH:</w:t>
            </w:r>
          </w:p>
        </w:tc>
        <w:tc>
          <w:tcPr>
            <w:tcW w:w="36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1,746,261</w:t>
      </w:r>
    </w:p>
    <w:p>
      <w:pPr>
        <w:spacing w:after="0" w:line="36" w:lineRule="exact"/>
        <w:rPr>
          <w:sz w:val="20"/>
          <w:szCs w:val="20"/>
          <w:color w:val="auto"/>
        </w:rPr>
      </w:pPr>
    </w:p>
    <w:p>
      <w:pPr>
        <w:ind w:left="600" w:right="4100" w:hanging="345"/>
        <w:spacing w:after="0" w:line="406"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1,746,261</w:t>
      </w:r>
    </w:p>
    <w:p>
      <w:pPr>
        <w:spacing w:after="0" w:line="1" w:lineRule="exact"/>
        <w:rPr>
          <w:rFonts w:ascii="Arial" w:cs="Arial" w:eastAsia="Arial" w:hAnsi="Arial"/>
          <w:sz w:val="18"/>
          <w:szCs w:val="18"/>
          <w:color w:val="auto"/>
        </w:rPr>
      </w:pPr>
    </w:p>
    <w:p>
      <w:pPr>
        <w:ind w:left="600" w:hanging="34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8" w:lineRule="exact"/>
        <w:rPr>
          <w:sz w:val="20"/>
          <w:szCs w:val="20"/>
          <w:color w:val="auto"/>
        </w:rPr>
      </w:pPr>
    </w:p>
    <w:p>
      <w:pPr>
        <w:ind w:left="60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0" w:right="5520" w:hanging="345"/>
        <w:spacing w:after="0" w:line="39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12.22%</w:t>
      </w:r>
    </w:p>
    <w:p>
      <w:pPr>
        <w:spacing w:after="0" w:line="1" w:lineRule="exact"/>
        <w:rPr>
          <w:rFonts w:ascii="Arial" w:cs="Arial" w:eastAsia="Arial" w:hAnsi="Arial"/>
          <w:sz w:val="18"/>
          <w:szCs w:val="18"/>
          <w:color w:val="auto"/>
        </w:rPr>
      </w:pPr>
    </w:p>
    <w:p>
      <w:pPr>
        <w:ind w:left="600" w:right="8160" w:hanging="345"/>
        <w:spacing w:after="0" w:line="493"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40575" cy="6163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616331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989677 Alberta Ltd.</w:t>
            </w: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2</w:t>
            </w:r>
          </w:p>
        </w:tc>
        <w:tc>
          <w:tcPr>
            <w:tcW w:w="10840" w:type="dxa"/>
            <w:vAlign w:val="bottom"/>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97"/>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4</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5</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94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80" w:type="dxa"/>
            <w:vAlign w:val="bottom"/>
            <w:gridSpan w:val="3"/>
          </w:tcPr>
          <w:p>
            <w:pPr>
              <w:ind w:left="28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94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000" w:type="dxa"/>
            <w:vAlign w:val="bottom"/>
            <w:vMerge w:val="restart"/>
          </w:tcPr>
          <w:p>
            <w:pPr>
              <w:jc w:val="center"/>
              <w:ind w:right="154"/>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485,059</w:t>
            </w: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gridSpan w:val="3"/>
            <w:vMerge w:val="restart"/>
          </w:tcPr>
          <w:p>
            <w:pPr>
              <w:ind w:left="30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PERSON</w:t>
            </w:r>
          </w:p>
        </w:tc>
        <w:tc>
          <w:tcPr>
            <w:tcW w:w="360" w:type="dxa"/>
            <w:vAlign w:val="bottom"/>
          </w:tcPr>
          <w:p>
            <w:pPr>
              <w:spacing w:after="0"/>
              <w:rPr>
                <w:sz w:val="18"/>
                <w:szCs w:val="18"/>
                <w:color w:val="auto"/>
              </w:rPr>
            </w:pP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60" w:type="dxa"/>
            <w:vAlign w:val="bottom"/>
            <w:gridSpan w:val="2"/>
          </w:tcPr>
          <w:p>
            <w:pPr>
              <w:ind w:left="120"/>
              <w:spacing w:after="0" w:line="157" w:lineRule="exact"/>
              <w:rPr>
                <w:sz w:val="20"/>
                <w:szCs w:val="20"/>
                <w:color w:val="auto"/>
              </w:rPr>
            </w:pPr>
            <w:r>
              <w:rPr>
                <w:rFonts w:ascii="Arial" w:cs="Arial" w:eastAsia="Arial" w:hAnsi="Arial"/>
                <w:sz w:val="18"/>
                <w:szCs w:val="18"/>
                <w:color w:val="auto"/>
              </w:rPr>
              <w:t>WITH:</w:t>
            </w:r>
          </w:p>
        </w:tc>
        <w:tc>
          <w:tcPr>
            <w:tcW w:w="36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485,059</w:t>
      </w:r>
    </w:p>
    <w:p>
      <w:pPr>
        <w:spacing w:after="0" w:line="36" w:lineRule="exact"/>
        <w:rPr>
          <w:sz w:val="20"/>
          <w:szCs w:val="20"/>
          <w:color w:val="auto"/>
        </w:rPr>
      </w:pPr>
    </w:p>
    <w:p>
      <w:pPr>
        <w:ind w:left="600" w:right="4100" w:hanging="345"/>
        <w:spacing w:after="0" w:line="406"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485,059</w:t>
      </w:r>
    </w:p>
    <w:p>
      <w:pPr>
        <w:spacing w:after="0" w:line="1" w:lineRule="exact"/>
        <w:rPr>
          <w:rFonts w:ascii="Arial" w:cs="Arial" w:eastAsia="Arial" w:hAnsi="Arial"/>
          <w:sz w:val="18"/>
          <w:szCs w:val="18"/>
          <w:color w:val="auto"/>
        </w:rPr>
      </w:pPr>
    </w:p>
    <w:p>
      <w:pPr>
        <w:ind w:left="600" w:hanging="34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8" w:lineRule="exact"/>
        <w:rPr>
          <w:sz w:val="20"/>
          <w:szCs w:val="20"/>
          <w:color w:val="auto"/>
        </w:rPr>
      </w:pPr>
    </w:p>
    <w:p>
      <w:pPr>
        <w:ind w:left="60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0" w:right="5520" w:hanging="345"/>
        <w:spacing w:after="0" w:line="39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3.40%</w:t>
      </w:r>
    </w:p>
    <w:p>
      <w:pPr>
        <w:spacing w:after="0" w:line="1" w:lineRule="exact"/>
        <w:rPr>
          <w:rFonts w:ascii="Arial" w:cs="Arial" w:eastAsia="Arial" w:hAnsi="Arial"/>
          <w:sz w:val="18"/>
          <w:szCs w:val="18"/>
          <w:color w:val="auto"/>
        </w:rPr>
      </w:pPr>
    </w:p>
    <w:p>
      <w:pPr>
        <w:ind w:left="600" w:right="8160" w:hanging="345"/>
        <w:spacing w:after="0" w:line="493"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CO</w:t>
      </w: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40575" cy="6163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616394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2</w:t>
            </w:r>
          </w:p>
        </w:tc>
        <w:tc>
          <w:tcPr>
            <w:tcW w:w="10840" w:type="dxa"/>
            <w:vAlign w:val="bottom"/>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right w:val="single" w:sz="8" w:color="auto"/>
            </w:tcBorders>
          </w:tcPr>
          <w:p>
            <w:pPr>
              <w:spacing w:after="0"/>
              <w:rPr>
                <w:sz w:val="24"/>
                <w:szCs w:val="24"/>
                <w:color w:val="auto"/>
              </w:rPr>
            </w:pPr>
          </w:p>
        </w:tc>
        <w:tc>
          <w:tcPr>
            <w:tcW w:w="1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97"/>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4</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5</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94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80" w:type="dxa"/>
            <w:vAlign w:val="bottom"/>
            <w:gridSpan w:val="3"/>
          </w:tcPr>
          <w:p>
            <w:pPr>
              <w:ind w:left="28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94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000" w:type="dxa"/>
            <w:vAlign w:val="bottom"/>
            <w:vMerge w:val="restart"/>
          </w:tcPr>
          <w:p>
            <w:pPr>
              <w:jc w:val="center"/>
              <w:ind w:right="154"/>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 xml:space="preserve">485,059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gridSpan w:val="3"/>
            <w:vMerge w:val="restart"/>
          </w:tcPr>
          <w:p>
            <w:pPr>
              <w:ind w:left="30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PERSON</w:t>
            </w:r>
          </w:p>
        </w:tc>
        <w:tc>
          <w:tcPr>
            <w:tcW w:w="360" w:type="dxa"/>
            <w:vAlign w:val="bottom"/>
          </w:tcPr>
          <w:p>
            <w:pPr>
              <w:spacing w:after="0"/>
              <w:rPr>
                <w:sz w:val="18"/>
                <w:szCs w:val="18"/>
                <w:color w:val="auto"/>
              </w:rPr>
            </w:pPr>
          </w:p>
        </w:tc>
        <w:tc>
          <w:tcPr>
            <w:tcW w:w="9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60" w:type="dxa"/>
            <w:vAlign w:val="bottom"/>
            <w:gridSpan w:val="2"/>
          </w:tcPr>
          <w:p>
            <w:pPr>
              <w:ind w:left="120"/>
              <w:spacing w:after="0" w:line="157" w:lineRule="exact"/>
              <w:rPr>
                <w:sz w:val="20"/>
                <w:szCs w:val="20"/>
                <w:color w:val="auto"/>
              </w:rPr>
            </w:pPr>
            <w:r>
              <w:rPr>
                <w:rFonts w:ascii="Arial" w:cs="Arial" w:eastAsia="Arial" w:hAnsi="Arial"/>
                <w:sz w:val="18"/>
                <w:szCs w:val="18"/>
                <w:color w:val="auto"/>
              </w:rPr>
              <w:t>WITH:</w:t>
            </w:r>
          </w:p>
        </w:tc>
        <w:tc>
          <w:tcPr>
            <w:tcW w:w="36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485,059 </w:t>
      </w:r>
      <w:r>
        <w:rPr>
          <w:rFonts w:ascii="Arial" w:cs="Arial" w:eastAsia="Arial" w:hAnsi="Arial"/>
          <w:sz w:val="15"/>
          <w:szCs w:val="15"/>
          <w:color w:val="auto"/>
        </w:rPr>
        <w:t>(1)</w:t>
      </w:r>
    </w:p>
    <w:p>
      <w:pPr>
        <w:spacing w:after="0" w:line="36" w:lineRule="exact"/>
        <w:rPr>
          <w:sz w:val="20"/>
          <w:szCs w:val="20"/>
          <w:color w:val="auto"/>
        </w:rPr>
      </w:pPr>
    </w:p>
    <w:p>
      <w:pPr>
        <w:ind w:left="600" w:right="4100" w:hanging="345"/>
        <w:spacing w:after="0" w:line="406"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485,059 </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00" w:hanging="345"/>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8" w:lineRule="exact"/>
        <w:rPr>
          <w:sz w:val="20"/>
          <w:szCs w:val="20"/>
          <w:color w:val="auto"/>
        </w:rPr>
      </w:pPr>
    </w:p>
    <w:p>
      <w:pPr>
        <w:ind w:left="60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0" w:hanging="345"/>
        <w:spacing w:after="0"/>
        <w:tabs>
          <w:tab w:leader="none" w:pos="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3.40%</w:t>
      </w:r>
    </w:p>
    <w:p>
      <w:pPr>
        <w:spacing w:after="0" w:line="36" w:lineRule="exact"/>
        <w:rPr>
          <w:rFonts w:ascii="Arial" w:cs="Arial" w:eastAsia="Arial" w:hAnsi="Arial"/>
          <w:sz w:val="18"/>
          <w:szCs w:val="18"/>
          <w:color w:val="auto"/>
        </w:rPr>
      </w:pPr>
    </w:p>
    <w:p>
      <w:pPr>
        <w:ind w:left="600" w:right="8160" w:hanging="345"/>
        <w:spacing w:after="0" w:line="547" w:lineRule="auto"/>
        <w:tabs>
          <w:tab w:leader="none" w:pos="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Svenco Investments Ltd. may be deemed to be the beneficial owner of 485,059 shares held indirectly by Svenco Investments Ltd. as the direct owner of all of the voting shares of 989677 Alberta Ltd.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820" w:type="dxa"/>
            <w:vAlign w:val="bottom"/>
          </w:tcPr>
          <w:p>
            <w:pPr>
              <w:ind w:left="80"/>
              <w:spacing w:after="0"/>
              <w:rPr>
                <w:sz w:val="20"/>
                <w:szCs w:val="20"/>
                <w:color w:val="auto"/>
              </w:rPr>
            </w:pPr>
            <w:r>
              <w:rPr>
                <w:rFonts w:ascii="Arial" w:cs="Arial" w:eastAsia="Arial" w:hAnsi="Arial"/>
                <w:sz w:val="18"/>
                <w:szCs w:val="18"/>
                <w:color w:val="auto"/>
              </w:rPr>
              <w:t>NAME OF REPORTING PERSON</w:t>
            </w:r>
          </w:p>
        </w:tc>
      </w:tr>
      <w:tr>
        <w:trPr>
          <w:trHeight w:val="466"/>
        </w:trPr>
        <w:tc>
          <w:tcPr>
            <w:tcW w:w="44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Lance Torgerson</w:t>
            </w:r>
          </w:p>
        </w:tc>
      </w:tr>
      <w:tr>
        <w:trPr>
          <w:trHeight w:val="169"/>
        </w:trPr>
        <w:tc>
          <w:tcPr>
            <w:tcW w:w="440" w:type="dxa"/>
            <w:vAlign w:val="bottom"/>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820" w:type="dxa"/>
            <w:vAlign w:val="bottom"/>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440" w:type="dxa"/>
            <w:vAlign w:val="bottom"/>
          </w:tcPr>
          <w:p>
            <w:pPr>
              <w:spacing w:after="0"/>
              <w:rPr>
                <w:sz w:val="24"/>
                <w:szCs w:val="24"/>
                <w:color w:val="auto"/>
              </w:rPr>
            </w:pPr>
          </w:p>
        </w:tc>
        <w:tc>
          <w:tcPr>
            <w:tcW w:w="108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7"/>
        </w:trPr>
        <w:tc>
          <w:tcPr>
            <w:tcW w:w="440" w:type="dxa"/>
            <w:vAlign w:val="bottom"/>
            <w:tcBorders>
              <w:bottom w:val="single" w:sz="8" w:color="auto"/>
            </w:tcBorders>
          </w:tcPr>
          <w:p>
            <w:pPr>
              <w:spacing w:after="0"/>
              <w:rPr>
                <w:sz w:val="20"/>
                <w:szCs w:val="20"/>
                <w:color w:val="auto"/>
              </w:rPr>
            </w:pPr>
          </w:p>
        </w:tc>
        <w:tc>
          <w:tcPr>
            <w:tcW w:w="10820" w:type="dxa"/>
            <w:vAlign w:val="bottom"/>
            <w:tcBorders>
              <w:bottom w:val="single" w:sz="8" w:color="auto"/>
            </w:tcBorders>
          </w:tcPr>
          <w:p>
            <w:pPr>
              <w:spacing w:after="0"/>
              <w:rPr>
                <w:sz w:val="20"/>
                <w:szCs w:val="20"/>
                <w:color w:val="auto"/>
              </w:rPr>
            </w:pPr>
          </w:p>
        </w:tc>
      </w:tr>
      <w:tr>
        <w:trPr>
          <w:trHeight w:val="224"/>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820" w:type="dxa"/>
            <w:vAlign w:val="bottom"/>
          </w:tcPr>
          <w:p>
            <w:pPr>
              <w:ind w:left="80"/>
              <w:spacing w:after="0"/>
              <w:rPr>
                <w:sz w:val="20"/>
                <w:szCs w:val="20"/>
                <w:color w:val="auto"/>
              </w:rPr>
            </w:pPr>
            <w:r>
              <w:rPr>
                <w:rFonts w:ascii="Arial" w:cs="Arial" w:eastAsia="Arial" w:hAnsi="Arial"/>
                <w:sz w:val="18"/>
                <w:szCs w:val="18"/>
                <w:color w:val="auto"/>
              </w:rPr>
              <w:t>SEC USE ONLY</w:t>
            </w:r>
          </w:p>
        </w:tc>
      </w:tr>
      <w:tr>
        <w:trPr>
          <w:trHeight w:val="242"/>
        </w:trPr>
        <w:tc>
          <w:tcPr>
            <w:tcW w:w="440" w:type="dxa"/>
            <w:vAlign w:val="bottom"/>
            <w:tcBorders>
              <w:bottom w:val="single" w:sz="8" w:color="auto"/>
            </w:tcBorders>
          </w:tcPr>
          <w:p>
            <w:pPr>
              <w:spacing w:after="0"/>
              <w:rPr>
                <w:sz w:val="21"/>
                <w:szCs w:val="21"/>
                <w:color w:val="auto"/>
              </w:rPr>
            </w:pPr>
          </w:p>
        </w:tc>
        <w:tc>
          <w:tcPr>
            <w:tcW w:w="10820" w:type="dxa"/>
            <w:vAlign w:val="bottom"/>
            <w:tcBorders>
              <w:bottom w:val="single" w:sz="8" w:color="auto"/>
            </w:tcBorders>
          </w:tcPr>
          <w:p>
            <w:pPr>
              <w:spacing w:after="0"/>
              <w:rPr>
                <w:sz w:val="21"/>
                <w:szCs w:val="21"/>
                <w:color w:val="auto"/>
              </w:rPr>
            </w:pPr>
          </w:p>
        </w:tc>
      </w:tr>
      <w:tr>
        <w:trPr>
          <w:trHeight w:val="224"/>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820" w:type="dxa"/>
            <w:vAlign w:val="bottom"/>
          </w:tcPr>
          <w:p>
            <w:pPr>
              <w:ind w:left="80"/>
              <w:spacing w:after="0"/>
              <w:rPr>
                <w:sz w:val="20"/>
                <w:szCs w:val="20"/>
                <w:color w:val="auto"/>
              </w:rPr>
            </w:pPr>
            <w:r>
              <w:rPr>
                <w:rFonts w:ascii="Arial" w:cs="Arial" w:eastAsia="Arial" w:hAnsi="Arial"/>
                <w:sz w:val="18"/>
                <w:szCs w:val="18"/>
                <w:color w:val="auto"/>
              </w:rPr>
              <w:t>SOURCE OF FUNDS (See Instructions)</w:t>
            </w:r>
          </w:p>
        </w:tc>
      </w:tr>
      <w:tr>
        <w:trPr>
          <w:trHeight w:val="452"/>
        </w:trPr>
        <w:tc>
          <w:tcPr>
            <w:tcW w:w="44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820" w:type="dxa"/>
            <w:vAlign w:val="bottom"/>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r>
      <w:tr>
        <w:trPr>
          <w:trHeight w:val="499"/>
        </w:trPr>
        <w:tc>
          <w:tcPr>
            <w:tcW w:w="44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r>
      <w:tr>
        <w:trPr>
          <w:trHeight w:val="224"/>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820" w:type="dxa"/>
            <w:vAlign w:val="bottom"/>
          </w:tcPr>
          <w:p>
            <w:pPr>
              <w:ind w:left="80"/>
              <w:spacing w:after="0"/>
              <w:rPr>
                <w:sz w:val="20"/>
                <w:szCs w:val="20"/>
                <w:color w:val="auto"/>
              </w:rPr>
            </w:pPr>
            <w:r>
              <w:rPr>
                <w:rFonts w:ascii="Arial" w:cs="Arial" w:eastAsia="Arial" w:hAnsi="Arial"/>
                <w:sz w:val="18"/>
                <w:szCs w:val="18"/>
                <w:color w:val="auto"/>
              </w:rPr>
              <w:t>CITIZENSHIP OR PLACE OF ORGANIZATION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-2271395</wp:posOffset>
            </wp:positionV>
            <wp:extent cx="7140575" cy="6163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6163310"/>
                    </a:xfrm>
                    <a:prstGeom prst="rect">
                      <a:avLst/>
                    </a:prstGeom>
                    <a:noFill/>
                  </pic:spPr>
                </pic:pic>
              </a:graphicData>
            </a:graphic>
          </wp:anchor>
        </w:drawing>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Province of Alberta, Canada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4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24"/>
                <w:szCs w:val="24"/>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20" w:type="dxa"/>
            <w:vAlign w:val="bottom"/>
            <w:vMerge w:val="continue"/>
          </w:tcPr>
          <w:p>
            <w:pPr>
              <w:spacing w:after="0"/>
              <w:rPr>
                <w:sz w:val="18"/>
                <w:szCs w:val="18"/>
                <w:color w:val="auto"/>
              </w:rPr>
            </w:pPr>
          </w:p>
        </w:tc>
        <w:tc>
          <w:tcPr>
            <w:tcW w:w="9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2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 xml:space="preserve">2,231,320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2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40"/>
              <w:spacing w:after="0" w:line="157" w:lineRule="exact"/>
              <w:rPr>
                <w:sz w:val="20"/>
                <w:szCs w:val="20"/>
                <w:color w:val="auto"/>
              </w:rPr>
            </w:pPr>
            <w:r>
              <w:rPr>
                <w:rFonts w:ascii="Arial" w:cs="Arial" w:eastAsia="Arial" w:hAnsi="Arial"/>
                <w:sz w:val="18"/>
                <w:szCs w:val="18"/>
                <w:color w:val="auto"/>
              </w:rPr>
              <w:t>WITH:</w:t>
            </w:r>
          </w:p>
        </w:tc>
        <w:tc>
          <w:tcPr>
            <w:tcW w:w="320" w:type="dxa"/>
            <w:vAlign w:val="bottom"/>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4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2,231,320 </w:t>
      </w:r>
      <w:r>
        <w:rPr>
          <w:rFonts w:ascii="Arial" w:cs="Arial" w:eastAsia="Arial" w:hAnsi="Arial"/>
          <w:sz w:val="15"/>
          <w:szCs w:val="15"/>
          <w:color w:val="auto"/>
        </w:rPr>
        <w:t>(2)</w:t>
      </w:r>
    </w:p>
    <w:p>
      <w:pPr>
        <w:spacing w:after="0" w:line="36" w:lineRule="exact"/>
        <w:rPr>
          <w:sz w:val="20"/>
          <w:szCs w:val="20"/>
          <w:color w:val="auto"/>
        </w:rPr>
      </w:pPr>
    </w:p>
    <w:p>
      <w:pPr>
        <w:ind w:left="600" w:right="4100" w:hanging="345"/>
        <w:spacing w:after="0" w:line="406"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2,231,320 </w:t>
      </w:r>
      <w:r>
        <w:rPr>
          <w:rFonts w:ascii="Arial" w:cs="Arial" w:eastAsia="Arial" w:hAnsi="Arial"/>
          <w:sz w:val="15"/>
          <w:szCs w:val="15"/>
          <w:color w:val="auto"/>
        </w:rPr>
        <w:t>(2)</w:t>
      </w:r>
    </w:p>
    <w:p>
      <w:pPr>
        <w:spacing w:after="0" w:line="1" w:lineRule="exact"/>
        <w:rPr>
          <w:rFonts w:ascii="Arial" w:cs="Arial" w:eastAsia="Arial" w:hAnsi="Arial"/>
          <w:sz w:val="18"/>
          <w:szCs w:val="18"/>
          <w:color w:val="auto"/>
        </w:rPr>
      </w:pPr>
    </w:p>
    <w:p>
      <w:pPr>
        <w:ind w:left="600" w:hanging="345"/>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8" w:lineRule="exact"/>
        <w:rPr>
          <w:sz w:val="20"/>
          <w:szCs w:val="20"/>
          <w:color w:val="auto"/>
        </w:rPr>
      </w:pPr>
    </w:p>
    <w:p>
      <w:pPr>
        <w:ind w:left="60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0" w:hanging="345"/>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15.62%</w:t>
      </w:r>
    </w:p>
    <w:p>
      <w:pPr>
        <w:spacing w:after="0" w:line="36" w:lineRule="exact"/>
        <w:rPr>
          <w:rFonts w:ascii="Arial" w:cs="Arial" w:eastAsia="Arial" w:hAnsi="Arial"/>
          <w:sz w:val="18"/>
          <w:szCs w:val="18"/>
          <w:color w:val="auto"/>
        </w:rPr>
      </w:pPr>
    </w:p>
    <w:p>
      <w:pPr>
        <w:ind w:left="600" w:right="8160" w:hanging="345"/>
        <w:spacing w:after="0" w:line="547" w:lineRule="auto"/>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1" w:lineRule="exact"/>
        <w:rPr>
          <w:rFonts w:ascii="Arial" w:cs="Arial" w:eastAsia="Arial" w:hAnsi="Arial"/>
          <w:sz w:val="18"/>
          <w:szCs w:val="18"/>
          <w:color w:val="auto"/>
        </w:rPr>
      </w:pPr>
    </w:p>
    <w:p>
      <w:pPr>
        <w:jc w:val="both"/>
        <w:ind w:left="460" w:right="200" w:hanging="452"/>
        <w:spacing w:after="0" w:line="311" w:lineRule="auto"/>
        <w:tabs>
          <w:tab w:leader="none" w:pos="460" w:val="left"/>
        </w:tabs>
        <w:numPr>
          <w:ilvl w:val="0"/>
          <w:numId w:val="11"/>
        </w:numPr>
        <w:rPr>
          <w:rFonts w:ascii="Arial" w:cs="Arial" w:eastAsia="Arial" w:hAnsi="Arial"/>
          <w:sz w:val="13"/>
          <w:szCs w:val="13"/>
          <w:color w:val="auto"/>
        </w:rPr>
      </w:pPr>
      <w:r>
        <w:rPr>
          <w:rFonts w:ascii="Arial" w:cs="Arial" w:eastAsia="Arial" w:hAnsi="Arial"/>
          <w:sz w:val="16"/>
          <w:szCs w:val="16"/>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of the voting shares of 989677 Alberta Ltd.</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40575" cy="6163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616394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Tammy Torgerson</w:t>
            </w: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2</w:t>
            </w:r>
          </w:p>
        </w:tc>
        <w:tc>
          <w:tcPr>
            <w:tcW w:w="10840" w:type="dxa"/>
            <w:vAlign w:val="bottom"/>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right w:val="single" w:sz="8" w:color="auto"/>
            </w:tcBorders>
          </w:tcPr>
          <w:p>
            <w:pPr>
              <w:spacing w:after="0"/>
              <w:rPr>
                <w:sz w:val="24"/>
                <w:szCs w:val="24"/>
                <w:color w:val="auto"/>
              </w:rPr>
            </w:pPr>
          </w:p>
        </w:tc>
        <w:tc>
          <w:tcPr>
            <w:tcW w:w="14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3</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99"/>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4</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5</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9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80" w:type="dxa"/>
            <w:vAlign w:val="bottom"/>
            <w:gridSpan w:val="3"/>
          </w:tcPr>
          <w:p>
            <w:pPr>
              <w:ind w:left="280"/>
              <w:spacing w:after="0"/>
              <w:rPr>
                <w:sz w:val="20"/>
                <w:szCs w:val="20"/>
                <w:color w:val="auto"/>
              </w:rPr>
            </w:pPr>
            <w:r>
              <w:rPr>
                <w:rFonts w:ascii="Arial" w:cs="Arial" w:eastAsia="Arial" w:hAnsi="Arial"/>
                <w:sz w:val="18"/>
                <w:szCs w:val="18"/>
                <w:color w:val="auto"/>
              </w:rPr>
              <w:t>NUMBER OF</w:t>
            </w:r>
          </w:p>
        </w:tc>
        <w:tc>
          <w:tcPr>
            <w:tcW w:w="380" w:type="dxa"/>
            <w:vAlign w:val="bottom"/>
          </w:tcPr>
          <w:p>
            <w:pPr>
              <w:spacing w:after="0"/>
              <w:rPr>
                <w:sz w:val="24"/>
                <w:szCs w:val="24"/>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000" w:type="dxa"/>
            <w:vAlign w:val="bottom"/>
            <w:vMerge w:val="restart"/>
          </w:tcPr>
          <w:p>
            <w:pPr>
              <w:jc w:val="center"/>
              <w:ind w:right="154"/>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380" w:type="dxa"/>
            <w:vAlign w:val="bottom"/>
            <w:vMerge w:val="continue"/>
          </w:tcPr>
          <w:p>
            <w:pPr>
              <w:spacing w:after="0"/>
              <w:rPr>
                <w:sz w:val="18"/>
                <w:szCs w:val="18"/>
                <w:color w:val="auto"/>
              </w:rPr>
            </w:pPr>
          </w:p>
        </w:tc>
        <w:tc>
          <w:tcPr>
            <w:tcW w:w="9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8"/>
                <w:szCs w:val="18"/>
                <w:color w:val="auto"/>
              </w:rPr>
            </w:pP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 xml:space="preserve">2,231,320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gridSpan w:val="3"/>
            <w:vMerge w:val="restart"/>
          </w:tcPr>
          <w:p>
            <w:pPr>
              <w:ind w:left="300"/>
              <w:spacing w:after="0"/>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18"/>
                <w:szCs w:val="18"/>
                <w:color w:val="auto"/>
              </w:rPr>
            </w:pP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60" w:type="dxa"/>
            <w:vAlign w:val="bottom"/>
            <w:gridSpan w:val="2"/>
          </w:tcPr>
          <w:p>
            <w:pPr>
              <w:ind w:left="120"/>
              <w:spacing w:after="0" w:line="157" w:lineRule="exact"/>
              <w:rPr>
                <w:sz w:val="20"/>
                <w:szCs w:val="20"/>
                <w:color w:val="auto"/>
              </w:rPr>
            </w:pPr>
            <w:r>
              <w:rPr>
                <w:rFonts w:ascii="Arial" w:cs="Arial" w:eastAsia="Arial" w:hAnsi="Arial"/>
                <w:sz w:val="18"/>
                <w:szCs w:val="18"/>
                <w:color w:val="auto"/>
              </w:rPr>
              <w:t>WITH:</w:t>
            </w:r>
          </w:p>
        </w:tc>
        <w:tc>
          <w:tcPr>
            <w:tcW w:w="380" w:type="dxa"/>
            <w:vAlign w:val="bottom"/>
          </w:tcPr>
          <w:p>
            <w:pPr>
              <w:spacing w:after="0"/>
              <w:rPr>
                <w:sz w:val="15"/>
                <w:szCs w:val="15"/>
                <w:color w:val="auto"/>
              </w:rPr>
            </w:pPr>
          </w:p>
        </w:tc>
        <w:tc>
          <w:tcPr>
            <w:tcW w:w="9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9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2,231,320 </w:t>
      </w:r>
      <w:r>
        <w:rPr>
          <w:rFonts w:ascii="Arial" w:cs="Arial" w:eastAsia="Arial" w:hAnsi="Arial"/>
          <w:sz w:val="15"/>
          <w:szCs w:val="15"/>
          <w:color w:val="auto"/>
        </w:rPr>
        <w:t>(3)</w:t>
      </w:r>
    </w:p>
    <w:p>
      <w:pPr>
        <w:spacing w:after="0" w:line="36" w:lineRule="exact"/>
        <w:rPr>
          <w:sz w:val="20"/>
          <w:szCs w:val="20"/>
          <w:color w:val="auto"/>
        </w:rPr>
      </w:pPr>
    </w:p>
    <w:p>
      <w:pPr>
        <w:ind w:left="600" w:right="4100" w:hanging="345"/>
        <w:spacing w:after="0" w:line="406"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2,231,320 </w:t>
      </w:r>
      <w:r>
        <w:rPr>
          <w:rFonts w:ascii="Arial" w:cs="Arial" w:eastAsia="Arial" w:hAnsi="Arial"/>
          <w:sz w:val="15"/>
          <w:szCs w:val="15"/>
          <w:color w:val="auto"/>
        </w:rPr>
        <w:t>(3)</w:t>
      </w:r>
    </w:p>
    <w:p>
      <w:pPr>
        <w:spacing w:after="0" w:line="1" w:lineRule="exact"/>
        <w:rPr>
          <w:rFonts w:ascii="Arial" w:cs="Arial" w:eastAsia="Arial" w:hAnsi="Arial"/>
          <w:sz w:val="18"/>
          <w:szCs w:val="18"/>
          <w:color w:val="auto"/>
        </w:rPr>
      </w:pPr>
    </w:p>
    <w:p>
      <w:pPr>
        <w:ind w:left="600" w:hanging="345"/>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8" w:lineRule="exact"/>
        <w:rPr>
          <w:sz w:val="20"/>
          <w:szCs w:val="20"/>
          <w:color w:val="auto"/>
        </w:rPr>
      </w:pPr>
    </w:p>
    <w:p>
      <w:pPr>
        <w:ind w:left="60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0" w:hanging="345"/>
        <w:spacing w:after="0"/>
        <w:tabs>
          <w:tab w:leader="none" w:pos="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15.62%</w:t>
      </w:r>
    </w:p>
    <w:p>
      <w:pPr>
        <w:spacing w:after="0" w:line="36" w:lineRule="exact"/>
        <w:rPr>
          <w:rFonts w:ascii="Arial" w:cs="Arial" w:eastAsia="Arial" w:hAnsi="Arial"/>
          <w:sz w:val="18"/>
          <w:szCs w:val="18"/>
          <w:color w:val="auto"/>
        </w:rPr>
      </w:pPr>
    </w:p>
    <w:p>
      <w:pPr>
        <w:ind w:left="600" w:right="8160" w:hanging="345"/>
        <w:spacing w:after="0" w:line="547" w:lineRule="auto"/>
        <w:tabs>
          <w:tab w:leader="none" w:pos="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1" w:lineRule="exact"/>
        <w:rPr>
          <w:rFonts w:ascii="Arial" w:cs="Arial" w:eastAsia="Arial" w:hAnsi="Arial"/>
          <w:sz w:val="18"/>
          <w:szCs w:val="18"/>
          <w:color w:val="auto"/>
        </w:rPr>
      </w:pPr>
    </w:p>
    <w:p>
      <w:pPr>
        <w:ind w:left="5580" w:right="2980" w:hanging="5572"/>
        <w:spacing w:after="0" w:line="449" w:lineRule="auto"/>
        <w:tabs>
          <w:tab w:leader="none" w:pos="454" w:val="left"/>
        </w:tabs>
        <w:numPr>
          <w:ilvl w:val="0"/>
          <w:numId w:val="14"/>
        </w:numPr>
        <w:rPr>
          <w:rFonts w:ascii="Arial" w:cs="Arial" w:eastAsia="Arial" w:hAnsi="Arial"/>
          <w:sz w:val="15"/>
          <w:szCs w:val="15"/>
          <w:color w:val="auto"/>
        </w:rPr>
      </w:pPr>
      <w:r>
        <w:rPr>
          <w:rFonts w:ascii="Arial" w:cs="Arial" w:eastAsia="Arial" w:hAnsi="Arial"/>
          <w:sz w:val="18"/>
          <w:szCs w:val="18"/>
          <w:color w:val="auto"/>
        </w:rPr>
        <w:t>Mrs. Torgerson may be deemed to be the beneficial owner of the shares held by her spouse Lance Torgerson. 6</w:t>
      </w:r>
    </w:p>
    <w:p>
      <w:pPr>
        <w:sectPr>
          <w:pgSz w:w="11900" w:h="16838" w:orient="portrait"/>
          <w:cols w:equalWidth="0" w:num="1">
            <w:col w:w="11260"/>
          </w:cols>
          <w:pgMar w:left="32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40575" cy="6163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616331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8"/>
              </w:rPr>
              <w:t>Richard Torgerson</w:t>
            </w: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2</w:t>
            </w:r>
          </w:p>
        </w:tc>
        <w:tc>
          <w:tcPr>
            <w:tcW w:w="10840" w:type="dxa"/>
            <w:vAlign w:val="bottom"/>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right w:val="single" w:sz="8" w:color="auto"/>
            </w:tcBorders>
          </w:tcPr>
          <w:p>
            <w:pPr>
              <w:spacing w:after="0"/>
              <w:rPr>
                <w:sz w:val="24"/>
                <w:szCs w:val="24"/>
                <w:color w:val="auto"/>
              </w:rPr>
            </w:pPr>
          </w:p>
        </w:tc>
        <w:tc>
          <w:tcPr>
            <w:tcW w:w="14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3</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99"/>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4</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5</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w:t>
            </w:r>
          </w:p>
        </w:tc>
        <w:tc>
          <w:tcPr>
            <w:tcW w:w="108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9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80" w:type="dxa"/>
            <w:vAlign w:val="bottom"/>
            <w:gridSpan w:val="3"/>
          </w:tcPr>
          <w:p>
            <w:pPr>
              <w:ind w:left="280"/>
              <w:spacing w:after="0"/>
              <w:rPr>
                <w:sz w:val="20"/>
                <w:szCs w:val="20"/>
                <w:color w:val="auto"/>
              </w:rPr>
            </w:pPr>
            <w:r>
              <w:rPr>
                <w:rFonts w:ascii="Arial" w:cs="Arial" w:eastAsia="Arial" w:hAnsi="Arial"/>
                <w:sz w:val="18"/>
                <w:szCs w:val="18"/>
                <w:color w:val="auto"/>
              </w:rPr>
              <w:t>NUMBER OF</w:t>
            </w:r>
          </w:p>
        </w:tc>
        <w:tc>
          <w:tcPr>
            <w:tcW w:w="380" w:type="dxa"/>
            <w:vAlign w:val="bottom"/>
          </w:tcPr>
          <w:p>
            <w:pPr>
              <w:spacing w:after="0"/>
              <w:rPr>
                <w:sz w:val="24"/>
                <w:szCs w:val="24"/>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000" w:type="dxa"/>
            <w:vAlign w:val="bottom"/>
            <w:vMerge w:val="restart"/>
          </w:tcPr>
          <w:p>
            <w:pPr>
              <w:jc w:val="center"/>
              <w:ind w:right="154"/>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380" w:type="dxa"/>
            <w:vAlign w:val="bottom"/>
            <w:vMerge w:val="continue"/>
          </w:tcPr>
          <w:p>
            <w:pPr>
              <w:spacing w:after="0"/>
              <w:rPr>
                <w:sz w:val="18"/>
                <w:szCs w:val="18"/>
                <w:color w:val="auto"/>
              </w:rPr>
            </w:pPr>
          </w:p>
        </w:tc>
        <w:tc>
          <w:tcPr>
            <w:tcW w:w="9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8"/>
                <w:szCs w:val="18"/>
                <w:color w:val="auto"/>
              </w:rPr>
            </w:pP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 xml:space="preserve">1,746,261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gridSpan w:val="3"/>
            <w:vMerge w:val="restart"/>
          </w:tcPr>
          <w:p>
            <w:pPr>
              <w:ind w:left="300"/>
              <w:spacing w:after="0"/>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18"/>
                <w:szCs w:val="18"/>
                <w:color w:val="auto"/>
              </w:rPr>
            </w:pP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60" w:type="dxa"/>
            <w:vAlign w:val="bottom"/>
            <w:gridSpan w:val="2"/>
          </w:tcPr>
          <w:p>
            <w:pPr>
              <w:ind w:left="120"/>
              <w:spacing w:after="0" w:line="157" w:lineRule="exact"/>
              <w:rPr>
                <w:sz w:val="20"/>
                <w:szCs w:val="20"/>
                <w:color w:val="auto"/>
              </w:rPr>
            </w:pPr>
            <w:r>
              <w:rPr>
                <w:rFonts w:ascii="Arial" w:cs="Arial" w:eastAsia="Arial" w:hAnsi="Arial"/>
                <w:sz w:val="18"/>
                <w:szCs w:val="18"/>
                <w:color w:val="auto"/>
              </w:rPr>
              <w:t>WITH:</w:t>
            </w:r>
          </w:p>
        </w:tc>
        <w:tc>
          <w:tcPr>
            <w:tcW w:w="380" w:type="dxa"/>
            <w:vAlign w:val="bottom"/>
          </w:tcPr>
          <w:p>
            <w:pPr>
              <w:spacing w:after="0"/>
              <w:rPr>
                <w:sz w:val="15"/>
                <w:szCs w:val="15"/>
                <w:color w:val="auto"/>
              </w:rPr>
            </w:pPr>
          </w:p>
        </w:tc>
        <w:tc>
          <w:tcPr>
            <w:tcW w:w="9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9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1,746,261 </w:t>
      </w:r>
      <w:r>
        <w:rPr>
          <w:rFonts w:ascii="Arial" w:cs="Arial" w:eastAsia="Arial" w:hAnsi="Arial"/>
          <w:sz w:val="15"/>
          <w:szCs w:val="15"/>
          <w:color w:val="auto"/>
        </w:rPr>
        <w:t>(4)</w:t>
      </w:r>
    </w:p>
    <w:p>
      <w:pPr>
        <w:spacing w:after="0" w:line="36" w:lineRule="exact"/>
        <w:rPr>
          <w:sz w:val="20"/>
          <w:szCs w:val="20"/>
          <w:color w:val="auto"/>
        </w:rPr>
      </w:pPr>
    </w:p>
    <w:p>
      <w:pPr>
        <w:ind w:left="600" w:right="4100" w:hanging="345"/>
        <w:spacing w:after="0" w:line="406"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1,746,261 </w:t>
      </w:r>
      <w:r>
        <w:rPr>
          <w:rFonts w:ascii="Arial" w:cs="Arial" w:eastAsia="Arial" w:hAnsi="Arial"/>
          <w:sz w:val="15"/>
          <w:szCs w:val="15"/>
          <w:color w:val="auto"/>
        </w:rPr>
        <w:t>(4)</w:t>
      </w:r>
    </w:p>
    <w:p>
      <w:pPr>
        <w:spacing w:after="0" w:line="1" w:lineRule="exact"/>
        <w:rPr>
          <w:rFonts w:ascii="Arial" w:cs="Arial" w:eastAsia="Arial" w:hAnsi="Arial"/>
          <w:sz w:val="18"/>
          <w:szCs w:val="18"/>
          <w:color w:val="auto"/>
        </w:rPr>
      </w:pPr>
    </w:p>
    <w:p>
      <w:pPr>
        <w:ind w:left="600" w:hanging="345"/>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8" w:lineRule="exact"/>
        <w:rPr>
          <w:sz w:val="20"/>
          <w:szCs w:val="20"/>
          <w:color w:val="auto"/>
        </w:rPr>
      </w:pPr>
    </w:p>
    <w:p>
      <w:pPr>
        <w:ind w:left="60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0" w:hanging="345"/>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12.22%</w:t>
      </w:r>
    </w:p>
    <w:p>
      <w:pPr>
        <w:spacing w:after="0" w:line="36" w:lineRule="exact"/>
        <w:rPr>
          <w:rFonts w:ascii="Arial" w:cs="Arial" w:eastAsia="Arial" w:hAnsi="Arial"/>
          <w:sz w:val="18"/>
          <w:szCs w:val="18"/>
          <w:color w:val="auto"/>
        </w:rPr>
      </w:pPr>
    </w:p>
    <w:p>
      <w:pPr>
        <w:ind w:left="600" w:right="8160" w:hanging="345"/>
        <w:spacing w:after="0" w:line="547"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1"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Richard Torgerson may be deemed to be the beneficial owner of the shares held directly by Torgerson Family Trust, of which Richard Torgerson is one of three co-trustees.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7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2 TO SCHEDULE 13D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This Amendment No. 3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11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ownership percentage is calculated based upon 14,286,290 of the Issuer’s Common Shares outstanding as of February 22, 2021, as reported in the Issuer’s annual report for the period ending December 31, 2020 on the Form 10-K filed with the Securities and Exchange Commission (the “SEC”) on February 26, 2021.</w:t>
      </w:r>
    </w:p>
    <w:p>
      <w:pPr>
        <w:spacing w:after="0" w:line="76" w:lineRule="exact"/>
        <w:rPr>
          <w:sz w:val="20"/>
          <w:szCs w:val="20"/>
          <w:color w:val="auto"/>
        </w:rPr>
      </w:pPr>
    </w:p>
    <w:p>
      <w:pPr>
        <w:ind w:right="220" w:firstLine="8"/>
        <w:spacing w:after="0" w:line="308" w:lineRule="auto"/>
        <w:tabs>
          <w:tab w:leader="none" w:pos="2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table sets forth all transactions with respect to the Common Shares effected during the past sixty (60) days prior to the effective date of this Amendment No. 3 to Schedule 13D by the Reporting Persons. All transactions were made on the New York Stock Exchange.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Total</w:t>
            </w: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040" w:type="dxa"/>
            <w:vAlign w:val="bottom"/>
            <w:gridSpan w:val="2"/>
            <w:vMerge w:val="continue"/>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Date of Transaction</w:t>
            </w:r>
          </w:p>
        </w:tc>
        <w:tc>
          <w:tcPr>
            <w:tcW w:w="400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0"/>
              </w:rPr>
              <w:t>Transaction</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(Torgerson Family</w:t>
            </w: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2"/>
              </w:rPr>
              <w:t>(989677 Alberta</w:t>
            </w: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shares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9"/>
              </w:rPr>
              <w:t>Trust):</w:t>
            </w:r>
          </w:p>
        </w:tc>
        <w:tc>
          <w:tcPr>
            <w:tcW w:w="14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rPr>
              <w:t>Ltd.):</w:t>
            </w:r>
          </w:p>
        </w:tc>
        <w:tc>
          <w:tcPr>
            <w:tcW w:w="10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sold</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March-09-2021</w:t>
            </w:r>
          </w:p>
        </w:tc>
        <w:tc>
          <w:tcPr>
            <w:tcW w:w="40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Sale</w:t>
            </w: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11,110</w:t>
            </w: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11,490</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March-10-2021</w:t>
            </w:r>
          </w:p>
        </w:tc>
        <w:tc>
          <w:tcPr>
            <w:tcW w:w="40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11,138</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381</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11,519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March-11-2021</w:t>
            </w:r>
          </w:p>
        </w:tc>
        <w:tc>
          <w:tcPr>
            <w:tcW w:w="4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11,080</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379</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11,459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March-12-2021</w:t>
            </w:r>
          </w:p>
        </w:tc>
        <w:tc>
          <w:tcPr>
            <w:tcW w:w="40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11,467</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392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11,859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March-15-2021</w:t>
            </w:r>
          </w:p>
        </w:tc>
        <w:tc>
          <w:tcPr>
            <w:tcW w:w="4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11,691</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12,090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March-16-2021</w:t>
            </w:r>
          </w:p>
        </w:tc>
        <w:tc>
          <w:tcPr>
            <w:tcW w:w="40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11,617</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397</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12,014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March-17-2021</w:t>
            </w:r>
          </w:p>
        </w:tc>
        <w:tc>
          <w:tcPr>
            <w:tcW w:w="4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11,698</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12,098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March-18-2021</w:t>
            </w:r>
          </w:p>
        </w:tc>
        <w:tc>
          <w:tcPr>
            <w:tcW w:w="40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8,658</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296</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March-19-2021</w:t>
            </w:r>
          </w:p>
        </w:tc>
        <w:tc>
          <w:tcPr>
            <w:tcW w:w="4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10,728</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367</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11,095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March-22-2021</w:t>
            </w:r>
          </w:p>
        </w:tc>
        <w:tc>
          <w:tcPr>
            <w:tcW w:w="40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11,911</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407</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12,318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March-23-2021</w:t>
            </w:r>
          </w:p>
        </w:tc>
        <w:tc>
          <w:tcPr>
            <w:tcW w:w="4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12,077</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March-24-2021</w:t>
            </w:r>
          </w:p>
        </w:tc>
        <w:tc>
          <w:tcPr>
            <w:tcW w:w="40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11,914</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407</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12,321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March-25-2021</w:t>
            </w:r>
          </w:p>
        </w:tc>
        <w:tc>
          <w:tcPr>
            <w:tcW w:w="4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11,811</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12,215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w w:val="98"/>
              </w:rPr>
              <w:t>March-26-2021</w:t>
            </w:r>
          </w:p>
        </w:tc>
        <w:tc>
          <w:tcPr>
            <w:tcW w:w="40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11,874</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406</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12,280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0" w:right="339" w:bottom="1440" w:gutter="0" w:footer="0" w:header="0"/>
        </w:sectPr>
      </w:pPr>
    </w:p>
    <w:bookmarkStart w:id="8" w:name="page9"/>
    <w:bookmarkEnd w:id="8"/>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Lance Torgerson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Torgerson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Tammy Torgerson</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sectPr>
      <w:pgSz w:w="11900" w:h="16838" w:orient="portrait"/>
      <w:cols w:equalWidth="0" w:num="1">
        <w:col w:w="10920"/>
      </w:cols>
      <w:pgMar w:left="32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1"/>
    </w:lvl>
  </w:abstractNum>
  <w:abstractNum w:abstractNumId="2">
    <w:nsid w:val="1F16E9E8"/>
    <w:multiLevelType w:val="hybridMultilevel"/>
    <w:lvl w:ilvl="0">
      <w:lvlJc w:val="left"/>
      <w:lvlText w:val="%1"/>
      <w:numFmt w:val="decimal"/>
      <w:start w:val="13"/>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1"/>
      <w:numFmt w:val="decimal"/>
      <w:start w:val="13"/>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
    </w:lvl>
    <w:lvl w:ilvl="1">
      <w:lvlJc w:val="left"/>
      <w:lvlText w:val="%2"/>
      <w:numFmt w:val="decimal"/>
      <w:start w:val="13"/>
    </w:lvl>
  </w:abstractNum>
  <w:abstractNum w:abstractNumId="7">
    <w:nsid w:val="109CF92E"/>
    <w:multiLevelType w:val="hybridMultilevel"/>
    <w:lvl w:ilvl="0">
      <w:lvlJc w:val="left"/>
      <w:lvlText w:val="(%1)"/>
      <w:numFmt w:val="decimal"/>
      <w:start w:val="1"/>
    </w:lvl>
    <w:lvl w:ilvl="1">
      <w:lvlJc w:val="left"/>
      <w:lvlText w:val="%2"/>
      <w:numFmt w:val="decimal"/>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
    </w:lvl>
    <w:lvl w:ilvl="1">
      <w:lvlJc w:val="left"/>
      <w:lvlText w:val="%2"/>
      <w:numFmt w:val="decimal"/>
      <w:start w:val="13"/>
    </w:lvl>
  </w:abstractNum>
  <w:abstractNum w:abstractNumId="10">
    <w:nsid w:val="1BEFD79F"/>
    <w:multiLevelType w:val="hybridMultilevel"/>
    <w:lvl w:ilvl="0">
      <w:lvlJc w:val="left"/>
      <w:lvlText w:val="(%1)"/>
      <w:numFmt w:val="decimal"/>
      <w:start w:val="2"/>
    </w:lvl>
    <w:lvl w:ilvl="1">
      <w:lvlJc w:val="left"/>
      <w:lvlText w:val="%2"/>
      <w:numFmt w:val="decimal"/>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
    </w:lvl>
    <w:lvl w:ilvl="1">
      <w:lvlJc w:val="left"/>
      <w:lvlText w:val="%2"/>
      <w:numFmt w:val="decimal"/>
      <w:start w:val="13"/>
    </w:lvl>
  </w:abstractNum>
  <w:abstractNum w:abstractNumId="13">
    <w:nsid w:val="4E6AFB66"/>
    <w:multiLevelType w:val="hybridMultilevel"/>
    <w:lvl w:ilvl="0">
      <w:lvlJc w:val="left"/>
      <w:lvlText w:val="(%1)"/>
      <w:numFmt w:val="decimal"/>
      <w:start w:val="3"/>
    </w:lvl>
    <w:lvl w:ilvl="1">
      <w:lvlJc w:val="left"/>
      <w:lvlText w:val="%2"/>
      <w:numFmt w:val="decimal"/>
      <w:start w:val="1"/>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
    </w:lvl>
    <w:lvl w:ilvl="1">
      <w:lvlJc w:val="left"/>
      <w:lvlText w:val="%2"/>
      <w:numFmt w:val="decimal"/>
      <w:start w:val="13"/>
    </w:lvl>
  </w:abstractNum>
  <w:abstractNum w:abstractNumId="16">
    <w:nsid w:val="431BD7B7"/>
    <w:multiLevelType w:val="hybridMultilevel"/>
    <w:lvl w:ilvl="0">
      <w:lvlJc w:val="left"/>
      <w:lvlText w:val="(%1)"/>
      <w:numFmt w:val="decimal"/>
      <w:start w:val="4"/>
    </w:lvl>
    <w:lvl w:ilvl="1">
      <w:lvlJc w:val="left"/>
      <w:lvlText w:val="%2"/>
      <w:numFmt w:val="decimal"/>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2021-03-29T13:35:56Z</dcterms:created>
  <dcterms:modified xsi:type="dcterms:W3CDTF">2021-03-29T13:35:56Z</dcterms:modified>
</cp:coreProperties>
</file>