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Civeo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17878Y207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Ali John Mirshekari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24 Shipyard Drive, Suite 102</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Hingham, MA, 02043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 958-4185</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J. Kaufman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Thompson Coburn, 55 East Monroe Ct., Suite 3700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Chicago, IL, 60610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(312) 580-2342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 Partners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679,447.00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679,447.00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679,447.00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 Partners Fund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ectPr>
          <w:pgSz w:w="11900" w:h="16857" w:orient="portrait"/>
          <w:cols w:equalWidth="0" w:num="1">
            <w:col w:w="10099"/>
          </w:cols>
          <w:pgMar w:left="360" w:top="639" w:right="1440"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679,447.00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679,447.00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679,447.00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Ali John Mirshekari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679,447.00</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line="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ind w:left="40"/>
        <w:spacing w:after="0"/>
        <w:tabs>
          <w:tab w:leader="none" w:pos="146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679,447.00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679,447.00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4.93 %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M Partners Fund LP is a Delaware limited partnership whose sole general partner is M Partners Fund (GP) LLC. The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managing member of M Partners Fund (GP) LLC is Ali John Mirshekari. As a result, Ali John Mirshekari is deemed to</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be the indirect owner of the shares held directly by M Partners Fund LP. Despite such shared beneficial ownership, the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Reporting Persons disclaim that they constitute a statutory group within the meaning of Rule 13d-5(b)(1) of the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Securities Exchange Act of 1934. Based on the 13,772,802 common shares, without par value per share, outstanding as</w:t>
      </w:r>
    </w:p>
    <w:p>
      <w:pPr>
        <w:spacing w:after="0" w:line="2"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of October 25, 2024, as reported in the Form 10-Q for the quarterly period ended September 30, 2024, of Civeo Corporation.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Civeo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Three Allen Center, 333 Clay Street, Suite 4980, Houston, TEXAS , 77002.</w:t>
      </w:r>
    </w:p>
    <w:p>
      <w:pPr>
        <w:spacing w:after="0" w:line="20" w:lineRule="exact"/>
        <w:rPr>
          <w:sz w:val="20"/>
          <w:szCs w:val="20"/>
          <w:color w:val="auto"/>
        </w:rPr>
      </w:pPr>
    </w:p>
    <w:p>
      <w:pPr>
        <w:ind w:left="40" w:right="40"/>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13D Amendment (this "Statement") relates to the common shares, without par value per share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"Common Shares"), of Civeo Corporation, a British Columbia, Canada corporation (the "Issuer"). The address of the</w:t>
      </w:r>
    </w:p>
    <w:p>
      <w:pPr>
        <w:spacing w:after="0" w:line="1" w:lineRule="exact"/>
        <w:rPr>
          <w:sz w:val="20"/>
          <w:szCs w:val="20"/>
          <w:color w:val="auto"/>
        </w:rPr>
      </w:pPr>
    </w:p>
    <w:p>
      <w:pPr>
        <w:ind w:left="40" w:right="1480" w:firstLine="952"/>
        <w:spacing w:after="0" w:line="283" w:lineRule="auto"/>
        <w:rPr>
          <w:sz w:val="20"/>
          <w:szCs w:val="20"/>
          <w:color w:val="auto"/>
        </w:rPr>
      </w:pPr>
      <w:r>
        <w:rPr>
          <w:rFonts w:ascii="Times New Roman" w:cs="Times New Roman" w:eastAsia="Times New Roman" w:hAnsi="Times New Roman"/>
          <w:sz w:val="22"/>
          <w:szCs w:val="22"/>
          <w:color w:val="auto"/>
        </w:rPr>
        <w:t>principal offices of the Issuer is Three Allen Center, 333 Clay Street, Suite 4980 Houston, TX 77002. Item 2. Identity and Background</w:t>
      </w: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M Partners Fund LP, M Partners Fund (GP) LLC and Ali John Mirshekari.</w:t>
      </w:r>
    </w:p>
    <w:p>
      <w:pPr>
        <w:spacing w:after="0" w:line="44" w:lineRule="exact"/>
        <w:rPr>
          <w:rFonts w:ascii="Times New Roman" w:cs="Times New Roman" w:eastAsia="Times New Roman" w:hAnsi="Times New Roman"/>
          <w:sz w:val="22"/>
          <w:szCs w:val="22"/>
          <w:color w:val="auto"/>
        </w:rPr>
      </w:pPr>
    </w:p>
    <w:p>
      <w:pPr>
        <w:ind w:left="960" w:right="540" w:hanging="912"/>
        <w:spacing w:after="0" w:line="280" w:lineRule="auto"/>
        <w:tabs>
          <w:tab w:leader="none" w:pos="9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business address of the Reporting Persons is 24 Shipyard Drive, Suite 102, Hingham, MA 02043. M Partners Fund LP's principal business is to purchase, sell, trade and invest in securities. M Partners Fund (GP)</w:t>
      </w:r>
    </w:p>
    <w:p>
      <w:pPr>
        <w:ind w:left="960" w:right="140" w:hanging="912"/>
        <w:spacing w:after="0" w:line="237" w:lineRule="auto"/>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LLC's principal business is to serve as the general partner to M Partners Fund LP. Mr. Mirshekari's principal business is to serve as managing member of M Partners Fund (GP) LLC.</w:t>
      </w:r>
    </w:p>
    <w:p>
      <w:pPr>
        <w:spacing w:after="0" w:line="16" w:lineRule="exact"/>
        <w:rPr>
          <w:rFonts w:ascii="Times New Roman" w:cs="Times New Roman" w:eastAsia="Times New Roman" w:hAnsi="Times New Roman"/>
          <w:sz w:val="22"/>
          <w:szCs w:val="22"/>
          <w:color w:val="auto"/>
        </w:rPr>
      </w:pPr>
    </w:p>
    <w:p>
      <w:pPr>
        <w:ind w:left="960" w:right="80" w:hanging="912"/>
        <w:spacing w:after="0" w:line="185" w:lineRule="auto"/>
        <w:tabs>
          <w:tab w:leader="none" w:pos="96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have not, during the past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Reporting Persons have not, during the last five years, been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jc w:val="both"/>
        <w:ind w:left="960" w:right="320" w:hanging="912"/>
        <w:spacing w:after="0" w:line="184" w:lineRule="auto"/>
        <w:tabs>
          <w:tab w:leader="none" w:pos="96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were or are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60" w:right="480" w:hanging="912"/>
        <w:spacing w:after="0" w:line="185" w:lineRule="auto"/>
        <w:tabs>
          <w:tab w:leader="none" w:pos="96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M Partners Fund LP is a Delaware limited partnership. M Partners Fund (GP) LLC is a Delaware limited liability company. Ali John Mirshekari is a citizen of the United States of America.</w:t>
      </w:r>
    </w:p>
    <w:p>
      <w:pPr>
        <w:spacing w:after="0" w:line="17"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 The Reporting Persons sold Common Shares.</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100"/>
        <w:spacing w:after="0" w:line="244" w:lineRule="auto"/>
        <w:rPr>
          <w:sz w:val="20"/>
          <w:szCs w:val="20"/>
          <w:color w:val="auto"/>
        </w:rPr>
      </w:pPr>
      <w:r>
        <w:rPr>
          <w:rFonts w:ascii="Times New Roman" w:cs="Times New Roman" w:eastAsia="Times New Roman" w:hAnsi="Times New Roman"/>
          <w:sz w:val="22"/>
          <w:szCs w:val="22"/>
          <w:color w:val="auto"/>
        </w:rPr>
        <w:t>Since filing their original Schedule 13D on February 7, 2025, the Reporting Persons have sold Common Shares in the open market and pursuant to a privately negotiated block trade, and the number of Common Shares beneficially owned by the Reporting Persons has dropped below 5%. The Reporting Persons may make additional sales or</w:t>
      </w:r>
    </w:p>
    <w:p>
      <w:pPr>
        <w:sectPr>
          <w:pgSz w:w="11900" w:h="16933" w:orient="portrait"/>
          <w:cols w:equalWidth="0" w:num="1">
            <w:col w:w="11240"/>
          </w:cols>
          <w:pgMar w:left="320" w:top="112" w:right="339" w:bottom="0" w:gutter="0" w:footer="0" w:header="0"/>
        </w:sectPr>
      </w:pPr>
    </w:p>
    <w:bookmarkStart w:id="4" w:name="page5"/>
    <w:bookmarkEnd w:id="4"/>
    <w:p>
      <w:pPr>
        <w:ind w:left="920" w:right="20"/>
        <w:spacing w:after="0" w:line="236" w:lineRule="auto"/>
        <w:rPr>
          <w:sz w:val="20"/>
          <w:szCs w:val="20"/>
          <w:color w:val="auto"/>
        </w:rPr>
      </w:pPr>
      <w:r>
        <w:rPr>
          <w:rFonts w:ascii="Times New Roman" w:cs="Times New Roman" w:eastAsia="Times New Roman" w:hAnsi="Times New Roman"/>
          <w:sz w:val="22"/>
          <w:szCs w:val="22"/>
          <w:color w:val="auto"/>
        </w:rPr>
        <w:t>purchases of Common Shares of the Issuer, either in the open market or in private transactions, depending on their continuous evaluation of the Issuer's business, results of operations, and prospects. The Reporting Persons reserve the right, at a later date, to effect one or more of such changes or transactions in the number of Common Shares they may be deemed to beneficially own or to formulate other purposes, plans or proposals regarding the Issuer or any of its securities, to the extent deemed advisable in light of general investment and trading policies of the Reporting Persons, market conditions or other factors.</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the cover page above is incorporated herein by reference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the cover page above is incorporated herein by reference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transactions in the Common Shares effected by the Reporting Persons during the past sixty</w:t>
      </w:r>
    </w:p>
    <w:p>
      <w:pPr>
        <w:spacing w:after="0" w:line="14" w:lineRule="exact"/>
        <w:rPr>
          <w:rFonts w:ascii="Times New Roman" w:cs="Times New Roman" w:eastAsia="Times New Roman" w:hAnsi="Times New Roman"/>
          <w:sz w:val="22"/>
          <w:szCs w:val="22"/>
          <w:color w:val="auto"/>
        </w:rPr>
      </w:pPr>
    </w:p>
    <w:p>
      <w:pPr>
        <w:ind w:left="920" w:right="100" w:hanging="912"/>
        <w:spacing w:after="0" w:line="184"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days is set forth in Exhibit A hereto and is incorporated herein by reference. All of the transactions in Common Shares listed herein were effected in the open market, provided substantially all of the Common Shares purchased on 1/31/2025 and sold on 2/19/2025 were pursuant to privately negotiated block trades.</w:t>
      </w:r>
    </w:p>
    <w:p>
      <w:pPr>
        <w:spacing w:after="0" w:line="18" w:lineRule="exact"/>
        <w:rPr>
          <w:rFonts w:ascii="Times New Roman" w:cs="Times New Roman" w:eastAsia="Times New Roman" w:hAnsi="Times New Roman"/>
          <w:sz w:val="42"/>
          <w:szCs w:val="42"/>
          <w:color w:val="auto"/>
          <w:vertAlign w:val="subscript"/>
        </w:rPr>
      </w:pPr>
    </w:p>
    <w:p>
      <w:pPr>
        <w:ind w:left="920" w:right="4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other person is known to have the right to receive or the power to direct the receipt of dividends from, or any proceeds from the sale of, Common Shares beneficially owned by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February 20, 2025.</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0"/>
        <w:spacing w:after="0" w:line="256" w:lineRule="auto"/>
        <w:rPr>
          <w:sz w:val="20"/>
          <w:szCs w:val="20"/>
          <w:color w:val="auto"/>
        </w:rPr>
      </w:pPr>
      <w:r>
        <w:rPr>
          <w:rFonts w:ascii="Times New Roman" w:cs="Times New Roman" w:eastAsia="Times New Roman" w:hAnsi="Times New Roman"/>
          <w:sz w:val="22"/>
          <w:szCs w:val="22"/>
          <w:color w:val="auto"/>
        </w:rPr>
        <w:t>As of the date hereof, the Reporting Persons have no contracts, arrangements, understandings or relationships (legal or otherwise) with respect to any securities of the Issuer.</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A: Schedule of Transactions in Common Shares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M Partners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Ali John Mirshekari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Ali John Mirshekari, Managing Member of M</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Partners Fund (GP)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02/20/2025</w:t>
      </w:r>
    </w:p>
    <w:p>
      <w:pPr>
        <w:spacing w:after="0" w:line="1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M Partners Fund (GP) LLC</w:t>
      </w:r>
    </w:p>
    <w:p>
      <w:pPr>
        <w:spacing w:after="0" w:line="152" w:lineRule="exact"/>
        <w:rPr>
          <w:sz w:val="20"/>
          <w:szCs w:val="20"/>
          <w:color w:val="auto"/>
        </w:rPr>
      </w:pPr>
    </w:p>
    <w:p>
      <w:pPr>
        <w:ind w:left="4780"/>
        <w:spacing w:after="0"/>
        <w:tabs>
          <w:tab w:leader="none" w:pos="5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Ali John Mirshekari</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Ali John Mirshekari, Managing Member</w:t>
      </w:r>
    </w:p>
    <w:p>
      <w:pPr>
        <w:spacing w:after="0" w:line="44" w:lineRule="exact"/>
        <w:rPr>
          <w:sz w:val="20"/>
          <w:szCs w:val="20"/>
          <w:color w:val="auto"/>
        </w:rPr>
      </w:pPr>
    </w:p>
    <w:p>
      <w:pPr>
        <w:ind w:left="4780"/>
        <w:spacing w:after="0"/>
        <w:tabs>
          <w:tab w:leader="none" w:pos="5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02/20/2025</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Ali John Mirshekari</w:t>
      </w:r>
    </w:p>
    <w:p>
      <w:pPr>
        <w:spacing w:after="0" w:line="152"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Ali John Mirshekari</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Ali John Mirshekari</w:t>
      </w:r>
    </w:p>
    <w:p>
      <w:pPr>
        <w:spacing w:after="0" w:line="44"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02/20/2025</w:t>
      </w:r>
    </w:p>
    <w:p>
      <w:pPr>
        <w:sectPr>
          <w:pgSz w:w="11900" w:h="16838" w:orient="portrait"/>
          <w:cols w:equalWidth="0" w:num="1">
            <w:col w:w="11140"/>
          </w:cols>
          <w:pgMar w:left="360" w:top="112" w:right="3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OF TRANSACTIONS IN COMMON SHARES</w:t>
      </w:r>
    </w:p>
    <w:p>
      <w:pPr>
        <w:spacing w:after="0" w:line="229" w:lineRule="exact"/>
        <w:rPr>
          <w:sz w:val="20"/>
          <w:szCs w:val="20"/>
          <w:color w:val="auto"/>
        </w:rPr>
      </w:pPr>
    </w:p>
    <w:p>
      <w:pPr>
        <w:jc w:val="both"/>
        <w:ind w:right="260" w:hanging="1"/>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transactions in the Common Shares effected in the past sixty days by the Reporting Persons. All such transactions were effected in the open market, provided substantially all of the Common Shares purchased on 1/31/2025 and sold on 2/19/2025 were pursuant to privately negotiated block trades, and the price per share includes commissions. The Price Per Share ($) is a weighted average price.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Transaction Type</w:t>
            </w:r>
          </w:p>
        </w:tc>
        <w:tc>
          <w:tcPr>
            <w:tcW w:w="28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68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Price Per Share ($)</w:t>
            </w:r>
          </w:p>
        </w:tc>
      </w:tr>
      <w:tr>
        <w:trPr>
          <w:trHeight w:val="209"/>
        </w:trPr>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12/23/2024</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Purchase</w:t>
            </w:r>
          </w:p>
        </w:tc>
        <w:tc>
          <w:tcPr>
            <w:tcW w:w="1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4,326.00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12/24/2024</w:t>
            </w:r>
          </w:p>
        </w:tc>
        <w:tc>
          <w:tcPr>
            <w:tcW w:w="140" w:type="dxa"/>
            <w:vAlign w:val="bottom"/>
          </w:tcPr>
          <w:p>
            <w:pPr>
              <w:spacing w:after="0"/>
              <w:rPr>
                <w:sz w:val="18"/>
                <w:szCs w:val="18"/>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11,185.00</w:t>
            </w:r>
          </w:p>
        </w:tc>
        <w:tc>
          <w:tcPr>
            <w:tcW w:w="220" w:type="dxa"/>
            <w:vAlign w:val="bottom"/>
          </w:tcPr>
          <w:p>
            <w:pPr>
              <w:spacing w:after="0"/>
              <w:rPr>
                <w:sz w:val="18"/>
                <w:szCs w:val="18"/>
                <w:color w:val="auto"/>
              </w:rPr>
            </w:pPr>
          </w:p>
        </w:tc>
        <w:tc>
          <w:tcPr>
            <w:tcW w:w="25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12/26/2024</w:t>
            </w:r>
          </w:p>
        </w:tc>
        <w:tc>
          <w:tcPr>
            <w:tcW w:w="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4,300.00</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12/27/2024</w:t>
            </w:r>
          </w:p>
        </w:tc>
        <w:tc>
          <w:tcPr>
            <w:tcW w:w="140" w:type="dxa"/>
            <w:vAlign w:val="bottom"/>
          </w:tcPr>
          <w:p>
            <w:pPr>
              <w:spacing w:after="0"/>
              <w:rPr>
                <w:sz w:val="18"/>
                <w:szCs w:val="18"/>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2,948.00</w:t>
            </w:r>
          </w:p>
        </w:tc>
        <w:tc>
          <w:tcPr>
            <w:tcW w:w="220" w:type="dxa"/>
            <w:vAlign w:val="bottom"/>
          </w:tcPr>
          <w:p>
            <w:pPr>
              <w:spacing w:after="0"/>
              <w:rPr>
                <w:sz w:val="18"/>
                <w:szCs w:val="18"/>
                <w:color w:val="auto"/>
              </w:rPr>
            </w:pPr>
          </w:p>
        </w:tc>
        <w:tc>
          <w:tcPr>
            <w:tcW w:w="25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12/30/2024</w:t>
            </w:r>
          </w:p>
        </w:tc>
        <w:tc>
          <w:tcPr>
            <w:tcW w:w="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6,195.00</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12/31/2024</w:t>
            </w:r>
          </w:p>
        </w:tc>
        <w:tc>
          <w:tcPr>
            <w:tcW w:w="140" w:type="dxa"/>
            <w:vAlign w:val="bottom"/>
          </w:tcPr>
          <w:p>
            <w:pPr>
              <w:spacing w:after="0"/>
              <w:rPr>
                <w:sz w:val="18"/>
                <w:szCs w:val="18"/>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3,159.00</w:t>
            </w:r>
          </w:p>
        </w:tc>
        <w:tc>
          <w:tcPr>
            <w:tcW w:w="220" w:type="dxa"/>
            <w:vAlign w:val="bottom"/>
          </w:tcPr>
          <w:p>
            <w:pPr>
              <w:spacing w:after="0"/>
              <w:rPr>
                <w:sz w:val="18"/>
                <w:szCs w:val="18"/>
                <w:color w:val="auto"/>
              </w:rPr>
            </w:pPr>
          </w:p>
        </w:tc>
        <w:tc>
          <w:tcPr>
            <w:tcW w:w="25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1/3/2025</w:t>
            </w:r>
          </w:p>
        </w:tc>
        <w:tc>
          <w:tcPr>
            <w:tcW w:w="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1,400.00</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1/6/2025</w:t>
            </w:r>
          </w:p>
        </w:tc>
        <w:tc>
          <w:tcPr>
            <w:tcW w:w="140" w:type="dxa"/>
            <w:vAlign w:val="bottom"/>
          </w:tcPr>
          <w:p>
            <w:pPr>
              <w:spacing w:after="0"/>
              <w:rPr>
                <w:sz w:val="18"/>
                <w:szCs w:val="18"/>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8,707.00</w:t>
            </w:r>
          </w:p>
        </w:tc>
        <w:tc>
          <w:tcPr>
            <w:tcW w:w="220" w:type="dxa"/>
            <w:vAlign w:val="bottom"/>
          </w:tcPr>
          <w:p>
            <w:pPr>
              <w:spacing w:after="0"/>
              <w:rPr>
                <w:sz w:val="18"/>
                <w:szCs w:val="18"/>
                <w:color w:val="auto"/>
              </w:rPr>
            </w:pPr>
          </w:p>
        </w:tc>
        <w:tc>
          <w:tcPr>
            <w:tcW w:w="25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1/7/2025</w:t>
            </w:r>
          </w:p>
        </w:tc>
        <w:tc>
          <w:tcPr>
            <w:tcW w:w="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25,000.00</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1/8/2025</w:t>
            </w:r>
          </w:p>
        </w:tc>
        <w:tc>
          <w:tcPr>
            <w:tcW w:w="140" w:type="dxa"/>
            <w:vAlign w:val="bottom"/>
          </w:tcPr>
          <w:p>
            <w:pPr>
              <w:spacing w:after="0"/>
              <w:rPr>
                <w:sz w:val="18"/>
                <w:szCs w:val="18"/>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8,697.00</w:t>
            </w:r>
          </w:p>
        </w:tc>
        <w:tc>
          <w:tcPr>
            <w:tcW w:w="220" w:type="dxa"/>
            <w:vAlign w:val="bottom"/>
          </w:tcPr>
          <w:p>
            <w:pPr>
              <w:spacing w:after="0"/>
              <w:rPr>
                <w:sz w:val="18"/>
                <w:szCs w:val="18"/>
                <w:color w:val="auto"/>
              </w:rPr>
            </w:pPr>
          </w:p>
        </w:tc>
        <w:tc>
          <w:tcPr>
            <w:tcW w:w="25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1/9/2025</w:t>
            </w:r>
          </w:p>
        </w:tc>
        <w:tc>
          <w:tcPr>
            <w:tcW w:w="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1/14/2025</w:t>
            </w:r>
          </w:p>
        </w:tc>
        <w:tc>
          <w:tcPr>
            <w:tcW w:w="140" w:type="dxa"/>
            <w:vAlign w:val="bottom"/>
          </w:tcPr>
          <w:p>
            <w:pPr>
              <w:spacing w:after="0"/>
              <w:rPr>
                <w:sz w:val="18"/>
                <w:szCs w:val="18"/>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8"/>
                <w:szCs w:val="18"/>
                <w:color w:val="auto"/>
              </w:rPr>
            </w:pPr>
          </w:p>
        </w:tc>
        <w:tc>
          <w:tcPr>
            <w:tcW w:w="25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1/14/2025</w:t>
            </w:r>
          </w:p>
        </w:tc>
        <w:tc>
          <w:tcPr>
            <w:tcW w:w="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1/15/2025</w:t>
            </w:r>
          </w:p>
        </w:tc>
        <w:tc>
          <w:tcPr>
            <w:tcW w:w="140" w:type="dxa"/>
            <w:vAlign w:val="bottom"/>
          </w:tcPr>
          <w:p>
            <w:pPr>
              <w:spacing w:after="0"/>
              <w:rPr>
                <w:sz w:val="18"/>
                <w:szCs w:val="18"/>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18"/>
                <w:szCs w:val="18"/>
                <w:color w:val="auto"/>
              </w:rPr>
            </w:pPr>
          </w:p>
        </w:tc>
        <w:tc>
          <w:tcPr>
            <w:tcW w:w="25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1/16/2025</w:t>
            </w:r>
          </w:p>
        </w:tc>
        <w:tc>
          <w:tcPr>
            <w:tcW w:w="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1,103.00</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1/17/2025</w:t>
            </w:r>
          </w:p>
        </w:tc>
        <w:tc>
          <w:tcPr>
            <w:tcW w:w="140" w:type="dxa"/>
            <w:vAlign w:val="bottom"/>
          </w:tcPr>
          <w:p>
            <w:pPr>
              <w:spacing w:after="0"/>
              <w:rPr>
                <w:sz w:val="18"/>
                <w:szCs w:val="18"/>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697</w:t>
            </w:r>
          </w:p>
        </w:tc>
        <w:tc>
          <w:tcPr>
            <w:tcW w:w="220" w:type="dxa"/>
            <w:vAlign w:val="bottom"/>
          </w:tcPr>
          <w:p>
            <w:pPr>
              <w:spacing w:after="0"/>
              <w:rPr>
                <w:sz w:val="18"/>
                <w:szCs w:val="18"/>
                <w:color w:val="auto"/>
              </w:rPr>
            </w:pPr>
          </w:p>
        </w:tc>
        <w:tc>
          <w:tcPr>
            <w:tcW w:w="25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1/21/2025</w:t>
            </w:r>
          </w:p>
        </w:tc>
        <w:tc>
          <w:tcPr>
            <w:tcW w:w="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3,200.00</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1/21/2025</w:t>
            </w:r>
          </w:p>
        </w:tc>
        <w:tc>
          <w:tcPr>
            <w:tcW w:w="140" w:type="dxa"/>
            <w:vAlign w:val="bottom"/>
          </w:tcPr>
          <w:p>
            <w:pPr>
              <w:spacing w:after="0"/>
              <w:rPr>
                <w:sz w:val="18"/>
                <w:szCs w:val="18"/>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18"/>
                <w:szCs w:val="18"/>
                <w:color w:val="auto"/>
              </w:rPr>
            </w:pPr>
          </w:p>
        </w:tc>
        <w:tc>
          <w:tcPr>
            <w:tcW w:w="25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1/23/2025</w:t>
            </w:r>
          </w:p>
        </w:tc>
        <w:tc>
          <w:tcPr>
            <w:tcW w:w="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2,000.00</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1/24/2025</w:t>
            </w:r>
          </w:p>
        </w:tc>
        <w:tc>
          <w:tcPr>
            <w:tcW w:w="140" w:type="dxa"/>
            <w:vAlign w:val="bottom"/>
          </w:tcPr>
          <w:p>
            <w:pPr>
              <w:spacing w:after="0"/>
              <w:rPr>
                <w:sz w:val="18"/>
                <w:szCs w:val="18"/>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2,000.00</w:t>
            </w:r>
          </w:p>
        </w:tc>
        <w:tc>
          <w:tcPr>
            <w:tcW w:w="220" w:type="dxa"/>
            <w:vAlign w:val="bottom"/>
          </w:tcPr>
          <w:p>
            <w:pPr>
              <w:spacing w:after="0"/>
              <w:rPr>
                <w:sz w:val="18"/>
                <w:szCs w:val="18"/>
                <w:color w:val="auto"/>
              </w:rPr>
            </w:pPr>
          </w:p>
        </w:tc>
        <w:tc>
          <w:tcPr>
            <w:tcW w:w="25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1/24/2025</w:t>
            </w:r>
          </w:p>
        </w:tc>
        <w:tc>
          <w:tcPr>
            <w:tcW w:w="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1/27/2025</w:t>
            </w:r>
          </w:p>
        </w:tc>
        <w:tc>
          <w:tcPr>
            <w:tcW w:w="140" w:type="dxa"/>
            <w:vAlign w:val="bottom"/>
          </w:tcPr>
          <w:p>
            <w:pPr>
              <w:spacing w:after="0"/>
              <w:rPr>
                <w:sz w:val="18"/>
                <w:szCs w:val="18"/>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763</w:t>
            </w:r>
          </w:p>
        </w:tc>
        <w:tc>
          <w:tcPr>
            <w:tcW w:w="220" w:type="dxa"/>
            <w:vAlign w:val="bottom"/>
          </w:tcPr>
          <w:p>
            <w:pPr>
              <w:spacing w:after="0"/>
              <w:rPr>
                <w:sz w:val="18"/>
                <w:szCs w:val="18"/>
                <w:color w:val="auto"/>
              </w:rPr>
            </w:pPr>
          </w:p>
        </w:tc>
        <w:tc>
          <w:tcPr>
            <w:tcW w:w="25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1/28/2025</w:t>
            </w:r>
          </w:p>
        </w:tc>
        <w:tc>
          <w:tcPr>
            <w:tcW w:w="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1/28/2025</w:t>
            </w:r>
          </w:p>
        </w:tc>
        <w:tc>
          <w:tcPr>
            <w:tcW w:w="140" w:type="dxa"/>
            <w:vAlign w:val="bottom"/>
          </w:tcPr>
          <w:p>
            <w:pPr>
              <w:spacing w:after="0"/>
              <w:rPr>
                <w:sz w:val="18"/>
                <w:szCs w:val="18"/>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4,237.00</w:t>
            </w:r>
          </w:p>
        </w:tc>
        <w:tc>
          <w:tcPr>
            <w:tcW w:w="220" w:type="dxa"/>
            <w:vAlign w:val="bottom"/>
          </w:tcPr>
          <w:p>
            <w:pPr>
              <w:spacing w:after="0"/>
              <w:rPr>
                <w:sz w:val="18"/>
                <w:szCs w:val="18"/>
                <w:color w:val="auto"/>
              </w:rPr>
            </w:pPr>
          </w:p>
        </w:tc>
        <w:tc>
          <w:tcPr>
            <w:tcW w:w="25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1/29/2025</w:t>
            </w:r>
          </w:p>
        </w:tc>
        <w:tc>
          <w:tcPr>
            <w:tcW w:w="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1,969.00</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1/29/2025</w:t>
            </w:r>
          </w:p>
        </w:tc>
        <w:tc>
          <w:tcPr>
            <w:tcW w:w="140" w:type="dxa"/>
            <w:vAlign w:val="bottom"/>
          </w:tcPr>
          <w:p>
            <w:pPr>
              <w:spacing w:after="0"/>
              <w:rPr>
                <w:sz w:val="18"/>
                <w:szCs w:val="18"/>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18"/>
                <w:szCs w:val="18"/>
                <w:color w:val="auto"/>
              </w:rPr>
            </w:pPr>
          </w:p>
        </w:tc>
        <w:tc>
          <w:tcPr>
            <w:tcW w:w="25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1/29/2025</w:t>
            </w:r>
          </w:p>
        </w:tc>
        <w:tc>
          <w:tcPr>
            <w:tcW w:w="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1/29/2025</w:t>
            </w:r>
          </w:p>
        </w:tc>
        <w:tc>
          <w:tcPr>
            <w:tcW w:w="140" w:type="dxa"/>
            <w:vAlign w:val="bottom"/>
          </w:tcPr>
          <w:p>
            <w:pPr>
              <w:spacing w:after="0"/>
              <w:rPr>
                <w:sz w:val="18"/>
                <w:szCs w:val="18"/>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18"/>
                <w:szCs w:val="18"/>
                <w:color w:val="auto"/>
              </w:rPr>
            </w:pPr>
          </w:p>
        </w:tc>
        <w:tc>
          <w:tcPr>
            <w:tcW w:w="25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1/30/2025</w:t>
            </w:r>
          </w:p>
        </w:tc>
        <w:tc>
          <w:tcPr>
            <w:tcW w:w="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30,737.00</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1/31/2025</w:t>
            </w:r>
          </w:p>
        </w:tc>
        <w:tc>
          <w:tcPr>
            <w:tcW w:w="140" w:type="dxa"/>
            <w:vAlign w:val="bottom"/>
          </w:tcPr>
          <w:p>
            <w:pPr>
              <w:spacing w:after="0"/>
              <w:rPr>
                <w:sz w:val="18"/>
                <w:szCs w:val="18"/>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744</w:t>
            </w:r>
          </w:p>
        </w:tc>
        <w:tc>
          <w:tcPr>
            <w:tcW w:w="220" w:type="dxa"/>
            <w:vAlign w:val="bottom"/>
          </w:tcPr>
          <w:p>
            <w:pPr>
              <w:spacing w:after="0"/>
              <w:rPr>
                <w:sz w:val="18"/>
                <w:szCs w:val="18"/>
                <w:color w:val="auto"/>
              </w:rPr>
            </w:pPr>
          </w:p>
        </w:tc>
        <w:tc>
          <w:tcPr>
            <w:tcW w:w="25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2/3/2025</w:t>
            </w:r>
          </w:p>
        </w:tc>
        <w:tc>
          <w:tcPr>
            <w:tcW w:w="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w:t>
            </w:r>
          </w:p>
        </w:tc>
        <w:tc>
          <w:tcPr>
            <w:tcW w:w="2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815,650.00</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2/18/2025</w:t>
            </w:r>
          </w:p>
        </w:tc>
        <w:tc>
          <w:tcPr>
            <w:tcW w:w="140" w:type="dxa"/>
            <w:vAlign w:val="bottom"/>
          </w:tcPr>
          <w:p>
            <w:pPr>
              <w:spacing w:after="0"/>
              <w:rPr>
                <w:sz w:val="18"/>
                <w:szCs w:val="18"/>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Sale</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1,097.00</w:t>
            </w:r>
          </w:p>
        </w:tc>
        <w:tc>
          <w:tcPr>
            <w:tcW w:w="220" w:type="dxa"/>
            <w:vAlign w:val="bottom"/>
          </w:tcPr>
          <w:p>
            <w:pPr>
              <w:spacing w:after="0"/>
              <w:rPr>
                <w:sz w:val="18"/>
                <w:szCs w:val="18"/>
                <w:color w:val="auto"/>
              </w:rPr>
            </w:pPr>
          </w:p>
        </w:tc>
        <w:tc>
          <w:tcPr>
            <w:tcW w:w="25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2/19/2025</w:t>
            </w:r>
          </w:p>
        </w:tc>
        <w:tc>
          <w:tcPr>
            <w:tcW w:w="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Sale</w:t>
            </w:r>
          </w:p>
        </w:tc>
        <w:tc>
          <w:tcPr>
            <w:tcW w:w="2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366,483.00</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shd w:val="clear" w:color="auto" w:fill="CCEEFF"/>
          </w:tcPr>
          <w:p>
            <w:pPr>
              <w:spacing w:after="0"/>
              <w:rPr>
                <w:sz w:val="18"/>
                <w:szCs w:val="18"/>
                <w:color w:val="auto"/>
              </w:rPr>
            </w:pPr>
          </w:p>
        </w:tc>
      </w:tr>
      <w:tr>
        <w:trPr>
          <w:trHeight w:val="234"/>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2/20/2025</w:t>
            </w:r>
          </w:p>
        </w:tc>
        <w:tc>
          <w:tcPr>
            <w:tcW w:w="140" w:type="dxa"/>
            <w:vAlign w:val="bottom"/>
          </w:tcPr>
          <w:p>
            <w:pPr>
              <w:spacing w:after="0"/>
              <w:rPr>
                <w:sz w:val="20"/>
                <w:szCs w:val="20"/>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Sale</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12,821</w:t>
            </w:r>
          </w:p>
        </w:tc>
        <w:tc>
          <w:tcPr>
            <w:tcW w:w="220" w:type="dxa"/>
            <w:vAlign w:val="bottom"/>
          </w:tcPr>
          <w:p>
            <w:pPr>
              <w:spacing w:after="0"/>
              <w:rPr>
                <w:sz w:val="20"/>
                <w:szCs w:val="20"/>
                <w:color w:val="auto"/>
              </w:rPr>
            </w:pPr>
          </w:p>
        </w:tc>
        <w:tc>
          <w:tcPr>
            <w:tcW w:w="25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Pr>
          <w:p>
            <w:pPr>
              <w:spacing w:after="0"/>
              <w:rPr>
                <w:sz w:val="20"/>
                <w:szCs w:val="20"/>
                <w:color w:val="auto"/>
              </w:rPr>
            </w:pPr>
          </w:p>
        </w:tc>
      </w:tr>
      <w:tr>
        <w:trPr>
          <w:trHeight w:val="657"/>
        </w:trPr>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2025-02-20T18:55:46Z</dcterms:created>
  <dcterms:modified xsi:type="dcterms:W3CDTF">2025-02-20T18:55:46Z</dcterms:modified>
</cp:coreProperties>
</file>