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CIVEO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#17878Y108</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#17878Y108</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1,205,300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12,637,939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12,637,939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11.691%</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#17878Y108</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12,637,939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12,637,939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11.691%</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#17878Y108</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Fidelity Low-Priced Stock Fund</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10,432,639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10,432,639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9.651%</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IV</w:t>
            </w:r>
          </w:p>
        </w:tc>
        <w:tc>
          <w:tcPr>
            <w:tcW w:w="558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CIVEO CORP</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3 Allen Center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333 Clay St, Ste 4620</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TX 77002</w:t>
            </w:r>
          </w:p>
        </w:tc>
      </w:tr>
      <w:tr>
        <w:trPr>
          <w:trHeight w:val="203"/>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17878Y108</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58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or (c) and the</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8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12,637,939</w:t>
            </w: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11.691%</w:t>
            </w:r>
          </w:p>
        </w:tc>
        <w:tc>
          <w:tcPr>
            <w:tcW w:w="110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1,205,300</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12,637,939</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CIVEO CORP. No one other person's interest in the COMMON STOCK of CIVEO CORP is more than five percent of the total outstanding COMMON STOCK.</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90"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24 to the Schedule 13G filed by FMR LLC on June 10, 2016, accession number: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0000315066-16-005935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CIVEO CORP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9"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2019-12-07T20:53:52Z</dcterms:created>
  <dcterms:modified xsi:type="dcterms:W3CDTF">2019-12-07T20:53:52Z</dcterms:modified>
</cp:coreProperties>
</file>