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673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67360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SWANSON DOUGLAS E</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333 CLAY STREET, SUITE 4980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Civeo Corp</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CVEO</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9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09/30/2015</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6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60" w:type="dxa"/>
            <w:vAlign w:val="bottom"/>
          </w:tcPr>
          <w:p>
            <w:pPr>
              <w:spacing w:after="0"/>
              <w:rPr>
                <w:sz w:val="20"/>
                <w:szCs w:val="20"/>
                <w:color w:val="auto"/>
              </w:rPr>
            </w:pPr>
            <w:r>
              <w:rPr>
                <w:rFonts w:ascii="Arial" w:cs="Arial" w:eastAsia="Arial" w:hAnsi="Arial"/>
                <w:sz w:val="18"/>
                <w:szCs w:val="18"/>
                <w:color w:val="0000FF"/>
              </w:rPr>
              <w:t>HOUSTON</w:t>
            </w:r>
          </w:p>
        </w:tc>
        <w:tc>
          <w:tcPr>
            <w:tcW w:w="1060" w:type="dxa"/>
            <w:vAlign w:val="bottom"/>
          </w:tcPr>
          <w:p>
            <w:pPr>
              <w:ind w:left="220"/>
              <w:spacing w:after="0"/>
              <w:rPr>
                <w:sz w:val="20"/>
                <w:szCs w:val="20"/>
                <w:color w:val="auto"/>
              </w:rPr>
            </w:pPr>
            <w:r>
              <w:rPr>
                <w:rFonts w:ascii="Arial" w:cs="Arial" w:eastAsia="Arial" w:hAnsi="Arial"/>
                <w:sz w:val="18"/>
                <w:szCs w:val="18"/>
                <w:color w:val="0000FF"/>
              </w:rPr>
              <w:t>TX</w:t>
            </w:r>
          </w:p>
        </w:tc>
        <w:tc>
          <w:tcPr>
            <w:tcW w:w="1680" w:type="dxa"/>
            <w:vAlign w:val="bottom"/>
          </w:tcPr>
          <w:p>
            <w:pPr>
              <w:ind w:left="420"/>
              <w:spacing w:after="0"/>
              <w:rPr>
                <w:sz w:val="20"/>
                <w:szCs w:val="20"/>
                <w:color w:val="auto"/>
              </w:rPr>
            </w:pPr>
            <w:r>
              <w:rPr>
                <w:rFonts w:ascii="Arial" w:cs="Arial" w:eastAsia="Arial" w:hAnsi="Arial"/>
                <w:sz w:val="18"/>
                <w:szCs w:val="18"/>
                <w:color w:val="0000FF"/>
              </w:rPr>
              <w:t>77002</w:t>
            </w:r>
          </w:p>
        </w:tc>
      </w:tr>
      <w:tr>
        <w:trPr>
          <w:trHeight w:val="158"/>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4"/>
                <w:szCs w:val="14"/>
                <w:color w:val="auto"/>
              </w:rPr>
              <w:t>(City)</w:t>
            </w:r>
          </w:p>
        </w:tc>
        <w:tc>
          <w:tcPr>
            <w:tcW w:w="1060" w:type="dxa"/>
            <w:vAlign w:val="bottom"/>
          </w:tcPr>
          <w:p>
            <w:pPr>
              <w:ind w:left="22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5"/>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20"/>
              <w:spacing w:after="0" w:line="133"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2800" w:type="dxa"/>
            <w:vAlign w:val="bottom"/>
            <w:gridSpan w:val="7"/>
          </w:tcPr>
          <w:p>
            <w:pPr>
              <w:ind w:left="60"/>
              <w:spacing w:after="0" w:line="133" w:lineRule="exact"/>
              <w:rPr>
                <w:sz w:val="20"/>
                <w:szCs w:val="20"/>
                <w:color w:val="auto"/>
              </w:rPr>
            </w:pPr>
            <w:r>
              <w:rPr>
                <w:rFonts w:ascii="Arial" w:cs="Arial" w:eastAsia="Arial" w:hAnsi="Arial"/>
                <w:sz w:val="12"/>
                <w:szCs w:val="12"/>
                <w:b w:val="1"/>
                <w:bCs w:val="1"/>
                <w:color w:val="auto"/>
              </w:rPr>
              <w:t>Transaction  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0" w:type="dxa"/>
            <w:vAlign w:val="bottom"/>
            <w:gridSpan w:val="2"/>
          </w:tcPr>
          <w:p>
            <w:pPr>
              <w:ind w:left="72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6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20" w:type="dxa"/>
            <w:vAlign w:val="bottom"/>
          </w:tcPr>
          <w:p>
            <w:pPr>
              <w:spacing w:after="0"/>
              <w:rPr>
                <w:sz w:val="3"/>
                <w:szCs w:val="3"/>
                <w:color w:val="auto"/>
              </w:rPr>
            </w:pPr>
          </w:p>
        </w:tc>
        <w:tc>
          <w:tcPr>
            <w:tcW w:w="34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760" w:type="dxa"/>
            <w:vAlign w:val="bottom"/>
            <w:gridSpan w:val="2"/>
          </w:tcPr>
          <w:p>
            <w:pPr>
              <w:ind w:left="30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760" w:type="dxa"/>
            <w:vAlign w:val="bottom"/>
            <w:gridSpan w:val="2"/>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w w:val="96"/>
              </w:rPr>
              <w:t>Common Shares</w:t>
            </w:r>
            <w:r>
              <w:rPr>
                <w:rFonts w:ascii="Arial" w:cs="Arial" w:eastAsia="Arial" w:hAnsi="Arial"/>
                <w:sz w:val="22"/>
                <w:szCs w:val="22"/>
                <w:color w:val="008000"/>
                <w:w w:val="96"/>
                <w:vertAlign w:val="superscript"/>
              </w:rPr>
              <w:t>(1)</w:t>
            </w:r>
          </w:p>
        </w:tc>
        <w:tc>
          <w:tcPr>
            <w:tcW w:w="114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2"/>
          </w:tcPr>
          <w:p>
            <w:pPr>
              <w:ind w:left="820"/>
              <w:spacing w:after="0"/>
              <w:rPr>
                <w:sz w:val="20"/>
                <w:szCs w:val="20"/>
                <w:color w:val="auto"/>
              </w:rPr>
            </w:pPr>
            <w:r>
              <w:rPr>
                <w:rFonts w:ascii="Arial" w:cs="Arial" w:eastAsia="Arial" w:hAnsi="Arial"/>
                <w:sz w:val="18"/>
                <w:szCs w:val="18"/>
                <w:color w:val="0000FF"/>
              </w:rPr>
              <w:t>09/30/2015</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1100" w:type="dxa"/>
            <w:vAlign w:val="bottom"/>
            <w:tcBorders>
              <w:bottom w:val="single" w:sz="8" w:color="2C2C2C"/>
            </w:tcBorders>
            <w:gridSpan w:val="2"/>
          </w:tcPr>
          <w:p>
            <w:pPr>
              <w:ind w:left="240"/>
              <w:spacing w:after="0"/>
              <w:rPr>
                <w:sz w:val="20"/>
                <w:szCs w:val="20"/>
                <w:color w:val="auto"/>
              </w:rPr>
            </w:pPr>
            <w:r>
              <w:rPr>
                <w:rFonts w:ascii="Arial" w:cs="Arial" w:eastAsia="Arial" w:hAnsi="Arial"/>
                <w:sz w:val="18"/>
                <w:szCs w:val="18"/>
                <w:color w:val="0000FF"/>
              </w:rPr>
              <w:t>6,335</w:t>
            </w:r>
            <w:r>
              <w:rPr>
                <w:rFonts w:ascii="Arial" w:cs="Arial" w:eastAsia="Arial" w:hAnsi="Arial"/>
                <w:sz w:val="22"/>
                <w:szCs w:val="22"/>
                <w:color w:val="008000"/>
                <w:vertAlign w:val="superscript"/>
              </w:rPr>
              <w:t>(2)</w:t>
            </w:r>
          </w:p>
        </w:tc>
        <w:tc>
          <w:tcPr>
            <w:tcW w:w="34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A</w:t>
            </w:r>
          </w:p>
        </w:tc>
        <w:tc>
          <w:tcPr>
            <w:tcW w:w="620" w:type="dxa"/>
            <w:vAlign w:val="bottom"/>
            <w:tcBorders>
              <w:bottom w:val="single" w:sz="8" w:color="2C2C2C"/>
            </w:tcBorders>
            <w:gridSpan w:val="3"/>
          </w:tcPr>
          <w:p>
            <w:pPr>
              <w:jc w:val="right"/>
              <w:ind w:right="1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1260" w:type="dxa"/>
            <w:vAlign w:val="bottom"/>
            <w:tcBorders>
              <w:bottom w:val="single" w:sz="8" w:color="2C2C2C"/>
            </w:tcBorders>
            <w:gridSpan w:val="2"/>
          </w:tcPr>
          <w:p>
            <w:pPr>
              <w:ind w:left="320"/>
              <w:spacing w:after="0"/>
              <w:rPr>
                <w:sz w:val="20"/>
                <w:szCs w:val="20"/>
                <w:color w:val="auto"/>
              </w:rPr>
            </w:pPr>
            <w:r>
              <w:rPr>
                <w:rFonts w:ascii="Arial" w:cs="Arial" w:eastAsia="Arial" w:hAnsi="Arial"/>
                <w:sz w:val="18"/>
                <w:szCs w:val="18"/>
                <w:color w:val="0000FF"/>
              </w:rPr>
              <w:t>148,774</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4"/>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1"/>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6"/>
              </w:rPr>
              <w:t>and 4)</w:t>
            </w: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gridSpan w:val="3"/>
          </w:tcPr>
          <w:p>
            <w:pPr>
              <w:ind w:left="10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3"/>
          </w:tcPr>
          <w:p>
            <w:pPr>
              <w:ind w:left="100"/>
              <w:spacing w:after="0"/>
              <w:rPr>
                <w:sz w:val="20"/>
                <w:szCs w:val="20"/>
                <w:color w:val="auto"/>
              </w:rPr>
            </w:pPr>
            <w:r>
              <w:rPr>
                <w:rFonts w:ascii="Arial" w:cs="Arial" w:eastAsia="Arial" w:hAnsi="Arial"/>
                <w:sz w:val="12"/>
                <w:szCs w:val="12"/>
                <w:b w:val="1"/>
                <w:bCs w:val="1"/>
                <w:color w:val="auto"/>
              </w:rPr>
              <w:t>Shares</w:t>
            </w: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80" w:firstLine="9"/>
        <w:spacing w:after="0" w:line="27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On July 17, 2015, the Civeo group of companies completed its change in place of incorporation, pursuant to which Civeo Corporation, a British Columbia, Canada limited company ("Civeo Canada"), became the publicly traded parent company of the Civeo group of companies. Each issued share of common stock, par value US $0.01 per share, of Civeo Corporation, a Delaware corporation ("Civeo US"), other than those shares of Civeo US common stock held by Civeo US in treasury, was effectively transferred to Civeo Canada and converted into one common share, no par value, of Civeo Canada. Pursuant to Rule 12g-3(a) under the Securities Exchange Act of 1934, as amended, Civeo Canada is the successor issuer to Civeo US.</w:t>
      </w:r>
    </w:p>
    <w:p>
      <w:pPr>
        <w:spacing w:after="0" w:line="8" w:lineRule="exact"/>
        <w:rPr>
          <w:rFonts w:ascii="Arial" w:cs="Arial" w:eastAsia="Arial" w:hAnsi="Arial"/>
          <w:sz w:val="12"/>
          <w:szCs w:val="12"/>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Common share portion of annual retainer granted quarterly under the 2014 Equity Participation Plan of Civeo Corporation for service as Chairman of the Board of Directors.</w:t>
      </w:r>
    </w:p>
    <w:p>
      <w:pPr>
        <w:spacing w:after="0" w:line="71"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Douglas E. Swanson, by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22618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226185"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Bradley J. Dodson, as</w:t>
      </w:r>
      <w:r>
        <w:rPr>
          <w:sz w:val="20"/>
          <w:szCs w:val="20"/>
          <w:color w:val="auto"/>
        </w:rPr>
        <w:tab/>
      </w:r>
      <w:r>
        <w:rPr>
          <w:rFonts w:ascii="Arial" w:cs="Arial" w:eastAsia="Arial" w:hAnsi="Arial"/>
          <w:sz w:val="15"/>
          <w:szCs w:val="15"/>
          <w:color w:val="0000FF"/>
        </w:rPr>
        <w:t>10/02/2015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Attorney-in-Fact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7493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49300"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198827" TargetMode="External"/><Relationship Id="rId13" Type="http://schemas.openxmlformats.org/officeDocument/2006/relationships/hyperlink" Target="http://www.sec.gov/cgi-bin/browse-edgar?action=getcompany&amp;CIK=000159058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2019-12-24T07:15:24Z</dcterms:created>
  <dcterms:modified xsi:type="dcterms:W3CDTF">2019-12-24T07:15:24Z</dcterms:modified>
</cp:coreProperties>
</file>