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CIVEO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#178787107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#178787107</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270,873</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8,332,671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8,332,671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7.806%</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HC</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#178787107</w:t>
            </w:r>
          </w:p>
        </w:tc>
        <w:tc>
          <w:tcPr>
            <w:tcW w:w="10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8,332,671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8,332,671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7.806%</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#178787107</w:t>
            </w:r>
          </w:p>
        </w:tc>
        <w:tc>
          <w:tcPr>
            <w:tcW w:w="10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8,332,671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8,332,671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7.806%</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#178787107</w:t>
            </w:r>
          </w:p>
        </w:tc>
        <w:tc>
          <w:tcPr>
            <w:tcW w:w="10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 - Fidelity Low-Priced Stock Fund</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5,460,663</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5,460,663</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5.116%</w:t>
            </w:r>
          </w:p>
        </w:tc>
        <w:tc>
          <w:tcPr>
            <w:tcW w:w="49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IV</w:t>
            </w:r>
          </w:p>
        </w:tc>
        <w:tc>
          <w:tcPr>
            <w:tcW w:w="496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CIVEO CORP</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3 Allen Center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333 Clay St, Ste 4620</w:t>
            </w:r>
          </w:p>
        </w:tc>
        <w:tc>
          <w:tcPr>
            <w:tcW w:w="10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TX 77002</w:t>
            </w:r>
          </w:p>
        </w:tc>
      </w:tr>
      <w:tr>
        <w:trPr>
          <w:trHeight w:val="203"/>
        </w:trPr>
        <w:tc>
          <w:tcPr>
            <w:tcW w:w="2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0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w w:val="97"/>
              </w:rPr>
              <w:t>245 Summer Street, Boston, Massachusetts 02210</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Citizenship:</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Title</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Class of Securities:</w:t>
            </w: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CUSIP</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Number:</w:t>
            </w: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178787107</w:t>
            </w: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5"/>
          </w:tcPr>
          <w:p>
            <w:pPr>
              <w:ind w:left="480"/>
              <w:spacing w:after="0"/>
              <w:rPr>
                <w:sz w:val="20"/>
                <w:szCs w:val="20"/>
                <w:color w:val="auto"/>
              </w:rPr>
            </w:pPr>
            <w:r>
              <w:rPr>
                <w:rFonts w:ascii="Courier New" w:cs="Courier New" w:eastAsia="Courier New" w:hAnsi="Courier New"/>
                <w:sz w:val="18"/>
                <w:szCs w:val="18"/>
                <w:color w:val="auto"/>
                <w:w w:val="99"/>
              </w:rPr>
              <w:t>This statement is filed pursuant to Rule 13d-1(b) or 13d-2(b)</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9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person filing, FMR LLC, is a parent holding company in accordance with</w:t>
            </w:r>
          </w:p>
        </w:tc>
        <w:tc>
          <w:tcPr>
            <w:tcW w:w="260" w:type="dxa"/>
            <w:vAlign w:val="bottom"/>
          </w:tcPr>
          <w:p>
            <w:pPr>
              <w:spacing w:after="0"/>
              <w:rPr>
                <w:sz w:val="17"/>
                <w:szCs w:val="17"/>
                <w:color w:val="auto"/>
              </w:rPr>
            </w:pPr>
          </w:p>
        </w:tc>
      </w:tr>
      <w:tr>
        <w:trPr>
          <w:trHeight w:val="203"/>
        </w:trPr>
        <w:tc>
          <w:tcPr>
            <w:tcW w:w="6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Ownership</w:t>
            </w: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48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8,332,671</w:t>
            </w: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(b)</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7.806%</w:t>
            </w: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(c)</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Number</w:t>
            </w:r>
          </w:p>
        </w:tc>
        <w:tc>
          <w:tcPr>
            <w:tcW w:w="5100" w:type="dxa"/>
            <w:vAlign w:val="bottom"/>
            <w:gridSpan w:val="3"/>
          </w:tcPr>
          <w:p>
            <w:pPr>
              <w:spacing w:after="0"/>
              <w:rPr>
                <w:sz w:val="20"/>
                <w:szCs w:val="20"/>
                <w:color w:val="auto"/>
              </w:rPr>
            </w:pPr>
            <w:r>
              <w:rPr>
                <w:rFonts w:ascii="Courier New" w:cs="Courier New" w:eastAsia="Courier New" w:hAnsi="Courier New"/>
                <w:sz w:val="18"/>
                <w:szCs w:val="18"/>
                <w:color w:val="auto"/>
              </w:rPr>
              <w:t>of shares as to which such person has:</w:t>
            </w: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w:t>
            </w:r>
          </w:p>
        </w:tc>
        <w:tc>
          <w:tcPr>
            <w:tcW w:w="5100" w:type="dxa"/>
            <w:vAlign w:val="bottom"/>
            <w:gridSpan w:val="3"/>
          </w:tcPr>
          <w:p>
            <w:pPr>
              <w:spacing w:after="0"/>
              <w:rPr>
                <w:sz w:val="20"/>
                <w:szCs w:val="20"/>
                <w:color w:val="auto"/>
              </w:rPr>
            </w:pPr>
            <w:r>
              <w:rPr>
                <w:rFonts w:ascii="Courier New" w:cs="Courier New" w:eastAsia="Courier New" w:hAnsi="Courier New"/>
                <w:sz w:val="18"/>
                <w:szCs w:val="18"/>
                <w:color w:val="auto"/>
              </w:rPr>
              <w:t>sole power to vote or to direct the vote: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270,873</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51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(iii)</w:t>
            </w:r>
          </w:p>
        </w:tc>
        <w:tc>
          <w:tcPr>
            <w:tcW w:w="5100" w:type="dxa"/>
            <w:vAlign w:val="bottom"/>
            <w:gridSpan w:val="3"/>
          </w:tcPr>
          <w:p>
            <w:pPr>
              <w:jc w:val="center"/>
              <w:ind w:right="612"/>
              <w:spacing w:after="0"/>
              <w:rPr>
                <w:sz w:val="20"/>
                <w:szCs w:val="20"/>
                <w:color w:val="auto"/>
              </w:rPr>
            </w:pPr>
            <w:r>
              <w:rPr>
                <w:rFonts w:ascii="Courier New" w:cs="Courier New" w:eastAsia="Courier New" w:hAnsi="Courier New"/>
                <w:sz w:val="18"/>
                <w:szCs w:val="18"/>
                <w:color w:val="auto"/>
                <w:w w:val="97"/>
              </w:rPr>
              <w:t>sole power to dispose or to direct the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8,332,671</w:t>
            </w: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5100" w:type="dxa"/>
            <w:vAlign w:val="bottom"/>
            <w:gridSpan w:val="3"/>
          </w:tcPr>
          <w:p>
            <w:pPr>
              <w:jc w:val="center"/>
              <w:ind w:right="592"/>
              <w:spacing w:after="0"/>
              <w:rPr>
                <w:sz w:val="20"/>
                <w:szCs w:val="20"/>
                <w:color w:val="auto"/>
              </w:rPr>
            </w:pPr>
            <w:r>
              <w:rPr>
                <w:rFonts w:ascii="Courier New" w:cs="Courier New" w:eastAsia="Courier New" w:hAnsi="Courier New"/>
                <w:sz w:val="18"/>
                <w:szCs w:val="18"/>
                <w:color w:val="auto"/>
                <w:w w:val="97"/>
              </w:rPr>
              <w:t>shared power to dispose or to direct the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060" w:type="dxa"/>
            <w:vAlign w:val="bottom"/>
            <w:gridSpan w:val="5"/>
          </w:tcPr>
          <w:p>
            <w:pPr>
              <w:ind w:left="48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260" w:type="dxa"/>
            <w:vAlign w:val="bottom"/>
          </w:tcPr>
          <w:p>
            <w:pPr>
              <w:spacing w:after="0"/>
              <w:rPr>
                <w:sz w:val="24"/>
                <w:szCs w:val="24"/>
                <w:color w:val="auto"/>
              </w:rPr>
            </w:pP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9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PYRAMIS GLOBAL ADVISORS TRUST COMPANY</w:t>
      </w:r>
    </w:p>
    <w:p>
      <w:pPr>
        <w:spacing w:after="0" w:line="16"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PYRAMIS GLOBAL ADVISORS, LLC</w:t>
      </w:r>
      <w:r>
        <w:rPr>
          <w:sz w:val="20"/>
          <w:szCs w:val="20"/>
          <w:color w:val="auto"/>
        </w:rPr>
        <w:tab/>
      </w:r>
      <w:r>
        <w:rPr>
          <w:rFonts w:ascii="Courier New" w:cs="Courier New" w:eastAsia="Courier New" w:hAnsi="Courier New"/>
          <w:sz w:val="18"/>
          <w:szCs w:val="18"/>
          <w:color w:val="auto"/>
        </w:rPr>
        <w:t>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2" w:lineRule="exact"/>
        <w:rPr>
          <w:sz w:val="20"/>
          <w:szCs w:val="20"/>
          <w:color w:val="auto"/>
        </w:rPr>
      </w:pPr>
    </w:p>
    <w:p>
      <w:pPr>
        <w:sectPr>
          <w:pgSz w:w="11900" w:h="16838" w:orient="portrait"/>
          <w:cols w:equalWidth="0" w:num="2">
            <w:col w:w="3900" w:space="320"/>
            <w:col w:w="5999"/>
          </w:cols>
          <w:pgMar w:left="240" w:top="136" w:right="1440" w:bottom="133" w:gutter="0" w:footer="0" w:header="0"/>
          <w:type w:val="continuous"/>
        </w:sect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2015, agree and consent to the joint filing on their behalf of this Schedule 13G in connection with their beneficial ownership of the COMMON STOCK of CIVEO CORP at December 31, 2014.</w:t>
      </w:r>
    </w:p>
    <w:p>
      <w:pPr>
        <w:sectPr>
          <w:pgSz w:w="11900" w:h="16838" w:orient="portrait"/>
          <w:cols w:equalWidth="0" w:num="1">
            <w:col w:w="10219"/>
          </w:cols>
          <w:pgMar w:left="240" w:top="136" w:right="1440" w:bottom="133" w:gutter="0" w:footer="0" w:header="0"/>
          <w:type w:val="continuous"/>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2019-12-09T03:42:28Z</dcterms:created>
  <dcterms:modified xsi:type="dcterms:W3CDTF">2019-12-09T03:42:28Z</dcterms:modified>
</cp:coreProperties>
</file>