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Civeo Corporation</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share, no par value</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17878Y108</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February 10, 2016</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6,653,815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6,694,891</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6,109</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6,701,000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6.20 %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6,653,815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6,694,891</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6"/>
          <w:szCs w:val="16"/>
          <w:color w:val="auto"/>
        </w:rPr>
        <w:t>(8)</w:t>
        <w:tab/>
        <w:t>SHARED DISPOSITIVE POWER</w:t>
      </w:r>
    </w:p>
    <w:p>
      <w:pPr>
        <w:spacing w:after="0" w:line="2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6,109</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6,701,000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6.20 %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17878Y108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860" w:right="757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Civeo Corporation</w:t>
      </w: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Three Allen Center, 333 Clay Street, Suite 4980, Houston, Texas 77002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share, no par value</w:t>
      </w: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17878Y108</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6,701,000</w:t>
            </w:r>
          </w:p>
        </w:tc>
        <w:tc>
          <w:tcPr>
            <w:tcW w:w="226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6,701,000</w:t>
            </w: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3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6.20 %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6.20 %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6,653,815</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6,653,815</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6,694,891</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6,694,891</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6,109</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6,109</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line="237" w:lineRule="auto"/>
        <w:rPr>
          <w:sz w:val="20"/>
          <w:szCs w:val="20"/>
          <w:color w:val="auto"/>
        </w:rPr>
      </w:pPr>
      <w:r>
        <w:rPr>
          <w:rFonts w:ascii="Courier New" w:cs="Courier New" w:eastAsia="Courier New" w:hAnsi="Courier New"/>
          <w:sz w:val="18"/>
          <w:szCs w:val="18"/>
          <w:color w:val="auto"/>
        </w:rPr>
        <w:t>the common shares, no par value of</w:t>
      </w:r>
    </w:p>
    <w:p>
      <w:pPr>
        <w:spacing w:after="0" w:line="238" w:lineRule="auto"/>
        <w:rPr>
          <w:sz w:val="20"/>
          <w:szCs w:val="20"/>
          <w:color w:val="auto"/>
        </w:rPr>
      </w:pPr>
      <w:r>
        <w:rPr>
          <w:rFonts w:ascii="Courier New" w:cs="Courier New" w:eastAsia="Courier New" w:hAnsi="Courier New"/>
          <w:sz w:val="18"/>
          <w:szCs w:val="18"/>
          <w:color w:val="auto"/>
        </w:rPr>
        <w:t>Civeo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2019-12-16T17:46:58Z</dcterms:created>
  <dcterms:modified xsi:type="dcterms:W3CDTF">2019-12-16T17:46:58Z</dcterms:modified>
</cp:coreProperties>
</file>