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6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40"/>
          <w:szCs w:val="40"/>
          <w:b w:val="1"/>
          <w:bCs w:val="1"/>
          <w:color w:val="auto"/>
        </w:rPr>
        <w:t>SCHEDULE 13G/A</w:t>
      </w:r>
    </w:p>
    <w:p>
      <w:pPr>
        <w:spacing w:after="0" w:line="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206" w:lineRule="exact"/>
        <w:rPr>
          <w:sz w:val="24"/>
          <w:szCs w:val="24"/>
          <w:color w:val="auto"/>
        </w:rPr>
      </w:pPr>
    </w:p>
    <w:p>
      <w:pPr>
        <w:jc w:val="right"/>
        <w:ind w:right="699"/>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22"/>
          <w:szCs w:val="22"/>
          <w:b w:val="1"/>
          <w:bCs w:val="1"/>
          <w:color w:val="auto"/>
        </w:rPr>
        <w:t>RULES 13d-1(b), (c) AND (d) AND AMENDMENTS THERETO FILED</w:t>
      </w:r>
    </w:p>
    <w:p>
      <w:pPr>
        <w:jc w:val="center"/>
        <w:ind w:right="-760"/>
        <w:spacing w:after="0"/>
        <w:rPr>
          <w:sz w:val="20"/>
          <w:szCs w:val="20"/>
          <w:color w:val="auto"/>
        </w:rPr>
      </w:pPr>
      <w:r>
        <w:rPr>
          <w:rFonts w:ascii="Times New Roman" w:cs="Times New Roman" w:eastAsia="Times New Roman" w:hAnsi="Times New Roman"/>
          <w:sz w:val="22"/>
          <w:szCs w:val="22"/>
          <w:b w:val="1"/>
          <w:bCs w:val="1"/>
          <w:color w:val="auto"/>
        </w:rPr>
        <w:t>PURSUANT TO RULE 13d-2(b)</w:t>
      </w:r>
    </w:p>
    <w:p>
      <w:pPr>
        <w:spacing w:after="0" w:line="200" w:lineRule="exact"/>
        <w:rPr>
          <w:sz w:val="24"/>
          <w:szCs w:val="24"/>
          <w:color w:val="auto"/>
        </w:rPr>
      </w:pPr>
    </w:p>
    <w:p>
      <w:pPr>
        <w:spacing w:after="0" w:line="20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5"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17878Y108</w:t>
      </w:r>
    </w:p>
    <w:p>
      <w:pPr>
        <w:spacing w:after="0" w:line="25"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2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2577465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19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199"/>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180340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223520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51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CUSIP No. 17878Y108</w:t>
            </w:r>
          </w:p>
        </w:tc>
        <w:tc>
          <w:tcPr>
            <w:tcW w:w="96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Prescott Group Capital Management,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State of Oklahoma</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5,044,887</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5,044,887</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5,044,887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40"/>
          </w:cols>
          <w:pgMar w:left="240" w:top="27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CUSIP No. 17878Y108</w:t>
            </w:r>
          </w:p>
        </w:tc>
        <w:tc>
          <w:tcPr>
            <w:tcW w:w="96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Prescott Group Aggressive Small Cap,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State of Oklahoma</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5,024,887</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5,024,887</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5,024,887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40"/>
          </w:cols>
          <w:pgMar w:left="240" w:top="513"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CUSIP No. 17878Y108</w:t>
            </w:r>
          </w:p>
        </w:tc>
        <w:tc>
          <w:tcPr>
            <w:tcW w:w="96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Prescott Group Aggressive Small Cap II,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State of Oklahoma</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5,024,887</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5,024,887</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5,024,887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40"/>
          </w:cols>
          <w:pgMar w:left="240" w:top="270"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CUSIP No. 17878Y108</w:t>
            </w:r>
          </w:p>
        </w:tc>
        <w:tc>
          <w:tcPr>
            <w:tcW w:w="968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13G/A</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Phil Frohlich</w:t>
            </w: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U.S. Citizen</w:t>
            </w: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5,044,887</w:t>
            </w: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8"/>
              </w:rPr>
              <w:t>PERSON</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5,044,887</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78"/>
              </w:rPr>
              <w:t>AGGREGATE</w:t>
            </w:r>
          </w:p>
        </w:tc>
        <w:tc>
          <w:tcPr>
            <w:tcW w:w="976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9"/>
              </w:rPr>
              <w:t>5,044,887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44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82" w:lineRule="auto"/>
        <w:tabs>
          <w:tab w:leader="none" w:pos="4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INSTRUCTIONS BEFORE FILLING OUT ** SEE ITEM 4(b).</w:t>
      </w:r>
    </w:p>
    <w:p>
      <w:pPr>
        <w:spacing w:after="0" w:line="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40"/>
          </w:cols>
          <w:pgMar w:left="240" w:top="270" w:right="2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13G/A</w:t>
      </w:r>
    </w:p>
    <w:p>
      <w:pPr>
        <w:spacing w:after="0" w:line="229"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This Amendment No. 1 (this “Amendment”) to the Schedule 13G (the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and Mr. Phil Frohlich the principal of Prescott Capital, relating to Common Shares, no par value (the “Common Stock”), of Civeo Corporation, a British Columbia, Canada corporation (the “Issuer”).</w:t>
      </w:r>
    </w:p>
    <w:p>
      <w:pPr>
        <w:spacing w:after="0" w:line="184" w:lineRule="exact"/>
        <w:rPr>
          <w:sz w:val="20"/>
          <w:szCs w:val="20"/>
          <w:color w:val="auto"/>
        </w:rPr>
      </w:pPr>
    </w:p>
    <w:p>
      <w:pPr>
        <w:ind w:firstLine="456"/>
        <w:spacing w:after="0" w:line="276" w:lineRule="auto"/>
        <w:rPr>
          <w:sz w:val="20"/>
          <w:szCs w:val="20"/>
          <w:color w:val="auto"/>
        </w:rPr>
      </w:pPr>
      <w:r>
        <w:rPr>
          <w:rFonts w:ascii="Times New Roman" w:cs="Times New Roman" w:eastAsia="Times New Roman" w:hAnsi="Times New Roman"/>
          <w:sz w:val="17"/>
          <w:szCs w:val="17"/>
          <w:color w:val="auto"/>
        </w:rPr>
        <w:t>This Amendment relates to shares of Common Stock of the Issuer purchased by (i) the Small Cap Funds through the account of Prescott Group Aggressive Small Cap Master Fund, G.P., an Oklahoma general partnership (“Prescott Master Fund”), of which the Small Cap Funds are general partners, and</w:t>
      </w:r>
    </w:p>
    <w:p>
      <w:pPr>
        <w:spacing w:after="0" w:line="1" w:lineRule="exact"/>
        <w:rPr>
          <w:sz w:val="20"/>
          <w:szCs w:val="20"/>
          <w:color w:val="auto"/>
        </w:rPr>
      </w:pPr>
    </w:p>
    <w:p>
      <w:pPr>
        <w:ind w:right="180" w:firstLine="8"/>
        <w:spacing w:after="0" w:line="253"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accounts managed by Prescott Capital (the “Prescott Accounts”). Prescott Capital serves as the general partner of the Small Cap Funds and may direct the Small Cap Funds, the general partners of Prescott Master Fund, to direct the vote and disposition of the 5,024,887 shares of Common Stock held by Prescott Master Fund. In addition, Prescott Capital serves as the general partner of the Prescott Accounts and may direct the vote and disposition of the 20,000 shares of Common Stock held by the Prescott Accounts. As the principal of Prescott Capital, Mr. Frohlich may direct the vote and disposition of the 5,044,887 shares of Common Stock held by (i) Prescott Master Fund and (ii) the Prescott Accounts.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Amendment amends and restates the Schedule 13G as follows.</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Civeo Corporation</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Three Allen Center</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333 Clay Street, Suite 4980</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3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121" w:lineRule="exact"/>
        <w:rPr>
          <w:sz w:val="20"/>
          <w:szCs w:val="20"/>
          <w:color w:val="auto"/>
        </w:rPr>
      </w:pPr>
    </w:p>
    <w:p>
      <w:pPr>
        <w:ind w:left="1140"/>
        <w:spacing w:after="0" w:line="266" w:lineRule="auto"/>
        <w:rPr>
          <w:sz w:val="20"/>
          <w:szCs w:val="20"/>
          <w:color w:val="auto"/>
        </w:rPr>
      </w:pPr>
      <w:r>
        <w:rPr>
          <w:rFonts w:ascii="Times New Roman" w:cs="Times New Roman" w:eastAsia="Times New Roman" w:hAnsi="Times New Roman"/>
          <w:sz w:val="18"/>
          <w:szCs w:val="18"/>
          <w:color w:val="auto"/>
        </w:rPr>
        <w:t>Prescott Group Capital Management, L.L.C. (“Prescott Capital”), Prescott Group Aggressive Small Cap, L.P. (“Prescott Small Cap”), Prescott Group Aggressive Small Cap II, L.P. (“Prescott Small Cap II” and, together with Prescott Small Cap, the “Small Cap Funds”) and Mr. Phil Frohlich.</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1924 South Utica, Suite 1120</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Tulsa, Oklahoma 74104-6529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66"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-203835</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2" w:lineRule="exact"/>
        <w:rPr>
          <w:sz w:val="20"/>
          <w:szCs w:val="20"/>
          <w:color w:val="auto"/>
        </w:rPr>
      </w:pPr>
    </w:p>
    <w:p>
      <w:pPr>
        <w:sectPr>
          <w:pgSz w:w="11900" w:h="16838" w:orient="portrait"/>
          <w:cols w:equalWidth="0" w:num="2">
            <w:col w:w="700" w:space="440"/>
            <w:col w:w="10140"/>
          </w:cols>
          <w:pgMar w:left="240" w:top="266" w:right="379" w:bottom="1440" w:gutter="0" w:footer="0" w:header="0"/>
        </w:sectPr>
      </w:pPr>
    </w:p>
    <w:p>
      <w:pPr>
        <w:ind w:left="1140"/>
        <w:spacing w:after="0" w:line="282" w:lineRule="auto"/>
        <w:rPr>
          <w:sz w:val="20"/>
          <w:szCs w:val="20"/>
          <w:color w:val="auto"/>
        </w:rPr>
      </w:pPr>
      <w:r>
        <w:rPr>
          <w:rFonts w:ascii="Times New Roman" w:cs="Times New Roman" w:eastAsia="Times New Roman" w:hAnsi="Times New Roman"/>
          <w:sz w:val="18"/>
          <w:szCs w:val="18"/>
          <w:color w:val="auto"/>
        </w:rPr>
        <w:t>Prescott Capital is an Oklahoma limited liability company. The Small Cap Funds are Oklahoma limited partnerships. Mr. Phil Frohlich is the principal of Prescott Capital and is a U.S. citizen.</w:t>
      </w:r>
    </w:p>
    <w:p>
      <w:pPr>
        <w:sectPr>
          <w:pgSz w:w="11900" w:h="16838" w:orient="portrait"/>
          <w:cols w:equalWidth="0" w:num="1">
            <w:col w:w="11280"/>
          </w:cols>
          <w:pgMar w:left="240" w:top="266" w:right="37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132" w:lineRule="exact"/>
        <w:rPr>
          <w:sz w:val="20"/>
          <w:szCs w:val="20"/>
          <w:color w:val="auto"/>
        </w:rPr>
      </w:pPr>
    </w:p>
    <w:p>
      <w:pPr>
        <w:sectPr>
          <w:pgSz w:w="11900" w:h="16838" w:orient="portrait"/>
          <w:cols w:equalWidth="0" w:num="2">
            <w:col w:w="720" w:space="420"/>
            <w:col w:w="10140"/>
          </w:cols>
          <w:pgMar w:left="240" w:top="266"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Common Shares, no par value (the “Common Stock”).</w:t>
      </w:r>
    </w:p>
    <w:p>
      <w:pPr>
        <w:sectPr>
          <w:pgSz w:w="11900" w:h="16838" w:orient="portrait"/>
          <w:cols w:equalWidth="0" w:num="1">
            <w:col w:w="11280"/>
          </w:cols>
          <w:pgMar w:left="240" w:top="266" w:right="37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132" w:lineRule="exact"/>
        <w:rPr>
          <w:sz w:val="20"/>
          <w:szCs w:val="20"/>
          <w:color w:val="auto"/>
        </w:rPr>
      </w:pPr>
    </w:p>
    <w:p>
      <w:pPr>
        <w:sectPr>
          <w:pgSz w:w="11900" w:h="16838" w:orient="portrait"/>
          <w:cols w:equalWidth="0" w:num="2">
            <w:col w:w="700" w:space="440"/>
            <w:col w:w="10140"/>
          </w:cols>
          <w:pgMar w:left="240" w:top="266"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17878Y108</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Reporting Person.</w:t>
      </w:r>
    </w:p>
    <w:p>
      <w:pPr>
        <w:sectPr>
          <w:pgSz w:w="11900" w:h="16838" w:orient="portrait"/>
          <w:cols w:equalWidth="0" w:num="1">
            <w:col w:w="11280"/>
          </w:cols>
          <w:pgMar w:left="240" w:top="266" w:right="379" w:bottom="1440" w:gutter="0" w:footer="0" w:header="0"/>
          <w:type w:val="continuous"/>
        </w:sect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Rule 13d-1(b), or 13d-2(b), check whether the person filing is a:</w:t>
      </w:r>
    </w:p>
    <w:p>
      <w:pPr>
        <w:spacing w:after="0" w:line="228" w:lineRule="exact"/>
        <w:rPr>
          <w:sz w:val="20"/>
          <w:szCs w:val="20"/>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060" w:right="40" w:hanging="593"/>
        <w:spacing w:after="0" w:line="239" w:lineRule="exact"/>
        <w:tabs>
          <w:tab w:leader="none" w:pos="79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Times New Roman" w:cs="Times New Roman" w:eastAsia="Times New Roman" w:hAnsi="Times New Roman"/>
          <w:sz w:val="18"/>
          <w:szCs w:val="18"/>
          <w:color w:val="auto"/>
        </w:rPr>
      </w:pPr>
    </w:p>
    <w:p>
      <w:pPr>
        <w:ind w:left="800" w:hanging="333"/>
        <w:spacing w:after="0" w:line="207" w:lineRule="exact"/>
        <w:tabs>
          <w:tab w:leader="none" w:pos="8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§240.13d-1(b)(1)(ii)(J).</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80"/>
          </w:cols>
          <w:pgMar w:left="240" w:top="266" w:right="379" w:bottom="1440" w:gutter="0" w:footer="0" w:header="0"/>
          <w:type w:val="continuous"/>
        </w:sectPr>
      </w:pPr>
    </w:p>
    <w:bookmarkStart w:id="7" w:name="page8"/>
    <w:bookmarkEnd w:id="7"/>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35" w:lineRule="exact"/>
        <w:rPr>
          <w:sz w:val="20"/>
          <w:szCs w:val="20"/>
          <w:color w:val="auto"/>
        </w:rPr>
      </w:pPr>
    </w:p>
    <w:p>
      <w:pPr>
        <w:ind w:left="1700" w:right="100" w:hanging="558"/>
        <w:spacing w:after="0" w:line="282"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Prescott Capital is the beneficial owner of 5,044,887 shares of Common Stock. Mr. Phil Frohlich is the beneficial owner of 5,044,887 shares of Common Stock.</w:t>
      </w:r>
    </w:p>
    <w:p>
      <w:pPr>
        <w:spacing w:after="0" w:line="67" w:lineRule="exact"/>
        <w:rPr>
          <w:rFonts w:ascii="Times New Roman" w:cs="Times New Roman" w:eastAsia="Times New Roman" w:hAnsi="Times New Roman"/>
          <w:sz w:val="18"/>
          <w:szCs w:val="18"/>
          <w:color w:val="auto"/>
        </w:rPr>
      </w:pPr>
    </w:p>
    <w:p>
      <w:pPr>
        <w:ind w:left="1700" w:right="60" w:hanging="558"/>
        <w:spacing w:after="0" w:line="261"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Prescott Capital is the beneficial owner of 3.8% of the outstanding shares of Common Stock. Mr. Phil Frohlich is the beneficial owner of 3.8% of the outstanding shares of Common Stock. These percentages are determined by dividing the number of shares of Common Stock beneficially owned by each of the Reporting Persons by 132,259,000, the number of shares of Common Stock issued and outstanding as of October 23, 2017, as reported in the Issuer’s 10-Q filed on October 26, 2017.</w:t>
      </w:r>
    </w:p>
    <w:p>
      <w:pPr>
        <w:spacing w:after="0" w:line="85" w:lineRule="exact"/>
        <w:rPr>
          <w:rFonts w:ascii="Times New Roman" w:cs="Times New Roman" w:eastAsia="Times New Roman" w:hAnsi="Times New Roman"/>
          <w:sz w:val="18"/>
          <w:szCs w:val="18"/>
          <w:color w:val="auto"/>
        </w:rPr>
      </w:pPr>
    </w:p>
    <w:p>
      <w:pPr>
        <w:ind w:left="1700" w:hanging="558"/>
        <w:spacing w:after="0" w:line="258"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Prescott Capital, as the general partner of the Small Cap Funds, the general partners of Prescott Master Fund, may direct the Small Cap Funds to direct the vote and disposition of the 5,024,887 shares of Common Stock held by Prescott Master Fund. Prescott Capital, as the general partner of the Prescott Accounts, may direct the vote and disposition of the 20,000 shares of Common Stock held by the Prescott Accounts. As the principal of Prescott Capital, Mr. Phil Frohlich may direct the vote and disposition of the 5,044,887 shares of Common Stock held by (i) Prescott Master Fund and (ii) the Prescott Accounts.</w:t>
      </w:r>
    </w:p>
    <w:p>
      <w:pPr>
        <w:sectPr>
          <w:pgSz w:w="11900" w:h="16838" w:orient="portrait"/>
          <w:cols w:equalWidth="0" w:num="1">
            <w:col w:w="11420"/>
          </w:cols>
          <w:pgMar w:left="240" w:top="266" w:right="239" w:bottom="1440" w:gutter="0" w:footer="0" w:header="0"/>
        </w:sect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2" w:lineRule="exact"/>
        <w:rPr>
          <w:sz w:val="20"/>
          <w:szCs w:val="20"/>
          <w:color w:val="auto"/>
        </w:rPr>
      </w:pPr>
    </w:p>
    <w:p>
      <w:pPr>
        <w:sectPr>
          <w:pgSz w:w="11900" w:h="16838" w:orient="portrait"/>
          <w:cols w:equalWidth="0" w:num="2">
            <w:col w:w="500" w:space="640"/>
            <w:col w:w="10280"/>
          </w:cols>
          <w:pgMar w:left="240" w:top="266" w:right="239" w:bottom="1440" w:gutter="0" w:footer="0" w:header="0"/>
          <w:type w:val="continuous"/>
        </w:sectPr>
      </w:pPr>
    </w:p>
    <w:p>
      <w:pPr>
        <w:ind w:left="1140" w:right="34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owners of more than five percent of the class of securities, check the following [X].</w:t>
      </w:r>
    </w:p>
    <w:p>
      <w:pPr>
        <w:sectPr>
          <w:pgSz w:w="11900" w:h="16838" w:orient="portrait"/>
          <w:cols w:equalWidth="0" w:num="1">
            <w:col w:w="11420"/>
          </w:cols>
          <w:pgMar w:left="240" w:top="266" w:right="239"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sectPr>
          <w:pgSz w:w="11900" w:h="16838" w:orient="portrait"/>
          <w:cols w:equalWidth="0" w:num="2">
            <w:col w:w="500" w:space="640"/>
            <w:col w:w="10280"/>
          </w:cols>
          <w:pgMar w:left="240" w:top="266"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420"/>
          </w:cols>
          <w:pgMar w:left="240" w:top="266" w:right="2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132" w:lineRule="exact"/>
        <w:rPr>
          <w:sz w:val="20"/>
          <w:szCs w:val="20"/>
          <w:color w:val="auto"/>
        </w:rPr>
      </w:pPr>
    </w:p>
    <w:p>
      <w:pPr>
        <w:sectPr>
          <w:pgSz w:w="11900" w:h="16838" w:orient="portrait"/>
          <w:cols w:equalWidth="0" w:num="2">
            <w:col w:w="500" w:space="640"/>
            <w:col w:w="10280"/>
          </w:cols>
          <w:pgMar w:left="240" w:top="266"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420"/>
          </w:cols>
          <w:pgMar w:left="240" w:top="266" w:right="2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2" w:lineRule="exact"/>
        <w:rPr>
          <w:sz w:val="20"/>
          <w:szCs w:val="20"/>
          <w:color w:val="auto"/>
        </w:rPr>
      </w:pPr>
    </w:p>
    <w:p>
      <w:pPr>
        <w:sectPr>
          <w:pgSz w:w="11900" w:h="16838" w:orient="portrait"/>
          <w:cols w:equalWidth="0" w:num="2">
            <w:col w:w="500" w:space="640"/>
            <w:col w:w="10280"/>
          </w:cols>
          <w:pgMar w:left="240" w:top="266"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ectPr>
          <w:pgSz w:w="11900" w:h="16838" w:orient="portrait"/>
          <w:cols w:equalWidth="0" w:num="1">
            <w:col w:w="11420"/>
          </w:cols>
          <w:pgMar w:left="240" w:top="266" w:right="2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2" w:lineRule="exact"/>
        <w:rPr>
          <w:sz w:val="20"/>
          <w:szCs w:val="20"/>
          <w:color w:val="auto"/>
        </w:rPr>
      </w:pPr>
    </w:p>
    <w:p>
      <w:pPr>
        <w:sectPr>
          <w:pgSz w:w="11900" w:h="16838" w:orient="portrait"/>
          <w:cols w:equalWidth="0" w:num="2">
            <w:col w:w="500" w:space="640"/>
            <w:col w:w="10280"/>
          </w:cols>
          <w:pgMar w:left="240" w:top="266"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8"/>
          <w:szCs w:val="18"/>
          <w:color w:val="auto"/>
        </w:rPr>
        <w:t>Inapplicable.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type w:val="continuous"/>
        </w:sectPr>
      </w:pPr>
    </w:p>
    <w:bookmarkStart w:id="8" w:name="page9"/>
    <w:bookmarkEnd w:id="8"/>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121" w:lineRule="exact"/>
        <w:rPr>
          <w:sz w:val="20"/>
          <w:szCs w:val="20"/>
          <w:color w:val="auto"/>
        </w:rPr>
      </w:pPr>
    </w:p>
    <w:p>
      <w:pPr>
        <w:ind w:left="1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266" w:right="319" w:bottom="1440" w:gutter="0" w:footer="0" w:header="0"/>
        </w:sectPr>
      </w:pPr>
    </w:p>
    <w:bookmarkStart w:id="9" w:name="page10"/>
    <w:bookmarkEnd w:id="9"/>
    <w:p>
      <w:pPr>
        <w:jc w:val="center"/>
        <w:ind w:right="-2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February 12, 2018</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By: Prescott Group Capital Management, L.L.C., its general</w:t>
      </w:r>
    </w:p>
    <w:p>
      <w:pPr>
        <w:spacing w:after="0" w:line="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Prescott Group Aggressive Small Cap II, L.P.</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By: Prescott Group Capital Management, L.L.C., its general</w:t>
      </w:r>
    </w:p>
    <w:p>
      <w:pPr>
        <w:spacing w:after="0" w:line="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Phil Frohlich</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00"/>
      </w:cols>
      <w:pgMar w:left="2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2019-12-21T00:29:25Z</dcterms:created>
  <dcterms:modified xsi:type="dcterms:W3CDTF">2019-12-21T00:29:25Z</dcterms:modified>
</cp:coreProperties>
</file>