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072778.xml.htm"/>
      <w:bookmarkStart w:id="1" w:name="kswkform4_17090727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Stone Carolyn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CLAY STREET, SUITE 4980</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shd w:fill="FFFFFF" w:val="clear"/>
              </w:rPr>
              <w:t>CVEO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 &amp; Treasurer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46,627</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3,878</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42,749</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42,749</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6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share was the economic equivalent of one Civeo common share and is payable in cash. The phantom shares vest at various times based on the grant date. 3,878 shares vested on February 23,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phantom share was the economic equivalent of one Civeo common share and is payable in cash. The phantom shares vest at various times based on the grant date. 5,481 shares vested on February 25,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Carolyn Stone, by Bradley J. Dodson,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46748"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3642</Characters>
  <CharactersWithSpaces>4228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