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October 28, 2021</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63"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6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301"/>
        <w:spacing w:after="0" w:line="253" w:lineRule="auto"/>
        <w:rPr>
          <w:sz w:val="20"/>
          <w:szCs w:val="20"/>
          <w:color w:val="auto"/>
        </w:rPr>
      </w:pPr>
      <w:r>
        <w:rPr>
          <w:rFonts w:ascii="Arial" w:cs="Arial" w:eastAsia="Arial" w:hAnsi="Arial"/>
          <w:sz w:val="22"/>
          <w:szCs w:val="22"/>
          <w:color w:val="auto"/>
        </w:rPr>
        <w:t>On October 28, 2021, Civeo Corporation (“Civeo”) issued a press release announcing its financial condition and results of operations as of and for the quarter ended September 30, 2021.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48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October 28, 2021</w:t>
              </w:r>
            </w:hyperlink>
          </w:p>
        </w:tc>
        <w:tc>
          <w:tcPr>
            <w:tcW w:w="620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1388"/>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-1653540</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October 28, 2021</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7"/>
          <w:szCs w:val="27"/>
          <w:b w:val="1"/>
          <w:bCs w:val="1"/>
          <w:color w:val="auto"/>
        </w:rPr>
        <w:t>Civeo Reports Third Quarter 2021 Results</w:t>
      </w:r>
    </w:p>
    <w:p>
      <w:pPr>
        <w:spacing w:after="0" w:line="200" w:lineRule="exact"/>
        <w:rPr>
          <w:sz w:val="20"/>
          <w:szCs w:val="20"/>
          <w:color w:val="auto"/>
        </w:rPr>
      </w:pPr>
    </w:p>
    <w:p>
      <w:pPr>
        <w:spacing w:after="0" w:line="32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HOUSTON and CALGARY, October 28, 2021 (BUSINESS WIRE) -- Civeo Corporation (NYSE:CVEO) today reported financial and operating results for the third quarter ended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third quarter revenues of $155.1 million, net income of $0.1 million and operating cash flow of $33.9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third quarter Adjusted EBITDA of $26.2 million and free cash flow of $31.0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net leverage ratio to 1.86x as of September 30, 2021 from 1.98x as of June 30, 2021;</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 replacement and refinancing of its entire credit agreement to, among other things, extend the maturity date of all of the Company's total debt outstanding to September 8, 2025; and</w:t>
      </w:r>
    </w:p>
    <w:p>
      <w:pPr>
        <w:ind w:left="660" w:right="8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recently that its Board of Directors authorized the Company to repurchase up to 5% of its total common shares outstanding, or approximately 715,000 common shares, over the next twelve months.</w:t>
      </w:r>
    </w:p>
    <w:p>
      <w:pPr>
        <w:spacing w:after="0" w:line="21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the third quarter of 2021, Civeo made significant progress towards our financial objectives. We replaced and refinanced our entire credit agreement, announced the board authorization of a share repurchase program and generated significant free cash flow in a tough operating environment. During the quarter we reduced our total leverage ratio below 2.0x and reduced our aggregate total debt below $200 million" stated Bradley J. Dodson, Civeo's President and Chief Executive Officer.</w:t>
      </w:r>
    </w:p>
    <w:p>
      <w:pPr>
        <w:spacing w:after="0" w:line="21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Mr. Dodson concluded, "While we are encouraged by these significant achievements, the Company remains focused on operating safely, generating free cash flow and reducing our debt balance."</w:t>
      </w:r>
    </w:p>
    <w:p>
      <w:pPr>
        <w:spacing w:after="0" w:line="216"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Carolyn Stone, Civeo's Senior Vice President and Chief Financial Officer, added “We were pleased to announce our new bank agreement, which provides the Company with four years of tenor on all three revolving credit facilities. This longer tenor affords us the flexibility to evaluate other capital allocation priorities, such as our recently announced share repurchase program and potential growth opportunities."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2021 Results</w:t>
      </w:r>
    </w:p>
    <w:p>
      <w:pPr>
        <w:spacing w:after="0" w:line="14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the third quarter of 2021, Civeo generated revenues of $ 155.1 million and reported a net income of $0.1 million, or $0.00 per diluted share. During the third quarter of 2021, Civeo produced operating cash flow of $33.9 million, Adjusted EBITDA of $26.2 million and free cash flow of $31.0 million.</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By comparison, in the third quarter of 2020, Civeo generated revenues of $142.9 million and reported net income of $6.5 million, or $0.39 per diluted share. During the third quarter of 2020, Civeo produced operating cash flow of $35.4 million, Adjusted EBITDA of $36.0 million and free cash flow of $34.4 million.</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Overall, the increase in revenues in the third quarter of 2021 compared to 2020 was primarily due to an increase in billed rooms in the oil sands lodges and Canadian mobile camp activity. The decrease in Adjusted EBITDA in the third quarter to 2021 compared to 2020 was primarily driven by $3.6 million of other income in the third quarter of 2020 related to proceeds from the Canadian Emergency Wage Subsidy ("CEWS") program and increased labor costs in our Australian business during the third quarter of 2021.</w:t>
      </w:r>
    </w:p>
    <w:p>
      <w:pPr>
        <w:spacing w:after="0" w:line="123"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certain other unusual or non-operating items.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2021 to the results for the third quarter of 2020.)</w:t>
      </w:r>
    </w:p>
    <w:p>
      <w:pPr>
        <w:sectPr>
          <w:pgSz w:w="11900" w:h="16838" w:orient="portrait"/>
          <w:cols w:equalWidth="0" w:num="1">
            <w:col w:w="11220"/>
          </w:cols>
          <w:pgMar w:left="320" w:top="89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During the third quarter of 2021, the Canadian segment generated revenues of $84.1 million, operating income of $6.1 million and Adjusted EBITDA of $19.8 million, compared to revenues of $71.8 million, operating income of $ 1.0 million and Adjusted EBITDA of $21.3 million in the third quarter of 2020. Adjusted EBITDA for the third quarter of 2021 did not include any other income related to proceeds from CEWS. The third quarter of 2020 Adjusted EBITDA included $3.6 million of other income related to proceeds from CEWS. Results from the third quarter of 2021 reflect the impact of a strengthened Canadian dollar relative to the U.S. dollar, which increased revenues and Adjusted EBITDA by $4.4 million and $1.0 million, respectively.</w:t>
      </w:r>
    </w:p>
    <w:p>
      <w:pPr>
        <w:spacing w:after="0" w:line="232"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On a constant currency basis, the Canadian segment experienced an 11% period-over-period increase in revenues largely driven by a 21% year-over-year increase in billed rooms, primarily in the oil sands lodges, related to increased customer activity as a result of the recovery of oil prices from the impact of COVID-19. Adjusted EBITDA for the Canadian segment decreased 7% year-over-year primarily due to the lack of other income related to proceeds from CEWS, partially offset by an increase in billed rooms coupled with increased mobile camp activity.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third quarter of 2021, the Australian segment generated revenues of $65.1 million, operating income of $4.4 million and Adjusted EBITDA of $14.8 million, compared to revenues of $64.7 million, operating income of $9.9 million and Adjusted EBITDA of $21.5 million in the third quarter of 2020.</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a constant currency basis, the Australian segment experienced 2% lower period-over-period revenues, driven by a 4% year-over-year decrease in billed rooms due to subdued customer maintenance activity in the Bowen Basin. Adjusted EBITDA from the Australian segment decreased 31% year-over-year due to lower village occupancy in the Bowen Basin, as well as higher labor costs across the village and integrated services businesses.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segment generated revenues of $5.9 million, operating loss of $2.1 million and negative Adjusted EBITDA of $0.5 million in the third quarter of 2021, compared to revenues of $6.4 million, operating loss of $3.2 million and negative Adjusted EBITDA of $ 1.5 million in the third quarter of 2020. Revenues and Adjusted EBITDA increased year-over-year primarily due to increased occupancy in the U.S. lodges.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of September 30, 2021, Civeo had total liquidity of approximately $78.2 million, consisting of $73.3 million available under its revolving credit facilities and $4.9 million of cash on hand.</w:t>
      </w:r>
    </w:p>
    <w:p>
      <w:pPr>
        <w:spacing w:after="0" w:line="130"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Civeo’s total debt outstanding on September 30, 2021 was $195.2 million, a $31.6 million decrease since June 30, 2021. The decrease consisted of $25.1 million in debt payments from cash flow generated by the business and favorable foreign currency translation of $6.5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net leverage ratio to 1.86x as of September 30, 2021 from 1.98x as of June 30,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2021, Civeo invested $3.4 million in capital expenditures, up from $2.4 million during the third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2021 Guidance</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the full year of 2021, Civeo is raising the lower end of its previously provided revenue and Adjusted EBITDA guidance range to $570 million to $580 million and $95 million to $100 million, respectively. This guidance is based on our expectations as of today and assumes no material changes to the current macro environment, or conditions related to the COVID-19 pandemic. The Company is maintaining its full year 2021 capital expenditure guidance to $15 million to $20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Civeo will host a conference call to discuss its third quarter 2021 financial results today at 11:00 a.m. Eastern time. This call is being webcast and can be accessed at Civeo's website at www.civeo.com. Participants may also join the conference call by dialing (877) 423-9813 in the United States or (201) 689-8573 internationally and using the conference ID 13724492#. A replay will be available after the call by dialing (844) 512-2921 in the United States or (412) 317-6671 internationally and using the conference ID 13724492#.</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27 lodges and villages in Canada, Australia and the U.S., with an aggregate of approximately 29,000 rooms. Civeo is publicly traded under the symbol CVEO on the New York Stock Exchange. For more information, please visit Civeo's website at www.civeo.com.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2020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00"/>
          </w:cols>
          <w:pgMar w:left="320" w:top="908" w:right="3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1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55"/>
        </w:trPr>
        <w:tc>
          <w:tcPr>
            <w:tcW w:w="4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r>
      <w:tr>
        <w:trPr>
          <w:trHeight w:val="508"/>
        </w:trPr>
        <w:tc>
          <w:tcPr>
            <w:tcW w:w="424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155,063</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142,857</w:t>
            </w:r>
          </w:p>
        </w:tc>
        <w:tc>
          <w:tcPr>
            <w:tcW w:w="2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434,669</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396,351</w:t>
            </w:r>
          </w:p>
        </w:tc>
      </w:tr>
      <w:tr>
        <w:trPr>
          <w:trHeight w:val="513"/>
        </w:trPr>
        <w:tc>
          <w:tcPr>
            <w:tcW w:w="424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111,430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97,434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319,242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283,880</w:t>
            </w: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17,320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13,462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46,204</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38,889</w:t>
            </w: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20,282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24,820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62,928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72,527</w:t>
            </w:r>
          </w:p>
        </w:tc>
      </w:tr>
      <w:tr>
        <w:trPr>
          <w:trHeight w:val="256"/>
        </w:trPr>
        <w:tc>
          <w:tcPr>
            <w:tcW w:w="424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7,935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144,120</w:t>
            </w:r>
          </w:p>
        </w:tc>
      </w:tr>
      <w:tr>
        <w:trPr>
          <w:trHeight w:val="255"/>
        </w:trPr>
        <w:tc>
          <w:tcPr>
            <w:tcW w:w="424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755</w:t>
            </w:r>
          </w:p>
        </w:tc>
      </w:tr>
      <w:tr>
        <w:trPr>
          <w:trHeight w:val="236"/>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149,053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135,767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436,431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540,171</w:t>
            </w:r>
          </w:p>
        </w:tc>
      </w:tr>
      <w:tr>
        <w:trPr>
          <w:trHeight w:val="238"/>
        </w:trPr>
        <w:tc>
          <w:tcPr>
            <w:tcW w:w="4240" w:type="dxa"/>
            <w:vAlign w:val="bottom"/>
          </w:tcPr>
          <w:p>
            <w:pPr>
              <w:spacing w:after="0"/>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(143,820)</w:t>
            </w:r>
          </w:p>
        </w:tc>
      </w:tr>
      <w:tr>
        <w:trPr>
          <w:trHeight w:val="513"/>
        </w:trPr>
        <w:tc>
          <w:tcPr>
            <w:tcW w:w="424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(3,646)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(9,929)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(13,095)</w:t>
            </w:r>
          </w:p>
        </w:tc>
      </w:tr>
      <w:tr>
        <w:trPr>
          <w:trHeight w:val="257"/>
        </w:trPr>
        <w:tc>
          <w:tcPr>
            <w:tcW w:w="424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257"/>
        </w:trPr>
        <w:tc>
          <w:tcPr>
            <w:tcW w:w="424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255"/>
        </w:trPr>
        <w:tc>
          <w:tcPr>
            <w:tcW w:w="4240" w:type="dxa"/>
            <w:vAlign w:val="bottom"/>
          </w:tcPr>
          <w:p>
            <w:pPr>
              <w:spacing w:after="0"/>
              <w:rPr>
                <w:sz w:val="20"/>
                <w:szCs w:val="20"/>
                <w:color w:val="auto"/>
              </w:rPr>
            </w:pPr>
            <w:r>
              <w:rPr>
                <w:rFonts w:ascii="Arial" w:cs="Arial" w:eastAsia="Arial" w:hAnsi="Arial"/>
                <w:sz w:val="14"/>
                <w:szCs w:val="14"/>
                <w:color w:val="auto"/>
              </w:rPr>
              <w:t>Other (expense) income</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6,066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17,209</w:t>
            </w:r>
          </w:p>
        </w:tc>
      </w:tr>
      <w:tr>
        <w:trPr>
          <w:trHeight w:val="238"/>
        </w:trPr>
        <w:tc>
          <w:tcPr>
            <w:tcW w:w="424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7,603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(140,069)</w:t>
            </w:r>
          </w:p>
        </w:tc>
      </w:tr>
      <w:tr>
        <w:trPr>
          <w:trHeight w:val="255"/>
        </w:trPr>
        <w:tc>
          <w:tcPr>
            <w:tcW w:w="42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8,509</w:t>
            </w:r>
          </w:p>
        </w:tc>
      </w:tr>
      <w:tr>
        <w:trPr>
          <w:trHeight w:val="238"/>
        </w:trPr>
        <w:tc>
          <w:tcPr>
            <w:tcW w:w="424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7,423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(8,393)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(131,560)</w:t>
            </w:r>
          </w:p>
        </w:tc>
      </w:tr>
      <w:tr>
        <w:trPr>
          <w:trHeight w:val="255"/>
        </w:trPr>
        <w:tc>
          <w:tcPr>
            <w:tcW w:w="424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914</w:t>
            </w:r>
          </w:p>
        </w:tc>
      </w:tr>
      <w:tr>
        <w:trPr>
          <w:trHeight w:val="238"/>
        </w:trPr>
        <w:tc>
          <w:tcPr>
            <w:tcW w:w="424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6,989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(8,927)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(132,474)</w:t>
            </w:r>
          </w:p>
        </w:tc>
      </w:tr>
      <w:tr>
        <w:trPr>
          <w:trHeight w:val="255"/>
        </w:trPr>
        <w:tc>
          <w:tcPr>
            <w:tcW w:w="424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1,440</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1,411</w:t>
            </w:r>
          </w:p>
        </w:tc>
      </w:tr>
      <w:tr>
        <w:trPr>
          <w:trHeight w:val="209"/>
        </w:trPr>
        <w:tc>
          <w:tcPr>
            <w:tcW w:w="424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6,517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(10,367)</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(133,885)</w:t>
            </w:r>
          </w:p>
        </w:tc>
      </w:tr>
      <w:tr>
        <w:trPr>
          <w:trHeight w:val="21"/>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76"/>
        </w:trPr>
        <w:tc>
          <w:tcPr>
            <w:tcW w:w="4540" w:type="dxa"/>
            <w:vAlign w:val="bottom"/>
            <w:gridSpan w:val="2"/>
          </w:tcPr>
          <w:p>
            <w:pPr>
              <w:spacing w:after="0"/>
              <w:rPr>
                <w:sz w:val="20"/>
                <w:szCs w:val="20"/>
                <w:color w:val="auto"/>
              </w:rPr>
            </w:pPr>
            <w:r>
              <w:rPr>
                <w:rFonts w:ascii="Arial" w:cs="Arial" w:eastAsia="Arial" w:hAnsi="Arial"/>
                <w:sz w:val="14"/>
                <w:szCs w:val="14"/>
                <w:color w:val="auto"/>
              </w:rPr>
              <w:t>Net (loss) income per share attributable to Civeo Corporation common</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2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256"/>
        </w:trPr>
        <w:tc>
          <w:tcPr>
            <w:tcW w:w="42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2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513"/>
        </w:trPr>
        <w:tc>
          <w:tcPr>
            <w:tcW w:w="424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14,277</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14,160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14,255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14,118</w:t>
            </w:r>
          </w:p>
        </w:tc>
      </w:tr>
      <w:tr>
        <w:trPr>
          <w:trHeight w:val="256"/>
        </w:trPr>
        <w:tc>
          <w:tcPr>
            <w:tcW w:w="42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14,361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14,212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14,255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14,118</w:t>
            </w:r>
          </w:p>
        </w:tc>
      </w:tr>
    </w:tbl>
    <w:p>
      <w:pPr>
        <w:sectPr>
          <w:pgSz w:w="11900" w:h="16838" w:orient="portrait"/>
          <w:cols w:equalWidth="0" w:num="1">
            <w:col w:w="9180"/>
          </w:cols>
          <w:pgMar w:left="1360" w:top="886"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4,948</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108,058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89,782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13,185</w:t>
            </w:r>
          </w:p>
        </w:tc>
        <w:tc>
          <w:tcPr>
            <w:tcW w:w="0" w:type="dxa"/>
            <w:vAlign w:val="bottom"/>
          </w:tcPr>
          <w:p>
            <w:pPr>
              <w:spacing w:after="0"/>
              <w:rPr>
                <w:sz w:val="1"/>
                <w:szCs w:val="1"/>
                <w:color w:val="auto"/>
              </w:rPr>
            </w:pPr>
          </w:p>
        </w:tc>
      </w:tr>
      <w:tr>
        <w:trPr>
          <w:trHeight w:val="207"/>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158,023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119,213</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399,962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94,680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99,749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19,265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22,606</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3,626</w:t>
            </w:r>
          </w:p>
        </w:tc>
        <w:tc>
          <w:tcPr>
            <w:tcW w:w="0" w:type="dxa"/>
            <w:vAlign w:val="bottom"/>
          </w:tcPr>
          <w:p>
            <w:pPr>
              <w:spacing w:after="0"/>
              <w:rPr>
                <w:sz w:val="1"/>
                <w:szCs w:val="1"/>
                <w:color w:val="auto"/>
              </w:rPr>
            </w:pPr>
          </w:p>
        </w:tc>
      </w:tr>
      <w:tr>
        <w:trPr>
          <w:trHeight w:val="212"/>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684,042</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45,193</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42,056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31,084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27,349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24,219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06"/>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136,948</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116,765</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162,689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16,382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19,834</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14,897</w:t>
            </w:r>
          </w:p>
        </w:tc>
        <w:tc>
          <w:tcPr>
            <w:tcW w:w="0" w:type="dxa"/>
            <w:vAlign w:val="bottom"/>
          </w:tcPr>
          <w:p>
            <w:pPr>
              <w:spacing w:after="0"/>
              <w:rPr>
                <w:sz w:val="1"/>
                <w:szCs w:val="1"/>
                <w:color w:val="auto"/>
              </w:rPr>
            </w:pPr>
          </w:p>
        </w:tc>
      </w:tr>
      <w:tr>
        <w:trPr>
          <w:trHeight w:val="207"/>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331,257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365,496</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61,456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60,016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1,581,248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1,578,315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(918,539)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(907,727)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(364,360)</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(348,989)</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351,755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374,685</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352,785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375,357</w:t>
            </w:r>
          </w:p>
        </w:tc>
        <w:tc>
          <w:tcPr>
            <w:tcW w:w="0" w:type="dxa"/>
            <w:vAlign w:val="bottom"/>
          </w:tcPr>
          <w:p>
            <w:pPr>
              <w:spacing w:after="0"/>
              <w:rPr>
                <w:sz w:val="1"/>
                <w:szCs w:val="1"/>
                <w:color w:val="auto"/>
              </w:rPr>
            </w:pPr>
          </w:p>
        </w:tc>
      </w:tr>
      <w:tr>
        <w:trPr>
          <w:trHeight w:val="213"/>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684,042</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jc w:val="center"/>
        <w:ind w:left="5800"/>
        <w:spacing w:after="0"/>
        <w:rPr>
          <w:sz w:val="20"/>
          <w:szCs w:val="20"/>
          <w:color w:val="auto"/>
        </w:rPr>
      </w:pPr>
      <w:r>
        <w:rPr>
          <w:rFonts w:ascii="Arial" w:cs="Arial" w:eastAsia="Arial" w:hAnsi="Arial"/>
          <w:sz w:val="16"/>
          <w:szCs w:val="16"/>
          <w:b w:val="1"/>
          <w:bCs w:val="1"/>
          <w:color w:val="auto"/>
        </w:rPr>
        <w:t>September 30,</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493"/>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(8,393)</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(131,560)</w:t>
            </w: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62,928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72,527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144,120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2,105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2,933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4,804</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2,436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(21,516)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9,836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1,247</w:t>
            </w: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60"/>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63,241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80,675</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(9,645)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(6,244)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7,545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3,336</w:t>
            </w:r>
          </w:p>
        </w:tc>
      </w:tr>
      <w:tr>
        <w:trPr>
          <w:trHeight w:val="259"/>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34"/>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1,711</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(117,595)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(31,092)</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62,474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(44,511)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(2,583)</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(61,093)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(79,644)</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33"/>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3,607</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r>
      <w:tr>
        <w:trPr>
          <w:trHeight w:val="22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6,938</w:t>
            </w: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5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2020</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84,057</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71,785</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229,223</w:t>
            </w:r>
          </w:p>
        </w:tc>
        <w:tc>
          <w:tcPr>
            <w:tcW w:w="20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204,119</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65,118</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64,685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188,774</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170,869</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5,888</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16,672</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21,363</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155,063</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142,857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434,669</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396,351</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19,801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21,289</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53,201</w:t>
            </w:r>
          </w:p>
        </w:tc>
        <w:tc>
          <w:tcPr>
            <w:tcW w:w="20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(78,976)</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14,835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21,517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35,157</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56,476</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(1,468)</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(14,920)</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(17,578)</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26,178</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66,698</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(54,998)</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19,801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21,289</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53,201</w:t>
            </w:r>
          </w:p>
        </w:tc>
        <w:tc>
          <w:tcPr>
            <w:tcW w:w="20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48,015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14,835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21,517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43,092</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56,476</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(1,468)</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260"/>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(17,578)</w:t>
            </w:r>
          </w:p>
        </w:tc>
        <w:tc>
          <w:tcPr>
            <w:tcW w:w="0" w:type="dxa"/>
            <w:vAlign w:val="bottom"/>
          </w:tcPr>
          <w:p>
            <w:pPr>
              <w:spacing w:after="0"/>
              <w:rPr>
                <w:sz w:val="1"/>
                <w:szCs w:val="1"/>
                <w:color w:val="auto"/>
              </w:rPr>
            </w:pPr>
          </w:p>
        </w:tc>
      </w:tr>
      <w:tr>
        <w:trPr>
          <w:trHeight w:val="212"/>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26,178</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74,633</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84,432</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6,131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1,007</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5,924</w:t>
            </w:r>
          </w:p>
        </w:tc>
        <w:tc>
          <w:tcPr>
            <w:tcW w:w="20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(142,343)</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4,422</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9,890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5,073</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24,245</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(2,124)</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(5,831)</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(19,954)</w:t>
            </w:r>
          </w:p>
        </w:tc>
        <w:tc>
          <w:tcPr>
            <w:tcW w:w="0" w:type="dxa"/>
            <w:vAlign w:val="bottom"/>
          </w:tcPr>
          <w:p>
            <w:pPr>
              <w:spacing w:after="0"/>
              <w:rPr>
                <w:sz w:val="1"/>
                <w:szCs w:val="1"/>
                <w:color w:val="auto"/>
              </w:rPr>
            </w:pPr>
          </w:p>
        </w:tc>
      </w:tr>
      <w:tr>
        <w:trPr>
          <w:trHeight w:val="260"/>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(6,928)</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6,010</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(143,820)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1" w:right="1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51" w:lineRule="exact"/>
        <w:rPr>
          <w:sz w:val="20"/>
          <w:szCs w:val="20"/>
          <w:color w:val="auto"/>
        </w:rPr>
      </w:pPr>
    </w:p>
    <w:tbl>
      <w:tblPr>
        <w:tblLayout w:type="fixed"/>
        <w:tblInd w:w="2392"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10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rPr>
              <w:t>September 30,</w:t>
            </w:r>
          </w:p>
        </w:tc>
      </w:tr>
      <w:tr>
        <w:trPr>
          <w:trHeight w:val="268"/>
        </w:trPr>
        <w:tc>
          <w:tcPr>
            <w:tcW w:w="16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517"/>
        </w:trPr>
        <w:tc>
          <w:tcPr>
            <w:tcW w:w="168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66,698</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79"/>
              <w:spacing w:after="0"/>
              <w:rPr>
                <w:sz w:val="20"/>
                <w:szCs w:val="20"/>
                <w:color w:val="auto"/>
              </w:rPr>
            </w:pPr>
            <w:r>
              <w:rPr>
                <w:rFonts w:ascii="Arial" w:cs="Arial" w:eastAsia="Arial" w:hAnsi="Arial"/>
                <w:sz w:val="16"/>
                <w:szCs w:val="16"/>
                <w:color w:val="auto"/>
              </w:rPr>
              <w:t>(54,998)</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74,633</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99"/>
              <w:spacing w:after="0"/>
              <w:rPr>
                <w:sz w:val="20"/>
                <w:szCs w:val="20"/>
                <w:color w:val="auto"/>
              </w:rPr>
            </w:pPr>
            <w:r>
              <w:rPr>
                <w:rFonts w:ascii="Arial" w:cs="Arial" w:eastAsia="Arial" w:hAnsi="Arial"/>
                <w:sz w:val="16"/>
                <w:szCs w:val="16"/>
                <w:color w:val="auto"/>
              </w:rPr>
              <w:t>84,432</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31,035</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34,399</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61,141</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99"/>
              <w:spacing w:after="0"/>
              <w:rPr>
                <w:sz w:val="20"/>
                <w:szCs w:val="20"/>
                <w:color w:val="auto"/>
              </w:rPr>
            </w:pPr>
            <w:r>
              <w:rPr>
                <w:rFonts w:ascii="Arial" w:cs="Arial" w:eastAsia="Arial" w:hAnsi="Arial"/>
                <w:sz w:val="16"/>
                <w:szCs w:val="16"/>
                <w:color w:val="auto"/>
              </w:rPr>
              <w:t>77,767</w:t>
            </w:r>
          </w:p>
        </w:tc>
      </w:tr>
    </w:tbl>
    <w:p>
      <w:pPr>
        <w:spacing w:after="0" w:line="372" w:lineRule="exact"/>
        <w:rPr>
          <w:sz w:val="20"/>
          <w:szCs w:val="20"/>
          <w:color w:val="auto"/>
        </w:rPr>
      </w:pPr>
    </w:p>
    <w:p>
      <w:pPr>
        <w:ind w:left="332" w:hanging="332"/>
        <w:spacing w:after="0" w:line="227" w:lineRule="auto"/>
        <w:tabs>
          <w:tab w:leader="none" w:pos="344" w:val="left"/>
        </w:tabs>
        <w:numPr>
          <w:ilvl w:val="0"/>
          <w:numId w:val="4"/>
        </w:numPr>
        <w:rPr>
          <w:rFonts w:ascii="Arial" w:cs="Arial" w:eastAsia="Arial" w:hAnsi="Arial"/>
          <w:sz w:val="20"/>
          <w:szCs w:val="20"/>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certain other unusual or non-operating ite</w:t>
      </w:r>
      <w:r>
        <w:rPr>
          <w:rFonts w:ascii="Arial" w:cs="Arial" w:eastAsia="Arial" w:hAnsi="Arial"/>
          <w:sz w:val="17"/>
          <w:szCs w:val="17"/>
          <w:color w:val="auto"/>
        </w:rPr>
        <w:t>ms</w:t>
      </w:r>
      <w:r>
        <w:rPr>
          <w:rFonts w:ascii="Arial" w:cs="Arial" w:eastAsia="Arial" w:hAnsi="Arial"/>
          <w:sz w:val="16"/>
          <w:szCs w:val="16"/>
          <w:color w:val="auto"/>
        </w:rPr>
        <w:t>.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rFonts w:ascii="Arial" w:cs="Arial" w:eastAsia="Arial" w:hAnsi="Arial"/>
          <w:sz w:val="20"/>
          <w:szCs w:val="20"/>
          <w:color w:val="auto"/>
        </w:rPr>
      </w:pPr>
    </w:p>
    <w:p>
      <w:pPr>
        <w:ind w:left="332" w:right="80"/>
        <w:spacing w:after="0" w:line="260" w:lineRule="auto"/>
        <w:rPr>
          <w:rFonts w:ascii="Arial" w:cs="Arial" w:eastAsia="Arial" w:hAnsi="Arial"/>
          <w:sz w:val="20"/>
          <w:szCs w:val="20"/>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66" w:lineRule="exact"/>
        <w:rPr>
          <w:sz w:val="20"/>
          <w:szCs w:val="20"/>
          <w:color w:val="auto"/>
        </w:rPr>
      </w:pPr>
    </w:p>
    <w:tbl>
      <w:tblPr>
        <w:tblLayout w:type="fixed"/>
        <w:tblInd w:w="1432"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65"/>
        </w:trPr>
        <w:tc>
          <w:tcPr>
            <w:tcW w:w="3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433"/>
        </w:trPr>
        <w:tc>
          <w:tcPr>
            <w:tcW w:w="346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346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544</w:t>
            </w:r>
          </w:p>
        </w:tc>
        <w:tc>
          <w:tcPr>
            <w:tcW w:w="18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6,989</w:t>
            </w:r>
          </w:p>
        </w:tc>
        <w:tc>
          <w:tcPr>
            <w:tcW w:w="1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(8,927)</w:t>
            </w:r>
          </w:p>
        </w:tc>
        <w:tc>
          <w:tcPr>
            <w:tcW w:w="18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(132,474)</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(8,509)</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20,282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24,820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62,928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72,527</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73"/>
        </w:trPr>
        <w:tc>
          <w:tcPr>
            <w:tcW w:w="34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13,095</w:t>
            </w:r>
          </w:p>
        </w:tc>
      </w:tr>
      <w:tr>
        <w:trPr>
          <w:trHeight w:val="247"/>
        </w:trPr>
        <w:tc>
          <w:tcPr>
            <w:tcW w:w="346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66,698</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(54,998)</w:t>
            </w:r>
          </w:p>
        </w:tc>
      </w:tr>
      <w:tr>
        <w:trPr>
          <w:trHeight w:val="250"/>
        </w:trPr>
        <w:tc>
          <w:tcPr>
            <w:tcW w:w="346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346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50,514</w:t>
            </w:r>
          </w:p>
        </w:tc>
      </w:tr>
      <w:tr>
        <w:trPr>
          <w:trHeight w:val="270"/>
        </w:trPr>
        <w:tc>
          <w:tcPr>
            <w:tcW w:w="3460" w:type="dxa"/>
            <w:vAlign w:val="bottom"/>
          </w:tcPr>
          <w:p>
            <w:pPr>
              <w:ind w:left="140"/>
              <w:spacing w:after="0"/>
              <w:rPr>
                <w:sz w:val="20"/>
                <w:szCs w:val="20"/>
                <w:color w:val="auto"/>
              </w:rPr>
            </w:pPr>
            <w:r>
              <w:rPr>
                <w:rFonts w:ascii="Arial" w:cs="Arial" w:eastAsia="Arial" w:hAnsi="Arial"/>
                <w:sz w:val="16"/>
                <w:szCs w:val="16"/>
                <w:color w:val="auto"/>
              </w:rPr>
              <w:t>Impairment of goodwill (b)</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93,606</w:t>
            </w:r>
          </w:p>
        </w:tc>
      </w:tr>
      <w:tr>
        <w:trPr>
          <w:trHeight w:val="183"/>
        </w:trPr>
        <w:tc>
          <w:tcPr>
            <w:tcW w:w="3460" w:type="dxa"/>
            <w:vAlign w:val="bottom"/>
          </w:tcPr>
          <w:p>
            <w:pPr>
              <w:ind w:left="140"/>
              <w:spacing w:after="0"/>
              <w:rPr>
                <w:sz w:val="20"/>
                <w:szCs w:val="20"/>
                <w:color w:val="auto"/>
              </w:rPr>
            </w:pPr>
            <w:r>
              <w:rPr>
                <w:rFonts w:ascii="Arial" w:cs="Arial" w:eastAsia="Arial" w:hAnsi="Arial"/>
                <w:sz w:val="16"/>
                <w:szCs w:val="16"/>
                <w:color w:val="auto"/>
              </w:rPr>
              <w:t>Representations and warranties settlement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6"/>
                <w:szCs w:val="16"/>
                <w:color w:val="auto"/>
              </w:rPr>
              <w:t>(c)</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(4,690)</w:t>
            </w:r>
          </w:p>
        </w:tc>
      </w:tr>
      <w:tr>
        <w:trPr>
          <w:trHeight w:val="226"/>
        </w:trPr>
        <w:tc>
          <w:tcPr>
            <w:tcW w:w="346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26,178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74,633</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84,432</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652" w:right="60" w:hanging="328"/>
        <w:spacing w:after="0" w:line="253"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second quarter of 2021 and the first quarter of 2020. In the second quarter of 2021, we recorded a pre-tax loss related to the impairment of long-lived assets in our Australian segment of $7.9 million, which is included in Impairment expense on the unaudited statements of operations.</w:t>
      </w:r>
    </w:p>
    <w:p>
      <w:pPr>
        <w:sectPr>
          <w:pgSz w:w="11900" w:h="16838" w:orient="portrait"/>
          <w:cols w:equalWidth="0" w:num="1">
            <w:col w:w="11192"/>
          </w:cols>
          <w:pgMar w:left="328" w:top="891" w:right="379" w:bottom="1440" w:gutter="0" w:footer="0" w:header="0"/>
        </w:sectPr>
      </w:pPr>
    </w:p>
    <w:bookmarkStart w:id="12" w:name="page13"/>
    <w:bookmarkEnd w:id="12"/>
    <w:p>
      <w:pPr>
        <w:ind w:left="652"/>
        <w:spacing w:after="0" w:line="253" w:lineRule="auto"/>
        <w:rPr>
          <w:sz w:val="20"/>
          <w:szCs w:val="20"/>
          <w:color w:val="auto"/>
        </w:rPr>
      </w:pPr>
      <w:r>
        <w:rPr>
          <w:rFonts w:ascii="Arial" w:cs="Arial" w:eastAsia="Arial" w:hAnsi="Arial"/>
          <w:sz w:val="16"/>
          <w:szCs w:val="16"/>
          <w:color w:val="auto"/>
        </w:rPr>
        <w:t>In the first quarter of 2020, we recorded a pre-tax loss related to the impairment of long-lived assets in our Canadian segment of $38.1 million and a pre-tax loss related to the impairment of long-lived assets in our U.S. segment of $12.4 million, which is included in Impairment expense on the unaudited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2" w:right="620" w:hanging="328"/>
        <w:spacing w:after="0" w:line="260"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in the first quarter of 2020. The $93.6 million impairment is related to our Canada reporting unit and is included in Impairment expense on the statements of operations.</w:t>
      </w:r>
    </w:p>
    <w:p>
      <w:pPr>
        <w:spacing w:after="0" w:line="222" w:lineRule="exact"/>
        <w:rPr>
          <w:rFonts w:ascii="Arial" w:cs="Arial" w:eastAsia="Arial" w:hAnsi="Arial"/>
          <w:sz w:val="16"/>
          <w:szCs w:val="16"/>
          <w:color w:val="auto"/>
        </w:rPr>
      </w:pPr>
    </w:p>
    <w:p>
      <w:pPr>
        <w:ind w:left="652" w:right="100" w:hanging="328"/>
        <w:spacing w:after="0" w:line="260"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second quarter of 2020, we recorded $4.7 million of income associated with the settlement of a representations and warranties claim related to the Noralta acquisition, which is included in Other income on the unaudited statements of operations.</w:t>
      </w:r>
    </w:p>
    <w:p>
      <w:pPr>
        <w:spacing w:after="0" w:line="222" w:lineRule="exact"/>
        <w:rPr>
          <w:rFonts w:ascii="Arial" w:cs="Arial" w:eastAsia="Arial" w:hAnsi="Arial"/>
          <w:sz w:val="16"/>
          <w:szCs w:val="16"/>
          <w:color w:val="auto"/>
        </w:rPr>
      </w:pPr>
    </w:p>
    <w:p>
      <w:pPr>
        <w:ind w:left="332" w:hanging="332"/>
        <w:spacing w:after="0" w:line="24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34" w:lineRule="exact"/>
        <w:rPr>
          <w:rFonts w:ascii="Arial" w:cs="Arial" w:eastAsia="Arial" w:hAnsi="Arial"/>
          <w:sz w:val="16"/>
          <w:szCs w:val="16"/>
          <w:color w:val="auto"/>
        </w:rPr>
      </w:pPr>
    </w:p>
    <w:p>
      <w:pPr>
        <w:ind w:left="332" w:right="7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6"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68"/>
        </w:trPr>
        <w:tc>
          <w:tcPr>
            <w:tcW w:w="4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517"/>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33,891</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35,357</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63,241</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80,675</w:t>
            </w: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(9,645)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(6,244)</w:t>
            </w:r>
          </w:p>
        </w:tc>
      </w:tr>
      <w:tr>
        <w:trPr>
          <w:trHeight w:val="183"/>
        </w:trPr>
        <w:tc>
          <w:tcPr>
            <w:tcW w:w="434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7,545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w:t>
            </w:r>
          </w:p>
        </w:tc>
      </w:tr>
      <w:tr>
        <w:trPr>
          <w:trHeight w:val="226"/>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61,141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77,767</w:t>
            </w:r>
          </w:p>
        </w:tc>
      </w:tr>
      <w:tr>
        <w:trPr>
          <w:trHeight w:val="21"/>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12"/>
          </w:cols>
          <w:pgMar w:left="328" w:top="911" w:right="359" w:bottom="1440" w:gutter="0" w:footer="0" w:header="0"/>
        </w:sectPr>
      </w:pPr>
    </w:p>
    <w:bookmarkStart w:id="13" w:name="page14"/>
    <w:bookmarkEnd w:id="13"/>
    <w:p>
      <w:pPr>
        <w:jc w:val="center"/>
        <w:ind w:right="-3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69" w:lineRule="exact"/>
        <w:rPr>
          <w:sz w:val="20"/>
          <w:szCs w:val="20"/>
          <w:color w:val="auto"/>
        </w:rPr>
      </w:pPr>
    </w:p>
    <w:tbl>
      <w:tblPr>
        <w:tblLayout w:type="fixed"/>
        <w:tblInd w:w="2072"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2021</w:t>
            </w:r>
          </w:p>
        </w:tc>
      </w:tr>
      <w:tr>
        <w:trPr>
          <w:trHeight w:val="311"/>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87.1</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332" w:lineRule="exact"/>
        <w:rPr>
          <w:sz w:val="20"/>
          <w:szCs w:val="20"/>
          <w:color w:val="auto"/>
        </w:rPr>
      </w:pPr>
    </w:p>
    <w:p>
      <w:pPr>
        <w:ind w:left="332" w:hanging="332"/>
        <w:spacing w:after="0" w:line="242"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millions) (unaudited):</w:t>
      </w:r>
    </w:p>
    <w:p>
      <w:pPr>
        <w:spacing w:after="0" w:line="257" w:lineRule="exact"/>
        <w:rPr>
          <w:sz w:val="20"/>
          <w:szCs w:val="20"/>
          <w:color w:val="auto"/>
        </w:rPr>
      </w:pPr>
    </w:p>
    <w:tbl>
      <w:tblPr>
        <w:tblLayout w:type="fixed"/>
        <w:tblInd w:w="1872"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2021</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8"/>
                <w:szCs w:val="18"/>
                <w:color w:val="auto"/>
              </w:rPr>
            </w:pPr>
          </w:p>
        </w:tc>
      </w:tr>
      <w:tr>
        <w:trPr>
          <w:trHeight w:val="324"/>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06"/>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r>
      <w:tr>
        <w:trPr>
          <w:trHeight w:val="304"/>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482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2"/>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12"/>
          </w:cols>
          <w:pgMar w:left="328" w:top="891" w:right="65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22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65"/>
        </w:trPr>
        <w:tc>
          <w:tcPr>
            <w:tcW w:w="35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56"/>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60,511</w:t>
            </w:r>
          </w:p>
        </w:tc>
        <w:tc>
          <w:tcPr>
            <w:tcW w:w="18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49,798</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176,800</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156,068</w:t>
            </w: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19,075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13,135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38,240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21,715</w:t>
            </w:r>
          </w:p>
        </w:tc>
      </w:tr>
      <w:tr>
        <w:trPr>
          <w:trHeight w:val="273"/>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8,852</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26,336</w:t>
            </w:r>
          </w:p>
        </w:tc>
      </w:tr>
      <w:tr>
        <w:trPr>
          <w:trHeight w:val="247"/>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84,057</w:t>
            </w:r>
          </w:p>
        </w:tc>
        <w:tc>
          <w:tcPr>
            <w:tcW w:w="1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71,785</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229,223</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204,119</w:t>
            </w: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41,470</w:t>
            </w:r>
          </w:p>
        </w:tc>
        <w:tc>
          <w:tcPr>
            <w:tcW w:w="18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32,490</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124,798</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109,143</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11,144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23,562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17,099</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12,583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23,773</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8,115</w:t>
            </w:r>
          </w:p>
        </w:tc>
      </w:tr>
      <w:tr>
        <w:trPr>
          <w:trHeight w:val="163"/>
        </w:trPr>
        <w:tc>
          <w:tcPr>
            <w:tcW w:w="3580" w:type="dxa"/>
            <w:vAlign w:val="bottom"/>
          </w:tcPr>
          <w:p>
            <w:pPr>
              <w:ind w:left="660"/>
              <w:spacing w:after="0" w:line="164" w:lineRule="exact"/>
              <w:rPr>
                <w:sz w:val="20"/>
                <w:szCs w:val="20"/>
                <w:color w:val="auto"/>
              </w:rPr>
            </w:pPr>
            <w:r>
              <w:rPr>
                <w:rFonts w:ascii="Arial" w:cs="Arial" w:eastAsia="Arial" w:hAnsi="Arial"/>
                <w:sz w:val="16"/>
                <w:szCs w:val="16"/>
                <w:color w:val="auto"/>
              </w:rPr>
              <w:t>Total Canadian cost of sales and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59,214</w:t>
            </w:r>
          </w:p>
        </w:tc>
        <w:tc>
          <w:tcPr>
            <w:tcW w:w="18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51,393</w:t>
            </w:r>
          </w:p>
        </w:tc>
        <w:tc>
          <w:tcPr>
            <w:tcW w:w="1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168,441</w:t>
            </w:r>
          </w:p>
        </w:tc>
        <w:tc>
          <w:tcPr>
            <w:tcW w:w="2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158,130</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613,017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508,449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1,816,407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1,626,668</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0.794</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0.751</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0.799</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0.739</w:t>
            </w:r>
          </w:p>
        </w:tc>
      </w:tr>
      <w:tr>
        <w:trPr>
          <w:trHeight w:val="438"/>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5"/>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38,104</w:t>
            </w:r>
          </w:p>
        </w:tc>
        <w:tc>
          <w:tcPr>
            <w:tcW w:w="18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39,470</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109,559</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106,988</w:t>
            </w:r>
          </w:p>
        </w:tc>
      </w:tr>
      <w:tr>
        <w:trPr>
          <w:trHeight w:val="273"/>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27,014</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25,215</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63,881</w:t>
            </w:r>
          </w:p>
        </w:tc>
      </w:tr>
      <w:tr>
        <w:trPr>
          <w:trHeight w:val="247"/>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65,118</w:t>
            </w:r>
          </w:p>
        </w:tc>
        <w:tc>
          <w:tcPr>
            <w:tcW w:w="1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64,685</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188,774</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170,869</w:t>
            </w: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18,351</w:t>
            </w:r>
          </w:p>
        </w:tc>
        <w:tc>
          <w:tcPr>
            <w:tcW w:w="18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16,401</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53,538</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46,665</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26,007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21,161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75,458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53,627</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r>
      <w:tr>
        <w:trPr>
          <w:trHeight w:val="163"/>
        </w:trPr>
        <w:tc>
          <w:tcPr>
            <w:tcW w:w="3580" w:type="dxa"/>
            <w:vAlign w:val="bottom"/>
          </w:tcPr>
          <w:p>
            <w:pPr>
              <w:ind w:left="660"/>
              <w:spacing w:after="0" w:line="16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46,374</w:t>
            </w:r>
          </w:p>
        </w:tc>
        <w:tc>
          <w:tcPr>
            <w:tcW w:w="18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38,529</w:t>
            </w:r>
          </w:p>
        </w:tc>
        <w:tc>
          <w:tcPr>
            <w:tcW w:w="1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134,172</w:t>
            </w:r>
          </w:p>
        </w:tc>
        <w:tc>
          <w:tcPr>
            <w:tcW w:w="2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102,995</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491,218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513,587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1,382,182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1,487,819</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0.735</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0.759</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0.677</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52"/>
          </w:cols>
          <w:pgMar w:left="328" w:top="1134"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2021-10-28T08:10:24Z</dcterms:created>
  <dcterms:modified xsi:type="dcterms:W3CDTF">2021-10-28T08:10:24Z</dcterms:modified>
</cp:coreProperties>
</file>