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26,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22"/>
          <w:szCs w:val="22"/>
          <w:color w:val="auto"/>
        </w:rPr>
        <w:t>On April 26, 2024, Civeo Corporation (“Civeo”) issued a press release announcing its financial condition and results of operations as of and for the quarter ended March 31, 2024.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Press Release dated April 26, 2024</w:t>
            </w:r>
          </w:p>
        </w:tc>
        <w:tc>
          <w:tcPr>
            <w:tcW w:w="644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26, 2024</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Barclay Brewer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96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Barclay Brewer</w:t>
      </w:r>
    </w:p>
    <w:p>
      <w:pPr>
        <w:spacing w:after="0" w:line="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Interim Chief Financial Officer</w:t>
      </w:r>
    </w:p>
    <w:p>
      <w:pPr>
        <w:sectPr>
          <w:pgSz w:w="11900" w:h="16838" w:orient="portrait"/>
          <w:cols w:equalWidth="0" w:num="1">
            <w:col w:w="11220"/>
          </w:cols>
          <w:pgMar w:left="320" w:top="1296"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7"/>
          <w:szCs w:val="27"/>
          <w:b w:val="1"/>
          <w:bCs w:val="1"/>
          <w:color w:val="auto"/>
        </w:rPr>
        <w:t>Civeo Reports First Quarter 2024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Highlights include:</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$166.1 million, net loss of $5.1 million and operating cash flow of $6.0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Adjusted EBITDA of $17.3 million and free cash flow of $7.2 million;</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Continued to return capital to shareholders through the quarterly dividend and share repurchase program; and</w:t>
      </w:r>
    </w:p>
    <w:p>
      <w:pPr>
        <w:spacing w:after="0" w:line="8" w:lineRule="exact"/>
        <w:rPr>
          <w:rFonts w:ascii="Arial" w:cs="Arial" w:eastAsia="Arial" w:hAnsi="Arial"/>
          <w:sz w:val="22"/>
          <w:szCs w:val="22"/>
          <w:color w:val="auto"/>
        </w:rPr>
      </w:pPr>
    </w:p>
    <w:p>
      <w:pPr>
        <w:ind w:left="660" w:right="780" w:hanging="328"/>
        <w:spacing w:after="0" w:line="26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previously announced sale of McClelland Lake Lodge in January and continue to assess additional potential associated revenue opportunities.</w:t>
      </w:r>
    </w:p>
    <w:p>
      <w:pPr>
        <w:spacing w:after="0" w:line="19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HOUSTON and CALGARY, April 26, 2024 (BUSINESS WIRE) -- Civeo Corporation (NYSE:CVEO) today reported financial and operating results for the first quarter ended March 31, 2024.</w:t>
      </w:r>
    </w:p>
    <w:p>
      <w:pPr>
        <w:spacing w:after="0" w:line="58"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color w:val="auto"/>
        </w:rPr>
        <w:t>“Through continued safe and effective operations, our first quarter 2024 results were in line with expectations. The first quarter results were highlighted by the significant year-over-year improvement in our Australian segment with revenues up 19%, operating income up 22% and Adjusted EBITDA up 43% as a result of increased activity related to new contract awards as well as improved margins, up 360 basis points year-over-year. The year-over-year improvements in Australian results were largely offset by declines in revenues and Adjusted EBITDA in Canada with the sale of McClelland Lake Lodge and reduced LNG-related mobile camp activity." said Bradley J. Dodson, Civeo's President and Chief Executive Officer.</w:t>
      </w:r>
    </w:p>
    <w:p>
      <w:pPr>
        <w:spacing w:after="0" w:line="20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Mr. Dodson concluded, "Our focus remains on enhancing our existing operations while we evaluate growth opportunities across our portfolio and return cash flow to shareholders through our quarterly dividend and opportunistic share repurchases."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2024 Results</w:t>
      </w:r>
    </w:p>
    <w:p>
      <w:pPr>
        <w:spacing w:after="0" w:line="13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first quarter of 2024, Civeo generated revenues of $166.1 million and reported a net loss of $5.1 million, or $0.35 per diluted share. The loss results in part from $7.8 million in costs associated with impairments on assets in Australia and the U.S. During the first quarter of 2024, Civeo produced operating cash flow of $6.0 million, Adjusted EBITDA of $17.3 million and free cash flow of $7.2 million.</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By comparison, in the first quarter of 2023, Civeo generated revenues of $167.6 million and reported a net loss of $6.4 million, or $0.42 per diluted share. During the first quarter of 2023, Civeo produced operating cash flow of $0.4 million, Adjusted EBITDA of $20.2 million and negative free cash flow of $2.1 million.</w:t>
      </w:r>
    </w:p>
    <w:p>
      <w:pPr>
        <w:spacing w:after="0" w:line="8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year-over-year decrease in Adjusted EBITDA in the first quarter of 2024 was primarily driven by the expected wind-down of LNG-related Canadian mobile camp activity, including $1.8 million in mobile camp demobilization costs, partially offset by increased billed rooms at the Australian owned-villages and improved margins in both the owned-villages and the Australian integrated services business.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first quarter of 2024 to the results for the first quarter of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first quarter of 2024, the Canadian segment generated revenues of $67.2 million, operating income of $0.6 million and Adjusted EBITDA of $5.5 million, compared to revenues of $89.5 million, operating loss of $4.5 million and Adjusted EBITDA of $12.0 million in the first quarter of 2023.</w:t>
      </w:r>
    </w:p>
    <w:p>
      <w:pPr>
        <w:spacing w:after="0" w:line="20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Canadian segment experienced a 25% period-over-period decrease in revenues and a 54% decrease in Adjusted EBITDA driven by the wind-down of LNG-related mobile camp activity, including $1.8 million of mobile camp demobilization costs.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0"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During the first quarter of 2024, the Australian segment generated revenues of $91.7 million, operating income of $6.0 million and Adjusted EBITDA of $20.3 million, compared to revenues of $77.0 million, operating income of $4.9 million and Adjusted EBITDA of $14.2 million in the first quarter of 2023. Results for the first quarter of 2024 reflect</w:t>
      </w:r>
    </w:p>
    <w:p>
      <w:pPr>
        <w:sectPr>
          <w:pgSz w:w="11900" w:h="16838" w:orient="portrait"/>
          <w:cols w:equalWidth="0" w:num="1">
            <w:col w:w="11240"/>
          </w:cols>
          <w:pgMar w:left="320" w:top="889" w:right="339" w:bottom="1440" w:gutter="0" w:footer="0" w:header="0"/>
        </w:sectPr>
      </w:pPr>
    </w:p>
    <w:bookmarkStart w:id="5" w:name="page6"/>
    <w:bookmarkEnd w:id="5"/>
    <w:p>
      <w:pPr>
        <w:ind w:right="240"/>
        <w:spacing w:after="0" w:line="287" w:lineRule="auto"/>
        <w:rPr>
          <w:sz w:val="20"/>
          <w:szCs w:val="20"/>
          <w:color w:val="auto"/>
        </w:rPr>
      </w:pPr>
      <w:r>
        <w:rPr>
          <w:rFonts w:ascii="Arial" w:cs="Arial" w:eastAsia="Arial" w:hAnsi="Arial"/>
          <w:sz w:val="18"/>
          <w:szCs w:val="18"/>
          <w:color w:val="auto"/>
        </w:rPr>
        <w:t>the impact of a weakened Australian dollar relative to the U.S. dollar, which decreased revenues and Adjusted EBITDA by $3.7 million and $0.8 million, respectively. Operating income for the first quarter of 2024 includes asset impairment charges of $5.7 million.</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 from the Australian segment increased 19% period-over-period and Adjusted EBITDA was up 43% driven by a 17% year-over-year increase in billed rooms, increased integrated services activity and improved margins for both Civeo's owned-villages and its integrated services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and Capital Allocation</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March 31, 2024, Civeo had total liquidity of approximately $136.9 million, consisting of $120.1 million available under its revolving credit facilities and $16.8 million of cash on hand.</w:t>
      </w:r>
    </w:p>
    <w:p>
      <w:pPr>
        <w:spacing w:after="0" w:line="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Civeo’s total debt outstanding on March 31, 2024 was $78.6 million, a $13.0 million increase since December 31, 2023. Civeo's net debt on March 31, 2024 was $61.8 million, a $0.4 million decrease since December 31,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0.6x as of March 31, 2024, flat with the net leverage ratio at December 31, 2023.</w:t>
      </w:r>
    </w:p>
    <w:p>
      <w:pPr>
        <w:spacing w:after="0" w:line="13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During the first quarter of 2024, Civeo invested $5.6 million in capital expenditures compared to $4.8 million invested during the first quarter of 2023. Capital expenditures in both periods were primarily related to maintenance spending on the Company’s lodges and villages. Capital expenditures in the first quarter of 2024 also included $2.4 million related to customer-funded infrastructure upgrades at three Australian villages.</w:t>
      </w:r>
    </w:p>
    <w:p>
      <w:pPr>
        <w:spacing w:after="0" w:line="20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Company announced today that its board of directors has declared a quarterly cash dividend of $0.25 per common share, payable on June 17, 2024 to shareholders of record as of close of business on May 27, 2024. For purposes of the Income Tax Act (Canada), the Company has designated this dividend to be an "eligible dividend".</w:t>
      </w:r>
    </w:p>
    <w:p>
      <w:pPr>
        <w:spacing w:after="0" w:line="19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In the first quarter of 2024, Civeo repurchased approximately 133,000 shares through its share repurchase program for approximately $3.2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2024 Guidance</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the full year of 2024, Civeo is maintaining its previously provided revenue and Adjusted EBITDA guidance ranges of $625 million to $700 million and $80 million to $90 million, respectively. The Company is also maintaining its full year 2024 capital expenditure guidance of $30 million to $35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Civeo will host a conference call to discuss its first quarter 2024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13746099#. A replay will be available after the call by dialing (844) 512-2921 in the United States or (412) 317-6671 internationally and using the conference ID 13746099#.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2040"/>
        <w:spacing w:after="0" w:line="256"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24 lodges and villages in Canada, Australia and the U.S., with an aggregate of approximately 26,000 rooms. Civeo is publicly traded under the symbol CVEO on the New York Stock Exchange. For more information, please visit Civeo's website at www.civeo.com.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2000"/>
        <w:spacing w:after="0" w:line="257"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 expectations with respect to share repurchases and dividends, and liquidity needs, are based on then current expectations and entail various risks and uncertainties that could cause actual results to differ materially from those</w:t>
      </w:r>
    </w:p>
    <w:p>
      <w:pPr>
        <w:sectPr>
          <w:pgSz w:w="11900" w:h="16838" w:orient="portrait"/>
          <w:cols w:equalWidth="0" w:num="1">
            <w:col w:w="11240"/>
          </w:cols>
          <w:pgMar w:left="320" w:top="890" w:right="339" w:bottom="1440" w:gutter="0" w:footer="0" w:header="0"/>
        </w:sectPr>
      </w:pPr>
    </w:p>
    <w:bookmarkStart w:id="6" w:name="page7"/>
    <w:bookmarkEnd w:id="6"/>
    <w:p>
      <w:pPr>
        <w:ind w:right="2020"/>
        <w:spacing w:after="0" w:line="252" w:lineRule="auto"/>
        <w:rPr>
          <w:sz w:val="20"/>
          <w:szCs w:val="20"/>
          <w:color w:val="auto"/>
        </w:rPr>
      </w:pPr>
      <w:r>
        <w:rPr>
          <w:rFonts w:ascii="Arial" w:cs="Arial" w:eastAsia="Arial" w:hAnsi="Arial"/>
          <w:sz w:val="18"/>
          <w:szCs w:val="18"/>
          <w:color w:val="auto"/>
        </w:rPr>
        <w:t>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w:t>
      </w:r>
    </w:p>
    <w:p>
      <w:pPr>
        <w:spacing w:after="0" w:line="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global health</w:t>
      </w:r>
    </w:p>
    <w:p>
      <w:pPr>
        <w:spacing w:after="0" w:line="2" w:lineRule="exact"/>
        <w:rPr>
          <w:sz w:val="20"/>
          <w:szCs w:val="20"/>
          <w:color w:val="auto"/>
        </w:rPr>
      </w:pPr>
    </w:p>
    <w:p>
      <w:pPr>
        <w:ind w:right="2240"/>
        <w:spacing w:after="0" w:line="265" w:lineRule="auto"/>
        <w:rPr>
          <w:sz w:val="20"/>
          <w:szCs w:val="20"/>
          <w:color w:val="auto"/>
        </w:rPr>
      </w:pPr>
      <w:r>
        <w:rPr>
          <w:rFonts w:ascii="Arial" w:cs="Arial" w:eastAsia="Arial" w:hAnsi="Arial"/>
          <w:sz w:val="17"/>
          <w:szCs w:val="17"/>
          <w:color w:val="auto"/>
        </w:rPr>
        <w:t>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w:t>
      </w:r>
    </w:p>
    <w:p>
      <w:pPr>
        <w:ind w:right="680"/>
        <w:spacing w:after="0" w:line="250" w:lineRule="auto"/>
        <w:rPr>
          <w:sz w:val="20"/>
          <w:szCs w:val="20"/>
          <w:color w:val="auto"/>
        </w:rPr>
      </w:pPr>
      <w:r>
        <w:rPr>
          <w:rFonts w:ascii="Arial" w:cs="Arial" w:eastAsia="Arial" w:hAnsi="Arial"/>
          <w:sz w:val="18"/>
          <w:szCs w:val="18"/>
          <w:color w:val="auto"/>
        </w:rPr>
        <w:t>reports the company may file from time to time with the U.S. Securities and Exchange Commission. Each forward-looking statement contained herein speaks only as of the date of this release. Except as required by law, Civeo</w:t>
      </w:r>
    </w:p>
    <w:p>
      <w:pPr>
        <w:spacing w:after="0" w:line="1" w:lineRule="exact"/>
        <w:rPr>
          <w:sz w:val="20"/>
          <w:szCs w:val="20"/>
          <w:color w:val="auto"/>
        </w:rPr>
      </w:pPr>
    </w:p>
    <w:p>
      <w:pPr>
        <w:ind w:right="2280"/>
        <w:spacing w:after="0" w:line="266" w:lineRule="auto"/>
        <w:rPr>
          <w:sz w:val="20"/>
          <w:szCs w:val="20"/>
          <w:color w:val="auto"/>
        </w:rPr>
      </w:pPr>
      <w:r>
        <w:rPr>
          <w:rFonts w:ascii="Arial" w:cs="Arial" w:eastAsia="Arial" w:hAnsi="Arial"/>
          <w:sz w:val="18"/>
          <w:szCs w:val="18"/>
          <w:color w:val="auto"/>
        </w:rPr>
        <w:t>expressly disclaims any intention or obligation to revise or update any forward-looking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196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160"/>
          </w:cols>
          <w:pgMar w:left="320" w:top="890" w:right="4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8"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Three Months Ended</w:t>
      </w:r>
    </w:p>
    <w:p>
      <w:pPr>
        <w:jc w:val="center"/>
        <w:ind w:left="4500"/>
        <w:spacing w:after="0"/>
        <w:rPr>
          <w:sz w:val="20"/>
          <w:szCs w:val="20"/>
          <w:color w:val="auto"/>
        </w:rPr>
      </w:pPr>
      <w:r>
        <w:rPr>
          <w:rFonts w:ascii="Arial" w:cs="Arial" w:eastAsia="Arial" w:hAnsi="Arial"/>
          <w:sz w:val="14"/>
          <w:szCs w:val="14"/>
          <w:b w:val="1"/>
          <w:bCs w:val="1"/>
          <w:color w:val="auto"/>
        </w:rPr>
        <w:t>March 31,</w:t>
      </w:r>
    </w:p>
    <w:p>
      <w:pPr>
        <w:spacing w:after="0" w:line="95" w:lineRule="exact"/>
        <w:rPr>
          <w:sz w:val="20"/>
          <w:szCs w:val="20"/>
          <w:color w:val="auto"/>
        </w:rPr>
      </w:pPr>
    </w:p>
    <w:tbl>
      <w:tblPr>
        <w:tblLayout w:type="fixed"/>
        <w:tblInd w:w="106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r>
      <w:tr>
        <w:trPr>
          <w:trHeight w:val="499"/>
        </w:trPr>
        <w:tc>
          <w:tcPr>
            <w:tcW w:w="4500" w:type="dxa"/>
            <w:vAlign w:val="bottom"/>
          </w:tcPr>
          <w:p>
            <w:pPr>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166,120</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167,591</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Costs and expenses: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130,445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133,514</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18,640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16,190</w:t>
            </w: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16,770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21,662</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7,823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Gain on sale of McClelland Lake Lodge assets, net</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(6,075)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0"/>
        </w:trPr>
        <w:tc>
          <w:tcPr>
            <w:tcW w:w="450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r>
      <w:tr>
        <w:trPr>
          <w:trHeight w:val="237"/>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167,901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171,495</w:t>
            </w:r>
          </w:p>
        </w:tc>
      </w:tr>
      <w:tr>
        <w:trPr>
          <w:trHeight w:val="233"/>
        </w:trPr>
        <w:tc>
          <w:tcPr>
            <w:tcW w:w="4500" w:type="dxa"/>
            <w:vAlign w:val="bottom"/>
          </w:tcPr>
          <w:p>
            <w:pPr>
              <w:spacing w:after="0"/>
              <w:rPr>
                <w:sz w:val="20"/>
                <w:szCs w:val="20"/>
                <w:color w:val="auto"/>
              </w:rPr>
            </w:pPr>
            <w:r>
              <w:rPr>
                <w:rFonts w:ascii="Arial" w:cs="Arial" w:eastAsia="Arial" w:hAnsi="Arial"/>
                <w:sz w:val="14"/>
                <w:szCs w:val="14"/>
                <w:color w:val="auto"/>
              </w:rPr>
              <w:t>Operating loss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(3,904)</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(2,360)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(3,656)</w:t>
            </w:r>
          </w:p>
        </w:tc>
      </w:tr>
      <w:tr>
        <w:trPr>
          <w:trHeight w:val="257"/>
        </w:trPr>
        <w:tc>
          <w:tcPr>
            <w:tcW w:w="4500" w:type="dxa"/>
            <w:vAlign w:val="bottom"/>
          </w:tcPr>
          <w:p>
            <w:pPr>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32</w:t>
            </w:r>
          </w:p>
        </w:tc>
      </w:tr>
      <w:tr>
        <w:trPr>
          <w:trHeight w:val="260"/>
        </w:trPr>
        <w:tc>
          <w:tcPr>
            <w:tcW w:w="4500" w:type="dxa"/>
            <w:vAlign w:val="bottom"/>
          </w:tcPr>
          <w:p>
            <w:pPr>
              <w:spacing w:after="0"/>
              <w:rPr>
                <w:sz w:val="20"/>
                <w:szCs w:val="20"/>
                <w:color w:val="auto"/>
              </w:rPr>
            </w:pPr>
            <w:r>
              <w:rPr>
                <w:rFonts w:ascii="Arial" w:cs="Arial" w:eastAsia="Arial" w:hAnsi="Arial"/>
                <w:sz w:val="14"/>
                <w:szCs w:val="14"/>
                <w:color w:val="auto"/>
              </w:rPr>
              <w:t>Other income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2,450</w:t>
            </w:r>
          </w:p>
        </w:tc>
      </w:tr>
      <w:tr>
        <w:trPr>
          <w:trHeight w:val="233"/>
        </w:trPr>
        <w:tc>
          <w:tcPr>
            <w:tcW w:w="4500" w:type="dxa"/>
            <w:vAlign w:val="bottom"/>
          </w:tcPr>
          <w:p>
            <w:pPr>
              <w:ind w:left="120"/>
              <w:spacing w:after="0"/>
              <w:rPr>
                <w:sz w:val="20"/>
                <w:szCs w:val="20"/>
                <w:color w:val="auto"/>
              </w:rPr>
            </w:pPr>
            <w:r>
              <w:rPr>
                <w:rFonts w:ascii="Arial" w:cs="Arial" w:eastAsia="Arial" w:hAnsi="Arial"/>
                <w:sz w:val="14"/>
                <w:szCs w:val="14"/>
                <w:color w:val="auto"/>
              </w:rPr>
              <w:t>Loss before income taxes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(3,645)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(5,078)</w:t>
            </w:r>
          </w:p>
        </w:tc>
      </w:tr>
      <w:tr>
        <w:trPr>
          <w:trHeight w:val="261"/>
        </w:trPr>
        <w:tc>
          <w:tcPr>
            <w:tcW w:w="4500" w:type="dxa"/>
            <w:vAlign w:val="bottom"/>
          </w:tcPr>
          <w:p>
            <w:pPr>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w:t>
            </w:r>
          </w:p>
        </w:tc>
      </w:tr>
      <w:tr>
        <w:trPr>
          <w:trHeight w:val="232"/>
        </w:trPr>
        <w:tc>
          <w:tcPr>
            <w:tcW w:w="4500" w:type="dxa"/>
            <w:vAlign w:val="bottom"/>
          </w:tcPr>
          <w:p>
            <w:pPr>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(5,196)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(6,311)</w:t>
            </w:r>
          </w:p>
        </w:tc>
      </w:tr>
      <w:tr>
        <w:trPr>
          <w:trHeight w:val="260"/>
        </w:trPr>
        <w:tc>
          <w:tcPr>
            <w:tcW w:w="4500" w:type="dxa"/>
            <w:vAlign w:val="bottom"/>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r>
      <w:tr>
        <w:trPr>
          <w:trHeight w:val="214"/>
        </w:trPr>
        <w:tc>
          <w:tcPr>
            <w:tcW w:w="450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(5,133)</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(6,353)</w:t>
            </w:r>
          </w:p>
        </w:tc>
      </w:tr>
      <w:tr>
        <w:trPr>
          <w:trHeight w:val="20"/>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72"/>
        </w:trPr>
        <w:tc>
          <w:tcPr>
            <w:tcW w:w="4840" w:type="dxa"/>
            <w:vAlign w:val="bottom"/>
            <w:gridSpan w:val="2"/>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(0.35)</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(0.42)</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(0.35)</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(0.42)</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14,655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15,158</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14,655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15,158</w:t>
            </w:r>
          </w:p>
        </w:tc>
      </w:tr>
    </w:tbl>
    <w:p>
      <w:pPr>
        <w:sectPr>
          <w:pgSz w:w="11900" w:h="16838" w:orient="portrait"/>
          <w:cols w:equalWidth="0" w:num="1">
            <w:col w:w="9019"/>
          </w:cols>
          <w:pgMar w:left="1440" w:top="890"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March 31, 2024</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16,752</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131,478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143,222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7,233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15,846</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168,872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175,246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245,840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270,563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7,360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7,690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74,688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77,999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12,738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12,286</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513,070</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548,062</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48,641</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58,699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26,127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40,523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4,492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6,334</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92,853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114,236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78,597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65,554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9,447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24,167</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212,960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225,024</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1,629,521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1,628,972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(931,135)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(919,023)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(390,877)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(380,715)</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297,379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320,171</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2,867</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300,110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323,038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513,070</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548,062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Three Months Ended</w:t>
      </w:r>
    </w:p>
    <w:p>
      <w:pPr>
        <w:jc w:val="center"/>
        <w:ind w:left="580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(5,196)</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(6,311)</w:t>
            </w:r>
          </w:p>
        </w:tc>
      </w:tr>
      <w:tr>
        <w:trPr>
          <w:trHeight w:val="418"/>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16,770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21,662</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 (benefit)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1,189</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(6,065)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(2,018)</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(benefit) for credit losses, net of recoveries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7,387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(4,298)</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(21,205)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(20,075)</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3,791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9,311</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5,985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(5,613)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(4,772)</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6,778</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investing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1,165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(2,507)</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(7,389)</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14,596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17,730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(3,707)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(3,208)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(3,771)</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financing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6,614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6,570</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13,429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4,412</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3,323</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7,954</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16,752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12,366</w:t>
            </w: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78" w:lineRule="exact"/>
        <w:rPr>
          <w:sz w:val="20"/>
          <w:szCs w:val="20"/>
          <w:color w:val="auto"/>
        </w:rPr>
      </w:pPr>
    </w:p>
    <w:p>
      <w:pPr>
        <w:jc w:val="center"/>
        <w:ind w:left="3540"/>
        <w:spacing w:after="0"/>
        <w:rPr>
          <w:sz w:val="20"/>
          <w:szCs w:val="20"/>
          <w:color w:val="auto"/>
        </w:rPr>
      </w:pPr>
      <w:r>
        <w:rPr>
          <w:rFonts w:ascii="Arial" w:cs="Arial" w:eastAsia="Arial" w:hAnsi="Arial"/>
          <w:sz w:val="16"/>
          <w:szCs w:val="16"/>
          <w:b w:val="1"/>
          <w:bCs w:val="1"/>
          <w:color w:val="auto"/>
        </w:rPr>
        <w:t>Three Months Ended</w:t>
      </w:r>
    </w:p>
    <w:p>
      <w:pPr>
        <w:jc w:val="center"/>
        <w:ind w:left="354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130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67,160</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89,453</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91,737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76,989</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166,120</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167,591</w:t>
            </w:r>
          </w:p>
        </w:tc>
        <w:tc>
          <w:tcPr>
            <w:tcW w:w="0" w:type="dxa"/>
            <w:vAlign w:val="bottom"/>
          </w:tcPr>
          <w:p>
            <w:pPr>
              <w:spacing w:after="0"/>
              <w:rPr>
                <w:sz w:val="1"/>
                <w:szCs w:val="1"/>
                <w:color w:val="auto"/>
              </w:rPr>
            </w:pPr>
          </w:p>
        </w:tc>
      </w:tr>
      <w:tr>
        <w:trPr>
          <w:trHeight w:val="21"/>
        </w:trPr>
        <w:tc>
          <w:tcPr>
            <w:tcW w:w="354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11,619</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12,011</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14,522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14,209</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(6,054)</w:t>
            </w:r>
          </w:p>
        </w:tc>
        <w:tc>
          <w:tcPr>
            <w:tcW w:w="0" w:type="dxa"/>
            <w:vAlign w:val="bottom"/>
          </w:tcPr>
          <w:p>
            <w:pPr>
              <w:spacing w:after="0"/>
              <w:rPr>
                <w:sz w:val="1"/>
                <w:szCs w:val="1"/>
                <w:color w:val="auto"/>
              </w:rPr>
            </w:pPr>
          </w:p>
        </w:tc>
      </w:tr>
      <w:tr>
        <w:trPr>
          <w:trHeight w:val="211"/>
        </w:trPr>
        <w:tc>
          <w:tcPr>
            <w:tcW w:w="354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15,505</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5,544</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12,011</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20,272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14,209</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(6,054)</w:t>
            </w:r>
          </w:p>
        </w:tc>
        <w:tc>
          <w:tcPr>
            <w:tcW w:w="0" w:type="dxa"/>
            <w:vAlign w:val="bottom"/>
          </w:tcPr>
          <w:p>
            <w:pPr>
              <w:spacing w:after="0"/>
              <w:rPr>
                <w:sz w:val="1"/>
                <w:szCs w:val="1"/>
                <w:color w:val="auto"/>
              </w:rPr>
            </w:pPr>
          </w:p>
        </w:tc>
      </w:tr>
      <w:tr>
        <w:trPr>
          <w:trHeight w:val="211"/>
        </w:trPr>
        <w:tc>
          <w:tcPr>
            <w:tcW w:w="354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554</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(4,502)</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5,967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4,897</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(3,904)</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5" w:right="1440" w:bottom="1440" w:gutter="0" w:footer="0" w:header="0"/>
        </w:sectPr>
      </w:pPr>
    </w:p>
    <w:bookmarkStart w:id="11" w:name="page12"/>
    <w:bookmarkEnd w:id="11"/>
    <w:p>
      <w:pPr>
        <w:jc w:val="center"/>
        <w:ind w:right="-11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5" w:lineRule="exact"/>
        <w:rPr>
          <w:sz w:val="20"/>
          <w:szCs w:val="20"/>
          <w:color w:val="auto"/>
        </w:rPr>
      </w:pPr>
    </w:p>
    <w:tbl>
      <w:tblPr>
        <w:tblLayout w:type="fixed"/>
        <w:tblInd w:w="2772"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Twelve Months</w:t>
            </w:r>
          </w:p>
        </w:tc>
      </w:tr>
      <w:tr>
        <w:trPr>
          <w:trHeight w:val="223"/>
        </w:trPr>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March 31,</w:t>
            </w:r>
          </w:p>
        </w:tc>
      </w:tr>
      <w:tr>
        <w:trPr>
          <w:trHeight w:val="263"/>
        </w:trPr>
        <w:tc>
          <w:tcPr>
            <w:tcW w:w="1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2024</w:t>
            </w:r>
          </w:p>
        </w:tc>
      </w:tr>
      <w:tr>
        <w:trPr>
          <w:trHeight w:val="518"/>
        </w:trPr>
        <w:tc>
          <w:tcPr>
            <w:tcW w:w="1760" w:type="dxa"/>
            <w:vAlign w:val="bottom"/>
          </w:tcPr>
          <w:p>
            <w:pPr>
              <w:spacing w:after="0"/>
              <w:rPr>
                <w:sz w:val="20"/>
                <w:szCs w:val="20"/>
                <w:color w:val="auto"/>
              </w:rPr>
            </w:pPr>
            <w:r>
              <w:rPr>
                <w:rFonts w:ascii="Arial" w:cs="Arial" w:eastAsia="Arial" w:hAnsi="Arial"/>
                <w:sz w:val="16"/>
                <w:szCs w:val="16"/>
                <w:color w:val="auto"/>
              </w:rPr>
              <w:t>EBITDA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15,505</w:t>
            </w:r>
          </w:p>
        </w:tc>
        <w:tc>
          <w:tcPr>
            <w:tcW w:w="18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20,166</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124,276</w:t>
            </w: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Adjusted EBITDA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17,253</w:t>
            </w:r>
          </w:p>
        </w:tc>
        <w:tc>
          <w:tcPr>
            <w:tcW w:w="18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20,166</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99,121</w:t>
            </w: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Free Cash Flow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7,150</w:t>
            </w:r>
          </w:p>
        </w:tc>
        <w:tc>
          <w:tcPr>
            <w:tcW w:w="18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(2,149)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Net Leverage Ratio (3)</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0.6x</w:t>
            </w:r>
          </w:p>
        </w:tc>
      </w:tr>
    </w:tbl>
    <w:p>
      <w:pPr>
        <w:spacing w:after="0" w:line="312" w:lineRule="exact"/>
        <w:rPr>
          <w:sz w:val="20"/>
          <w:szCs w:val="20"/>
          <w:color w:val="auto"/>
        </w:rPr>
      </w:pPr>
    </w:p>
    <w:p>
      <w:pPr>
        <w:ind w:left="332" w:right="1920" w:hanging="332"/>
        <w:spacing w:after="0" w:line="257"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332" w:right="2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390" w:lineRule="exact"/>
        <w:rPr>
          <w:sz w:val="20"/>
          <w:szCs w:val="20"/>
          <w:color w:val="auto"/>
        </w:rPr>
      </w:pPr>
    </w:p>
    <w:tbl>
      <w:tblPr>
        <w:tblLayout w:type="fixed"/>
        <w:tblInd w:w="1912"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263"/>
        </w:trPr>
        <w:tc>
          <w:tcPr>
            <w:tcW w:w="34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412"/>
        </w:trPr>
        <w:tc>
          <w:tcPr>
            <w:tcW w:w="340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(5,133)</w:t>
            </w:r>
          </w:p>
        </w:tc>
        <w:tc>
          <w:tcPr>
            <w:tcW w:w="180" w:type="dxa"/>
            <w:vAlign w:val="bottom"/>
          </w:tcPr>
          <w:p>
            <w:pPr>
              <w:spacing w:after="0"/>
              <w:rPr>
                <w:sz w:val="24"/>
                <w:szCs w:val="24"/>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(6,353)</w:t>
            </w:r>
          </w:p>
        </w:tc>
        <w:tc>
          <w:tcPr>
            <w:tcW w:w="18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31,377</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40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16,770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21,662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70,250</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11,881</w:t>
            </w:r>
          </w:p>
        </w:tc>
        <w:tc>
          <w:tcPr>
            <w:tcW w:w="0" w:type="dxa"/>
            <w:vAlign w:val="bottom"/>
          </w:tcPr>
          <w:p>
            <w:pPr>
              <w:spacing w:after="0"/>
              <w:rPr>
                <w:sz w:val="1"/>
                <w:szCs w:val="1"/>
                <w:color w:val="auto"/>
              </w:rPr>
            </w:pPr>
          </w:p>
        </w:tc>
      </w:tr>
      <w:tr>
        <w:trPr>
          <w:trHeight w:val="249"/>
        </w:trPr>
        <w:tc>
          <w:tcPr>
            <w:tcW w:w="340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15,505</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20,166</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124,276</w:t>
            </w: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7,823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9,218</w:t>
            </w:r>
          </w:p>
        </w:tc>
        <w:tc>
          <w:tcPr>
            <w:tcW w:w="0" w:type="dxa"/>
            <w:vAlign w:val="bottom"/>
          </w:tcPr>
          <w:p>
            <w:pPr>
              <w:spacing w:after="0"/>
              <w:rPr>
                <w:sz w:val="1"/>
                <w:szCs w:val="1"/>
                <w:color w:val="auto"/>
              </w:rPr>
            </w:pPr>
          </w:p>
        </w:tc>
      </w:tr>
      <w:tr>
        <w:trPr>
          <w:trHeight w:val="205"/>
        </w:trPr>
        <w:tc>
          <w:tcPr>
            <w:tcW w:w="3400" w:type="dxa"/>
            <w:vAlign w:val="bottom"/>
          </w:tcPr>
          <w:p>
            <w:pPr>
              <w:ind w:left="220"/>
              <w:spacing w:after="0"/>
              <w:rPr>
                <w:sz w:val="20"/>
                <w:szCs w:val="20"/>
                <w:color w:val="auto"/>
              </w:rPr>
            </w:pPr>
            <w:r>
              <w:rPr>
                <w:rFonts w:ascii="Arial" w:cs="Arial" w:eastAsia="Arial" w:hAnsi="Arial"/>
                <w:sz w:val="16"/>
                <w:szCs w:val="16"/>
                <w:color w:val="auto"/>
              </w:rPr>
              <w:t>Net gain on disposition of McClelland Lake</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(6,075)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(34,373)</w:t>
            </w: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Lodge assets (b)</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17,253</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20,166</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99,121</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52" w:hanging="328"/>
        <w:spacing w:after="0" w:line="265"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in the first quarter of 2024 and the fourth quarter of 2023. In the first quarter of 2024, we recorded a pre-tax loss related to the impairment of long-lived assets in our Australian segment of $5.7 million and a pre-tax loss related to the impairment of long-lived assets in the U.S. of $2.1 million. In the fourth quarter of 2023, we recorded a pre-tax loss related to the impairment of long-lived assets in the U.S. of $1.4 million.</w:t>
      </w:r>
    </w:p>
    <w:p>
      <w:pPr>
        <w:sectPr>
          <w:pgSz w:w="11900" w:h="16838" w:orient="portrait"/>
          <w:cols w:equalWidth="0" w:num="1">
            <w:col w:w="11132"/>
          </w:cols>
          <w:pgMar w:left="328" w:top="895" w:right="439" w:bottom="1440" w:gutter="0" w:footer="0" w:header="0"/>
        </w:sectPr>
      </w:pPr>
    </w:p>
    <w:bookmarkStart w:id="12" w:name="page13"/>
    <w:bookmarkEnd w:id="12"/>
    <w:p>
      <w:pPr>
        <w:ind w:left="652" w:hanging="328"/>
        <w:spacing w:after="0" w:line="259"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first quarter of 2024, we recorded gains associated with the sale of the McClelland Lake Lodge of $6.1 million, which are included in Gain on sale of McClelland Lake Lodge assets, net on the unaudited statements of operations. In the fourth quarter of 2023, we recorded gains associated with the sale of the McClelland Lake Lodge of $33.2 million, which are included in Gain on sale of McClelland Lake Lodge assets, net ($23.5 million) and Other income ($9.7 million) on the unaudited statements of operations. In the third quarter of 2023, we recorded expenses associated with the sale of our McClelland Lake Lodge of $4.9 million, which are included in Gain on sale of McClelland Lake Lodge assets, net on the unaudited statements of operations.</w:t>
      </w:r>
    </w:p>
    <w:p>
      <w:pPr>
        <w:spacing w:after="0" w:line="216" w:lineRule="exact"/>
        <w:rPr>
          <w:rFonts w:ascii="Arial" w:cs="Arial" w:eastAsia="Arial" w:hAnsi="Arial"/>
          <w:sz w:val="16"/>
          <w:szCs w:val="16"/>
          <w:color w:val="auto"/>
        </w:rPr>
      </w:pPr>
    </w:p>
    <w:p>
      <w:pPr>
        <w:ind w:left="332" w:right="2000" w:hanging="332"/>
        <w:spacing w:after="0" w:line="256"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24" w:lineRule="exact"/>
        <w:rPr>
          <w:rFonts w:ascii="Arial" w:cs="Arial" w:eastAsia="Arial" w:hAnsi="Arial"/>
          <w:sz w:val="16"/>
          <w:szCs w:val="16"/>
          <w:color w:val="auto"/>
        </w:rPr>
      </w:pPr>
    </w:p>
    <w:p>
      <w:pPr>
        <w:ind w:left="332" w:right="72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8" w:lineRule="exact"/>
        <w:rPr>
          <w:sz w:val="20"/>
          <w:szCs w:val="20"/>
          <w:color w:val="auto"/>
        </w:rPr>
      </w:pPr>
    </w:p>
    <w:p>
      <w:pPr>
        <w:jc w:val="center"/>
        <w:ind w:left="4620"/>
        <w:spacing w:after="0"/>
        <w:rPr>
          <w:sz w:val="20"/>
          <w:szCs w:val="20"/>
          <w:color w:val="auto"/>
        </w:rPr>
      </w:pPr>
      <w:r>
        <w:rPr>
          <w:rFonts w:ascii="Arial" w:cs="Arial" w:eastAsia="Arial" w:hAnsi="Arial"/>
          <w:sz w:val="16"/>
          <w:szCs w:val="16"/>
          <w:b w:val="1"/>
          <w:bCs w:val="1"/>
          <w:color w:val="auto"/>
        </w:rPr>
        <w:t>Three Months Ended</w:t>
      </w:r>
    </w:p>
    <w:p>
      <w:pPr>
        <w:jc w:val="center"/>
        <w:ind w:left="462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2132"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518"/>
        </w:trPr>
        <w:tc>
          <w:tcPr>
            <w:tcW w:w="462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179"/>
              <w:spacing w:after="0"/>
              <w:rPr>
                <w:sz w:val="20"/>
                <w:szCs w:val="20"/>
                <w:color w:val="auto"/>
              </w:rPr>
            </w:pPr>
            <w:r>
              <w:rPr>
                <w:rFonts w:ascii="Arial" w:cs="Arial" w:eastAsia="Arial" w:hAnsi="Arial"/>
                <w:sz w:val="16"/>
                <w:szCs w:val="16"/>
                <w:color w:val="auto"/>
              </w:rPr>
              <w:t>5,985</w:t>
            </w:r>
          </w:p>
        </w:tc>
        <w:tc>
          <w:tcPr>
            <w:tcW w:w="1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70"/>
        </w:trPr>
        <w:tc>
          <w:tcPr>
            <w:tcW w:w="46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(5,613)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(4,772)</w:t>
            </w:r>
          </w:p>
        </w:tc>
      </w:tr>
      <w:tr>
        <w:trPr>
          <w:trHeight w:val="271"/>
        </w:trPr>
        <w:tc>
          <w:tcPr>
            <w:tcW w:w="462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6,778</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r>
      <w:tr>
        <w:trPr>
          <w:trHeight w:val="224"/>
        </w:trPr>
        <w:tc>
          <w:tcPr>
            <w:tcW w:w="462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7,150</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32" w:right="1960" w:hanging="332"/>
        <w:spacing w:after="0" w:line="258"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7" w:lineRule="exact"/>
        <w:rPr>
          <w:rFonts w:ascii="Arial" w:cs="Arial" w:eastAsia="Arial" w:hAnsi="Arial"/>
          <w:sz w:val="16"/>
          <w:szCs w:val="16"/>
          <w:color w:val="auto"/>
        </w:rPr>
      </w:pPr>
    </w:p>
    <w:p>
      <w:pPr>
        <w:ind w:left="332" w:right="28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ectPr>
          <w:pgSz w:w="11900" w:h="16838" w:orient="portrait"/>
          <w:cols w:equalWidth="0" w:num="1">
            <w:col w:w="11192"/>
          </w:cols>
          <w:pgMar w:left="328" w:top="895" w:right="37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As of March</w:t>
            </w:r>
          </w:p>
        </w:tc>
      </w:tr>
      <w:tr>
        <w:trPr>
          <w:trHeight w:val="215"/>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31,</w:t>
            </w:r>
          </w:p>
        </w:tc>
      </w:tr>
      <w:tr>
        <w:trPr>
          <w:trHeight w:val="217"/>
        </w:trPr>
        <w:tc>
          <w:tcPr>
            <w:tcW w:w="6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r>
      <w:tr>
        <w:trPr>
          <w:trHeight w:val="464"/>
        </w:trPr>
        <w:tc>
          <w:tcPr>
            <w:tcW w:w="6240" w:type="dxa"/>
            <w:vAlign w:val="bottom"/>
          </w:tcPr>
          <w:p>
            <w:pPr>
              <w:spacing w:after="0"/>
              <w:rPr>
                <w:sz w:val="20"/>
                <w:szCs w:val="20"/>
                <w:color w:val="auto"/>
              </w:rPr>
            </w:pPr>
            <w:r>
              <w:rPr>
                <w:rFonts w:ascii="Arial" w:cs="Arial" w:eastAsia="Arial" w:hAnsi="Arial"/>
                <w:sz w:val="16"/>
                <w:szCs w:val="16"/>
                <w:color w:val="auto"/>
              </w:rPr>
              <w:t>Total debt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78,597</w:t>
            </w:r>
          </w:p>
        </w:tc>
      </w:tr>
      <w:tr>
        <w:trPr>
          <w:trHeight w:val="217"/>
        </w:trPr>
        <w:tc>
          <w:tcPr>
            <w:tcW w:w="624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16,752</w:t>
            </w:r>
          </w:p>
        </w:tc>
      </w:tr>
      <w:tr>
        <w:trPr>
          <w:trHeight w:val="211"/>
        </w:trPr>
        <w:tc>
          <w:tcPr>
            <w:tcW w:w="624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61,845</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50"/>
        </w:trPr>
        <w:tc>
          <w:tcPr>
            <w:tcW w:w="6240" w:type="dxa"/>
            <w:vAlign w:val="bottom"/>
          </w:tcPr>
          <w:p>
            <w:pPr>
              <w:spacing w:after="0"/>
              <w:rPr>
                <w:sz w:val="20"/>
                <w:szCs w:val="20"/>
                <w:color w:val="auto"/>
              </w:rPr>
            </w:pPr>
            <w:r>
              <w:rPr>
                <w:rFonts w:ascii="Arial" w:cs="Arial" w:eastAsia="Arial" w:hAnsi="Arial"/>
                <w:sz w:val="16"/>
                <w:szCs w:val="16"/>
                <w:color w:val="auto"/>
              </w:rPr>
              <w:t>Adjusted EBITDA for the twelve months ended March 31, 2024 (a)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99,121</w:t>
            </w: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24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4,142</w:t>
            </w:r>
          </w:p>
        </w:tc>
      </w:tr>
      <w:tr>
        <w:trPr>
          <w:trHeight w:val="216"/>
        </w:trPr>
        <w:tc>
          <w:tcPr>
            <w:tcW w:w="624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7"/>
        </w:trPr>
        <w:tc>
          <w:tcPr>
            <w:tcW w:w="6240" w:type="dxa"/>
            <w:vAlign w:val="bottom"/>
          </w:tcPr>
          <w:p>
            <w:pPr>
              <w:ind w:left="100"/>
              <w:spacing w:after="0"/>
              <w:rPr>
                <w:sz w:val="20"/>
                <w:szCs w:val="20"/>
                <w:color w:val="auto"/>
              </w:rPr>
            </w:pPr>
            <w:r>
              <w:rPr>
                <w:rFonts w:ascii="Arial" w:cs="Arial" w:eastAsia="Arial" w:hAnsi="Arial"/>
                <w:sz w:val="16"/>
                <w:szCs w:val="16"/>
                <w:color w:val="auto"/>
              </w:rPr>
              <w:t>Incremental adjustments for McClelland Lake Lodge disposition (b)</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7,634</w:t>
            </w:r>
          </w:p>
        </w:tc>
      </w:tr>
      <w:tr>
        <w:trPr>
          <w:trHeight w:val="211"/>
        </w:trPr>
        <w:tc>
          <w:tcPr>
            <w:tcW w:w="624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111,080</w:t>
            </w:r>
          </w:p>
        </w:tc>
      </w:tr>
      <w:tr>
        <w:trPr>
          <w:trHeight w:val="21"/>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50"/>
        </w:trPr>
        <w:tc>
          <w:tcPr>
            <w:tcW w:w="624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0.6x</w:t>
            </w:r>
          </w:p>
        </w:tc>
      </w:tr>
    </w:tbl>
    <w:p>
      <w:pPr>
        <w:spacing w:after="0" w:line="200" w:lineRule="exact"/>
        <w:rPr>
          <w:sz w:val="20"/>
          <w:szCs w:val="20"/>
          <w:color w:val="auto"/>
        </w:rPr>
      </w:pPr>
    </w:p>
    <w:p>
      <w:pPr>
        <w:spacing w:after="0" w:line="220" w:lineRule="exact"/>
        <w:rPr>
          <w:sz w:val="20"/>
          <w:szCs w:val="20"/>
          <w:color w:val="auto"/>
        </w:rPr>
      </w:pPr>
    </w:p>
    <w:p>
      <w:pPr>
        <w:ind w:left="10" w:right="2819" w:hanging="10"/>
        <w:spacing w:after="0" w:line="246"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income (loss) attributable to Civeo Corporation</w:t>
      </w:r>
    </w:p>
    <w:p>
      <w:pPr>
        <w:ind w:left="10" w:right="2539" w:hanging="10"/>
        <w:spacing w:after="0" w:line="246" w:lineRule="auto"/>
        <w:tabs>
          <w:tab w:leader="none" w:pos="25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Related to incremental adjustments associated with the sale of the McClelland Lake Lodge assets as required by our credit facility</w:t>
      </w:r>
    </w:p>
    <w:p>
      <w:pPr>
        <w:ind w:left="230" w:hanging="230"/>
        <w:spacing w:after="0"/>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9789"/>
          </w:cols>
          <w:pgMar w:left="670" w:top="914" w:right="1440" w:bottom="1440" w:gutter="0" w:footer="0" w:header="0"/>
        </w:sectPr>
      </w:pPr>
    </w:p>
    <w:bookmarkStart w:id="14" w:name="page15"/>
    <w:bookmarkEnd w:id="14"/>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tbl>
      <w:tblPr>
        <w:tblLayout w:type="fixed"/>
        <w:tblInd w:w="2072"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2024</w:t>
            </w:r>
          </w:p>
        </w:tc>
      </w:tr>
      <w:tr>
        <w:trPr>
          <w:trHeight w:val="302"/>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78.3</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88.3</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80.0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90.0</w:t>
            </w:r>
          </w:p>
        </w:tc>
      </w:tr>
    </w:tbl>
    <w:p>
      <w:pPr>
        <w:spacing w:after="0" w:line="298" w:lineRule="exact"/>
        <w:rPr>
          <w:sz w:val="20"/>
          <w:szCs w:val="20"/>
          <w:color w:val="auto"/>
        </w:rPr>
      </w:pPr>
    </w:p>
    <w:p>
      <w:pPr>
        <w:ind w:left="332" w:hanging="332"/>
        <w:spacing w:after="0" w:line="286" w:lineRule="auto"/>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2024</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(estimated)</w:t>
            </w:r>
          </w:p>
        </w:tc>
        <w:tc>
          <w:tcPr>
            <w:tcW w:w="66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Pr>
          <w:p>
            <w:pPr>
              <w:spacing w:after="0"/>
              <w:rPr>
                <w:sz w:val="24"/>
                <w:szCs w:val="24"/>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r>
      <w:tr>
        <w:trPr>
          <w:trHeight w:val="303"/>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Impairment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7"/>
        </w:trPr>
        <w:tc>
          <w:tcPr>
            <w:tcW w:w="4820" w:type="dxa"/>
            <w:vAlign w:val="bottom"/>
          </w:tcPr>
          <w:p>
            <w:pPr>
              <w:ind w:left="120"/>
              <w:spacing w:after="0"/>
              <w:rPr>
                <w:sz w:val="20"/>
                <w:szCs w:val="20"/>
                <w:color w:val="auto"/>
              </w:rPr>
            </w:pPr>
            <w:r>
              <w:rPr>
                <w:rFonts w:ascii="Arial" w:cs="Arial" w:eastAsia="Arial" w:hAnsi="Arial"/>
                <w:sz w:val="16"/>
                <w:szCs w:val="16"/>
                <w:color w:val="auto"/>
              </w:rPr>
              <w:t>Net gain on disposition of McClelland Lake Lodge assets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92"/>
          </w:cols>
          <w:pgMar w:left="328" w:top="895" w:right="579" w:bottom="1440" w:gutter="0" w:footer="0" w:header="0"/>
        </w:sectPr>
      </w:pPr>
    </w:p>
    <w:bookmarkStart w:id="15" w:name="page16"/>
    <w:bookmarkEnd w:id="15"/>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tbl>
      <w:tblPr>
        <w:tblLayout w:type="fixed"/>
        <w:tblInd w:w="2512" w:type="dxa"/>
        <w:tblCellMar>
          <w:top w:w="0" w:type="dxa"/>
          <w:left w:w="0" w:type="dxa"/>
          <w:bottom w:w="0" w:type="dxa"/>
          <w:right w:w="0" w:type="dxa"/>
        </w:tblCellMar>
      </w:tblPr>
      <w:tr>
        <w:trPr>
          <w:trHeight w:val="223"/>
        </w:trPr>
        <w:tc>
          <w:tcPr>
            <w:tcW w:w="3800" w:type="dxa"/>
            <w:vAlign w:val="bottom"/>
          </w:tcPr>
          <w:p>
            <w:pPr>
              <w:ind w:left="266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1"/>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9"/>
                <w:szCs w:val="19"/>
                <w:color w:val="auto"/>
              </w:rPr>
            </w:pPr>
          </w:p>
        </w:tc>
      </w:tr>
      <w:tr>
        <w:trPr>
          <w:trHeight w:val="263"/>
        </w:trPr>
        <w:tc>
          <w:tcPr>
            <w:tcW w:w="3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250"/>
        </w:trPr>
        <w:tc>
          <w:tcPr>
            <w:tcW w:w="380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1"/>
        </w:trPr>
        <w:tc>
          <w:tcPr>
            <w:tcW w:w="380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59,787</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64,228</w:t>
            </w:r>
          </w:p>
        </w:tc>
      </w:tr>
      <w:tr>
        <w:trPr>
          <w:trHeight w:val="270"/>
        </w:trPr>
        <w:tc>
          <w:tcPr>
            <w:tcW w:w="380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20,031</w:t>
            </w:r>
          </w:p>
        </w:tc>
      </w:tr>
      <w:tr>
        <w:trPr>
          <w:trHeight w:val="271"/>
        </w:trPr>
        <w:tc>
          <w:tcPr>
            <w:tcW w:w="38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6,379</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5,194</w:t>
            </w:r>
          </w:p>
        </w:tc>
      </w:tr>
      <w:tr>
        <w:trPr>
          <w:trHeight w:val="249"/>
        </w:trPr>
        <w:tc>
          <w:tcPr>
            <w:tcW w:w="380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67,160</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89,453</w:t>
            </w:r>
          </w:p>
        </w:tc>
      </w:tr>
      <w:tr>
        <w:trPr>
          <w:trHeight w:val="378"/>
        </w:trPr>
        <w:tc>
          <w:tcPr>
            <w:tcW w:w="380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45,720</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52,098</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2,651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14,502</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6,140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4,774</w:t>
            </w:r>
          </w:p>
        </w:tc>
      </w:tr>
      <w:tr>
        <w:trPr>
          <w:trHeight w:val="271"/>
        </w:trPr>
        <w:tc>
          <w:tcPr>
            <w:tcW w:w="380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2,746</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2,531</w:t>
            </w:r>
          </w:p>
        </w:tc>
      </w:tr>
      <w:tr>
        <w:trPr>
          <w:trHeight w:val="249"/>
        </w:trPr>
        <w:tc>
          <w:tcPr>
            <w:tcW w:w="3800" w:type="dxa"/>
            <w:vAlign w:val="bottom"/>
          </w:tcPr>
          <w:p>
            <w:pPr>
              <w:ind w:left="660"/>
              <w:spacing w:after="0"/>
              <w:rPr>
                <w:sz w:val="20"/>
                <w:szCs w:val="20"/>
                <w:color w:val="auto"/>
              </w:rPr>
            </w:pPr>
            <w:r>
              <w:rPr>
                <w:rFonts w:ascii="Arial" w:cs="Arial" w:eastAsia="Arial" w:hAnsi="Arial"/>
                <w:sz w:val="16"/>
                <w:szCs w:val="16"/>
                <w:color w:val="auto"/>
              </w:rPr>
              <w:t>Total Canadian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57,257</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73,905</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610,032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642,796</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0.741</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0.740</w:t>
            </w:r>
          </w:p>
        </w:tc>
      </w:tr>
      <w:tr>
        <w:trPr>
          <w:trHeight w:val="434"/>
        </w:trPr>
        <w:tc>
          <w:tcPr>
            <w:tcW w:w="380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1"/>
        </w:trPr>
        <w:tc>
          <w:tcPr>
            <w:tcW w:w="380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47,107</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40,599</w:t>
            </w:r>
          </w:p>
        </w:tc>
      </w:tr>
      <w:tr>
        <w:trPr>
          <w:trHeight w:val="271"/>
        </w:trPr>
        <w:tc>
          <w:tcPr>
            <w:tcW w:w="38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44,630</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36,390</w:t>
            </w:r>
          </w:p>
        </w:tc>
      </w:tr>
      <w:tr>
        <w:trPr>
          <w:trHeight w:val="249"/>
        </w:trPr>
        <w:tc>
          <w:tcPr>
            <w:tcW w:w="380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91,737</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76,989</w:t>
            </w:r>
          </w:p>
        </w:tc>
      </w:tr>
      <w:tr>
        <w:trPr>
          <w:trHeight w:val="378"/>
        </w:trPr>
        <w:tc>
          <w:tcPr>
            <w:tcW w:w="380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22,594</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20,318</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40,904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35,862</w:t>
            </w:r>
          </w:p>
        </w:tc>
      </w:tr>
      <w:tr>
        <w:trPr>
          <w:trHeight w:val="271"/>
        </w:trPr>
        <w:tc>
          <w:tcPr>
            <w:tcW w:w="380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2,615</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r>
      <w:tr>
        <w:trPr>
          <w:trHeight w:val="249"/>
        </w:trPr>
        <w:tc>
          <w:tcPr>
            <w:tcW w:w="3800" w:type="dxa"/>
            <w:vAlign w:val="bottom"/>
          </w:tcPr>
          <w:p>
            <w:pPr>
              <w:ind w:left="660"/>
              <w:spacing w:after="0"/>
              <w:rPr>
                <w:sz w:val="20"/>
                <w:szCs w:val="20"/>
                <w:color w:val="auto"/>
              </w:rPr>
            </w:pPr>
            <w:r>
              <w:rPr>
                <w:rFonts w:ascii="Arial" w:cs="Arial" w:eastAsia="Arial" w:hAnsi="Arial"/>
                <w:sz w:val="16"/>
                <w:szCs w:val="16"/>
                <w:color w:val="auto"/>
              </w:rPr>
              <w:t>Total Australian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66,113</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58,308</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613,936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522,713</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0.657</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0.684</w:t>
            </w:r>
          </w:p>
        </w:tc>
      </w:tr>
    </w:tbl>
    <w:p>
      <w:pPr>
        <w:spacing w:after="0" w:line="200" w:lineRule="exact"/>
        <w:rPr>
          <w:sz w:val="20"/>
          <w:szCs w:val="20"/>
          <w:color w:val="auto"/>
        </w:rPr>
      </w:pPr>
    </w:p>
    <w:p>
      <w:pPr>
        <w:spacing w:after="0" w:line="382" w:lineRule="exact"/>
        <w:rPr>
          <w:sz w:val="20"/>
          <w:szCs w:val="20"/>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52"/>
          </w:cols>
          <w:pgMar w:left="328" w:top="1138" w:right="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2"/>
    </w:lvl>
  </w:abstractNum>
  <w:abstractNum w:abstractNumId="6">
    <w:nsid w:val="5BD062C2"/>
    <w:multiLevelType w:val="hybridMultilevel"/>
    <w:lvl w:ilvl="0">
      <w:lvlJc w:val="left"/>
      <w:lvlText w:val="(%1)"/>
      <w:numFmt w:val="decimal"/>
      <w:start w:val="2"/>
    </w:lvl>
    <w:lvl w:ilvl="1">
      <w:lvlJc w:val="left"/>
      <w:lvlText w:val="%2"/>
      <w:numFmt w:val="lowerLetter"/>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2024-04-26T07:15:52Z</dcterms:created>
  <dcterms:modified xsi:type="dcterms:W3CDTF">2024-04-26T07:15:52Z</dcterms:modified>
</cp:coreProperties>
</file>