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539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53974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Brewer Barclay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4400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Civeo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CVEO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02/23/2026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14"/>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402"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8"/>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3"/>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77002</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8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jc w:val="center"/>
              <w:ind w:left="59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02/23/2026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8"/>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left="134"/>
              <w:spacing w:after="0"/>
              <w:rPr>
                <w:sz w:val="20"/>
                <w:szCs w:val="20"/>
                <w:color w:val="auto"/>
              </w:rPr>
            </w:pPr>
            <w:r>
              <w:rPr>
                <w:rFonts w:ascii="Times New Roman" w:cs="Times New Roman" w:eastAsia="Times New Roman" w:hAnsi="Times New Roman"/>
                <w:sz w:val="17"/>
                <w:szCs w:val="17"/>
                <w:color w:val="0000FF"/>
                <w:w w:val="99"/>
              </w:rPr>
              <w:t>1,558</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ind w:left="153"/>
              <w:spacing w:after="0" w:line="312"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10,673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02/23/2026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8"/>
              <w:spacing w:after="0"/>
              <w:rPr>
                <w:sz w:val="20"/>
                <w:szCs w:val="20"/>
                <w:color w:val="auto"/>
              </w:rPr>
            </w:pPr>
            <w:r>
              <w:rPr>
                <w:rFonts w:ascii="Times New Roman" w:cs="Times New Roman" w:eastAsia="Times New Roman" w:hAnsi="Times New Roman"/>
                <w:sz w:val="13"/>
                <w:szCs w:val="13"/>
                <w:color w:val="0000FF"/>
                <w:w w:val="84"/>
              </w:rPr>
              <w:t>D</w:t>
            </w:r>
          </w:p>
        </w:tc>
        <w:tc>
          <w:tcPr>
            <w:tcW w:w="160" w:type="dxa"/>
            <w:vAlign w:val="bottom"/>
          </w:tcPr>
          <w:p>
            <w:pPr>
              <w:spacing w:after="0"/>
              <w:rPr>
                <w:sz w:val="22"/>
                <w:szCs w:val="22"/>
                <w:color w:val="auto"/>
              </w:rPr>
            </w:pPr>
          </w:p>
        </w:tc>
        <w:tc>
          <w:tcPr>
            <w:tcW w:w="580" w:type="dxa"/>
            <w:vAlign w:val="bottom"/>
          </w:tcPr>
          <w:p>
            <w:pPr>
              <w:jc w:val="center"/>
              <w:ind w:left="134"/>
              <w:spacing w:after="0"/>
              <w:rPr>
                <w:sz w:val="20"/>
                <w:szCs w:val="20"/>
                <w:color w:val="auto"/>
              </w:rPr>
            </w:pPr>
            <w:r>
              <w:rPr>
                <w:rFonts w:ascii="Times New Roman" w:cs="Times New Roman" w:eastAsia="Times New Roman" w:hAnsi="Times New Roman"/>
                <w:sz w:val="17"/>
                <w:szCs w:val="17"/>
                <w:color w:val="0000FF"/>
                <w:w w:val="99"/>
              </w:rPr>
              <w:t>1,558</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27.67</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9,115</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02/23/2026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8"/>
              <w:spacing w:after="0"/>
              <w:rPr>
                <w:sz w:val="20"/>
                <w:szCs w:val="20"/>
                <w:color w:val="auto"/>
              </w:rPr>
            </w:pPr>
            <w:r>
              <w:rPr>
                <w:rFonts w:ascii="Times New Roman" w:cs="Times New Roman" w:eastAsia="Times New Roman" w:hAnsi="Times New Roman"/>
                <w:sz w:val="13"/>
                <w:szCs w:val="13"/>
                <w:color w:val="0000FF"/>
                <w:w w:val="84"/>
              </w:rPr>
              <w:t>A</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left="134"/>
              <w:spacing w:after="0" w:line="312" w:lineRule="exact"/>
              <w:rPr>
                <w:sz w:val="20"/>
                <w:szCs w:val="20"/>
                <w:color w:val="auto"/>
              </w:rPr>
            </w:pPr>
            <w:r>
              <w:rPr>
                <w:rFonts w:ascii="Times New Roman" w:cs="Times New Roman" w:eastAsia="Times New Roman" w:hAnsi="Times New Roman"/>
                <w:sz w:val="33"/>
                <w:szCs w:val="33"/>
                <w:color w:val="0000FF"/>
                <w:w w:val="82"/>
                <w:vertAlign w:val="subscript"/>
              </w:rPr>
              <w:t>733</w:t>
            </w:r>
            <w:r>
              <w:rPr>
                <w:rFonts w:ascii="Times New Roman" w:cs="Times New Roman" w:eastAsia="Times New Roman" w:hAnsi="Times New Roman"/>
                <w:sz w:val="11"/>
                <w:szCs w:val="11"/>
                <w:color w:val="008000"/>
                <w:w w:val="82"/>
              </w:rPr>
              <w:t>(2)</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19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9,848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02/23/2026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8"/>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Pr>
          <w:p>
            <w:pPr>
              <w:spacing w:after="0"/>
              <w:rPr>
                <w:sz w:val="22"/>
                <w:szCs w:val="22"/>
                <w:color w:val="auto"/>
              </w:rPr>
            </w:pPr>
          </w:p>
        </w:tc>
        <w:tc>
          <w:tcPr>
            <w:tcW w:w="580" w:type="dxa"/>
            <w:vAlign w:val="bottom"/>
          </w:tcPr>
          <w:p>
            <w:pPr>
              <w:jc w:val="center"/>
              <w:ind w:left="114"/>
              <w:spacing w:after="0"/>
              <w:rPr>
                <w:sz w:val="20"/>
                <w:szCs w:val="20"/>
                <w:color w:val="auto"/>
              </w:rPr>
            </w:pPr>
            <w:r>
              <w:rPr>
                <w:rFonts w:ascii="Times New Roman" w:cs="Times New Roman" w:eastAsia="Times New Roman" w:hAnsi="Times New Roman"/>
                <w:sz w:val="17"/>
                <w:szCs w:val="17"/>
                <w:color w:val="0000FF"/>
                <w:w w:val="93"/>
              </w:rPr>
              <w:t>327</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27.67</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9,521</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gridSpan w:val="2"/>
          </w:tcPr>
          <w:p>
            <w:pPr>
              <w:spacing w:after="0"/>
              <w:rPr>
                <w:sz w:val="8"/>
                <w:szCs w:val="8"/>
                <w:color w:val="auto"/>
              </w:rPr>
            </w:pPr>
          </w:p>
        </w:tc>
        <w:tc>
          <w:tcPr>
            <w:tcW w:w="1720" w:type="dxa"/>
            <w:vAlign w:val="bottom"/>
            <w:tcBorders>
              <w:bottom w:val="single" w:sz="8" w:color="2C2C2C"/>
            </w:tcBorders>
            <w:gridSpan w:val="5"/>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5"/>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2"/>
          </w:tcPr>
          <w:p>
            <w:pPr>
              <w:jc w:val="center"/>
              <w:ind w:left="51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6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20"/>
                <w:szCs w:val="20"/>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02/23/2026</w:t>
            </w: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0"/>
                <w:szCs w:val="20"/>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1,558</w:t>
            </w:r>
          </w:p>
        </w:tc>
        <w:tc>
          <w:tcPr>
            <w:tcW w:w="760" w:type="dxa"/>
            <w:vAlign w:val="bottom"/>
            <w:gridSpan w:val="2"/>
          </w:tcPr>
          <w:p>
            <w:pPr>
              <w:jc w:val="center"/>
              <w:ind w:right="18"/>
              <w:spacing w:after="0"/>
              <w:rPr>
                <w:sz w:val="20"/>
                <w:szCs w:val="20"/>
                <w:color w:val="auto"/>
              </w:rPr>
            </w:pPr>
            <w:r>
              <w:rPr>
                <w:rFonts w:ascii="Times New Roman" w:cs="Times New Roman" w:eastAsia="Times New Roman" w:hAnsi="Times New Roman"/>
                <w:sz w:val="11"/>
                <w:szCs w:val="11"/>
                <w:color w:val="008000"/>
                <w:w w:val="93"/>
              </w:rPr>
              <w:t>(1)</w:t>
            </w:r>
          </w:p>
        </w:tc>
        <w:tc>
          <w:tcPr>
            <w:tcW w:w="160" w:type="dxa"/>
            <w:vAlign w:val="bottom"/>
          </w:tcPr>
          <w:p>
            <w:pPr>
              <w:spacing w:after="0"/>
              <w:rPr>
                <w:sz w:val="20"/>
                <w:szCs w:val="20"/>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1,558</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14,507</w:t>
            </w:r>
          </w:p>
        </w:tc>
        <w:tc>
          <w:tcPr>
            <w:tcW w:w="260" w:type="dxa"/>
            <w:vAlign w:val="bottom"/>
          </w:tcPr>
          <w:p>
            <w:pPr>
              <w:spacing w:after="0"/>
              <w:rPr>
                <w:sz w:val="20"/>
                <w:szCs w:val="20"/>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-2018030</wp:posOffset>
            </wp:positionV>
            <wp:extent cx="29210" cy="2023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phantom share was the economic equivalent of one Civeo common share payable in cash. The phantom shares vest at various times based on grant date. 1,558 shares vested on February 23, 2026.</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Settlement of performance share award under the 2014 Equity Participation Plan of Civeo Corporation that cliff vested at 47% on the third anniversary of February 23, 2023.</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/s/Barclay Brewer, by Bradley</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02/25/2026</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Dodson, as Attorney-in-Fact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9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280" w:type="dxa"/>
            <w:vAlign w:val="bottom"/>
            <w:gridSpan w:val="2"/>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94660" TargetMode="External"/><Relationship Id="rId14"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2026-02-25T15:46:12Z</dcterms:created>
  <dcterms:modified xsi:type="dcterms:W3CDTF">2026-02-25T15:46:12Z</dcterms:modified>
</cp:coreProperties>
</file>